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62" w:rsidRDefault="00A75862" w:rsidP="0077415D">
      <w:pPr>
        <w:jc w:val="center"/>
        <w:rPr>
          <w:rFonts w:ascii="Calibri" w:hAnsi="Calibri"/>
          <w:b/>
          <w:color w:val="4F6228"/>
          <w:sz w:val="96"/>
          <w:szCs w:val="96"/>
        </w:rPr>
      </w:pPr>
    </w:p>
    <w:p w:rsidR="00A75862" w:rsidRDefault="00A75862" w:rsidP="0077415D">
      <w:pPr>
        <w:jc w:val="center"/>
        <w:rPr>
          <w:rFonts w:ascii="Calibri" w:hAnsi="Calibri"/>
          <w:b/>
          <w:color w:val="4F6228"/>
          <w:sz w:val="96"/>
          <w:szCs w:val="96"/>
        </w:rPr>
      </w:pPr>
    </w:p>
    <w:p w:rsidR="00A75862" w:rsidRPr="00BA19E8" w:rsidRDefault="00A75862" w:rsidP="0077415D">
      <w:pPr>
        <w:jc w:val="center"/>
        <w:rPr>
          <w:rFonts w:ascii="Calibri" w:hAnsi="Calibri"/>
          <w:b/>
          <w:color w:val="4F6228"/>
          <w:sz w:val="96"/>
          <w:szCs w:val="96"/>
        </w:rPr>
      </w:pPr>
      <w:r w:rsidRPr="00BA19E8">
        <w:rPr>
          <w:rFonts w:ascii="Calibri" w:hAnsi="Calibri"/>
          <w:b/>
          <w:color w:val="4F6228"/>
          <w:sz w:val="96"/>
          <w:szCs w:val="96"/>
        </w:rPr>
        <w:t>VÝROČNÍ ZPRÁVA</w:t>
      </w:r>
    </w:p>
    <w:p w:rsidR="00A75862" w:rsidRPr="00BA19E8" w:rsidRDefault="00A75862" w:rsidP="0077415D">
      <w:pPr>
        <w:jc w:val="center"/>
        <w:rPr>
          <w:rFonts w:ascii="Calibri" w:hAnsi="Calibri"/>
          <w:b/>
          <w:color w:val="4F6228"/>
          <w:sz w:val="96"/>
          <w:szCs w:val="96"/>
        </w:rPr>
      </w:pPr>
      <w:r w:rsidRPr="00BA19E8">
        <w:rPr>
          <w:rFonts w:ascii="Calibri" w:hAnsi="Calibri"/>
          <w:b/>
          <w:color w:val="4F6228"/>
          <w:sz w:val="96"/>
          <w:szCs w:val="96"/>
        </w:rPr>
        <w:t>ZA ROK 201</w:t>
      </w:r>
      <w:r w:rsidR="005E6D50">
        <w:rPr>
          <w:rFonts w:ascii="Calibri" w:hAnsi="Calibri"/>
          <w:b/>
          <w:color w:val="4F6228"/>
          <w:sz w:val="96"/>
          <w:szCs w:val="96"/>
        </w:rPr>
        <w:t>4</w:t>
      </w:r>
    </w:p>
    <w:p w:rsidR="00A75862" w:rsidRPr="00BA19E8" w:rsidRDefault="00A75862" w:rsidP="0077415D">
      <w:pPr>
        <w:jc w:val="center"/>
        <w:rPr>
          <w:color w:val="4F6228"/>
          <w:sz w:val="24"/>
        </w:rPr>
      </w:pPr>
    </w:p>
    <w:p w:rsidR="00A75862" w:rsidRPr="00BA19E8" w:rsidRDefault="00A75862" w:rsidP="0077415D">
      <w:pPr>
        <w:jc w:val="center"/>
        <w:rPr>
          <w:rFonts w:ascii="Calibri" w:hAnsi="Calibri"/>
          <w:b/>
          <w:color w:val="4F6228"/>
          <w:sz w:val="56"/>
          <w:szCs w:val="56"/>
        </w:rPr>
      </w:pPr>
    </w:p>
    <w:p w:rsidR="00A75862" w:rsidRPr="00BA19E8" w:rsidRDefault="00A75862" w:rsidP="0077415D">
      <w:pPr>
        <w:jc w:val="center"/>
        <w:rPr>
          <w:rFonts w:ascii="Calibri" w:hAnsi="Calibri"/>
          <w:b/>
          <w:color w:val="4F6228"/>
          <w:sz w:val="72"/>
          <w:szCs w:val="72"/>
        </w:rPr>
      </w:pPr>
      <w:r w:rsidRPr="00BA19E8">
        <w:rPr>
          <w:rFonts w:ascii="Calibri" w:hAnsi="Calibri"/>
          <w:b/>
          <w:color w:val="4F6228"/>
          <w:sz w:val="72"/>
          <w:szCs w:val="72"/>
        </w:rPr>
        <w:t>Integrovaný operační program</w:t>
      </w:r>
    </w:p>
    <w:p w:rsidR="00A75862" w:rsidRPr="00695E42" w:rsidRDefault="00A75862" w:rsidP="0077415D">
      <w:pPr>
        <w:jc w:val="center"/>
        <w:rPr>
          <w:rFonts w:ascii="Calibri" w:hAnsi="Calibri"/>
          <w:sz w:val="24"/>
        </w:rPr>
      </w:pPr>
    </w:p>
    <w:p w:rsidR="00A75862" w:rsidRPr="00695E42" w:rsidRDefault="00A75862" w:rsidP="0077415D">
      <w:pPr>
        <w:jc w:val="center"/>
        <w:rPr>
          <w:rFonts w:ascii="Calibri" w:hAnsi="Calibri"/>
          <w:sz w:val="24"/>
        </w:rPr>
      </w:pPr>
    </w:p>
    <w:p w:rsidR="00A75862" w:rsidRPr="00FF5F9F" w:rsidRDefault="00A75862" w:rsidP="0077415D">
      <w:pPr>
        <w:jc w:val="center"/>
        <w:rPr>
          <w:rFonts w:ascii="Georgia" w:hAnsi="Georgia"/>
        </w:rPr>
      </w:pPr>
    </w:p>
    <w:p w:rsidR="00A75862" w:rsidRPr="00FF5F9F" w:rsidRDefault="00A75862" w:rsidP="0077415D">
      <w:pPr>
        <w:jc w:val="center"/>
        <w:rPr>
          <w:rFonts w:ascii="Georgia" w:hAnsi="Georgia"/>
        </w:rPr>
      </w:pPr>
    </w:p>
    <w:p w:rsidR="00A75862" w:rsidRPr="00FF5F9F" w:rsidRDefault="00A75862" w:rsidP="0077415D">
      <w:pPr>
        <w:jc w:val="center"/>
        <w:rPr>
          <w:rFonts w:ascii="Georgia" w:hAnsi="Georgia"/>
        </w:rPr>
      </w:pPr>
    </w:p>
    <w:p w:rsidR="00A75862" w:rsidRPr="00695E42" w:rsidRDefault="001D660D" w:rsidP="0077415D">
      <w:pPr>
        <w:jc w:val="center"/>
        <w:rPr>
          <w:rFonts w:ascii="Calibri" w:hAnsi="Calibri"/>
          <w:sz w:val="24"/>
        </w:rPr>
      </w:pPr>
      <w:r w:rsidRPr="004B473A">
        <w:rPr>
          <w:rFonts w:ascii="Georgia" w:hAnsi="Georgia"/>
          <w:noProof/>
        </w:rPr>
        <w:drawing>
          <wp:inline distT="0" distB="0" distL="0" distR="0" wp14:anchorId="76D4C75E" wp14:editId="5BF160C0">
            <wp:extent cx="1876425" cy="1257300"/>
            <wp:effectExtent l="19050" t="0" r="9525" b="0"/>
            <wp:docPr id="2"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srcRect/>
                    <a:stretch>
                      <a:fillRect/>
                    </a:stretch>
                  </pic:blipFill>
                  <pic:spPr bwMode="auto">
                    <a:xfrm>
                      <a:off x="0" y="0"/>
                      <a:ext cx="1876425" cy="1257300"/>
                    </a:xfrm>
                    <a:prstGeom prst="rect">
                      <a:avLst/>
                    </a:prstGeom>
                    <a:noFill/>
                    <a:ln w="9525">
                      <a:noFill/>
                      <a:miter lim="800000"/>
                      <a:headEnd/>
                      <a:tailEnd/>
                    </a:ln>
                  </pic:spPr>
                </pic:pic>
              </a:graphicData>
            </a:graphic>
          </wp:inline>
        </w:drawing>
      </w:r>
    </w:p>
    <w:p w:rsidR="00A75862" w:rsidRPr="00695E42" w:rsidRDefault="00A75862" w:rsidP="0077415D">
      <w:pPr>
        <w:jc w:val="center"/>
        <w:rPr>
          <w:rFonts w:ascii="Calibri" w:hAnsi="Calibri"/>
          <w:sz w:val="24"/>
        </w:rPr>
      </w:pPr>
    </w:p>
    <w:p w:rsidR="00A75862" w:rsidRPr="00695E42" w:rsidRDefault="00A75862" w:rsidP="0077415D">
      <w:pPr>
        <w:jc w:val="center"/>
        <w:rPr>
          <w:rFonts w:ascii="Calibri" w:hAnsi="Calibri"/>
          <w:sz w:val="24"/>
        </w:rPr>
      </w:pPr>
    </w:p>
    <w:p w:rsidR="00A75862" w:rsidRPr="00695E42" w:rsidRDefault="00A75862" w:rsidP="0077415D">
      <w:pPr>
        <w:jc w:val="center"/>
        <w:rPr>
          <w:rFonts w:ascii="Calibri" w:hAnsi="Calibri"/>
          <w:sz w:val="24"/>
        </w:rPr>
      </w:pPr>
    </w:p>
    <w:p w:rsidR="00A75862" w:rsidRDefault="00A75862" w:rsidP="0077415D">
      <w:pPr>
        <w:jc w:val="center"/>
        <w:rPr>
          <w:rFonts w:ascii="Calibri" w:hAnsi="Calibri"/>
          <w:b/>
          <w:sz w:val="28"/>
          <w:szCs w:val="28"/>
        </w:rPr>
      </w:pPr>
    </w:p>
    <w:p w:rsidR="00A75862" w:rsidRDefault="00A75862" w:rsidP="0077415D">
      <w:pPr>
        <w:jc w:val="center"/>
        <w:rPr>
          <w:rFonts w:ascii="Calibri" w:hAnsi="Calibri"/>
          <w:b/>
          <w:sz w:val="28"/>
          <w:szCs w:val="28"/>
        </w:rPr>
      </w:pPr>
    </w:p>
    <w:p w:rsidR="00A75862" w:rsidRDefault="00A75862" w:rsidP="0077415D">
      <w:pPr>
        <w:jc w:val="center"/>
        <w:rPr>
          <w:rFonts w:ascii="Calibri" w:hAnsi="Calibri"/>
          <w:b/>
          <w:sz w:val="28"/>
          <w:szCs w:val="28"/>
        </w:rPr>
      </w:pPr>
    </w:p>
    <w:p w:rsidR="00A75862" w:rsidRDefault="00A75862" w:rsidP="0077415D">
      <w:pPr>
        <w:jc w:val="center"/>
        <w:rPr>
          <w:rFonts w:ascii="Calibri" w:hAnsi="Calibri"/>
          <w:b/>
          <w:sz w:val="28"/>
          <w:szCs w:val="28"/>
        </w:rPr>
      </w:pPr>
    </w:p>
    <w:p w:rsidR="00A75862" w:rsidRDefault="00A75862" w:rsidP="0077415D">
      <w:pPr>
        <w:rPr>
          <w:rFonts w:ascii="Calibri" w:hAnsi="Calibri"/>
          <w:b/>
          <w:color w:val="76923C"/>
          <w:sz w:val="28"/>
          <w:szCs w:val="28"/>
        </w:rPr>
      </w:pPr>
      <w:r w:rsidRPr="008B0E97">
        <w:rPr>
          <w:rFonts w:ascii="Calibri" w:hAnsi="Calibri"/>
          <w:b/>
          <w:color w:val="76923C"/>
          <w:sz w:val="28"/>
          <w:szCs w:val="28"/>
        </w:rPr>
        <w:t xml:space="preserve">Určeno pro </w:t>
      </w:r>
      <w:r w:rsidR="008B0E97" w:rsidRPr="008B0E97">
        <w:rPr>
          <w:rFonts w:ascii="Calibri" w:hAnsi="Calibri"/>
          <w:b/>
          <w:color w:val="76923C"/>
          <w:sz w:val="28"/>
          <w:szCs w:val="28"/>
        </w:rPr>
        <w:t>1</w:t>
      </w:r>
      <w:r w:rsidR="00785D1E">
        <w:rPr>
          <w:rFonts w:ascii="Calibri" w:hAnsi="Calibri"/>
          <w:b/>
          <w:color w:val="76923C"/>
          <w:sz w:val="28"/>
          <w:szCs w:val="28"/>
        </w:rPr>
        <w:t>5</w:t>
      </w:r>
      <w:r w:rsidRPr="008B0E97">
        <w:rPr>
          <w:rFonts w:ascii="Calibri" w:hAnsi="Calibri"/>
          <w:b/>
          <w:color w:val="76923C"/>
          <w:sz w:val="28"/>
          <w:szCs w:val="28"/>
        </w:rPr>
        <w:t xml:space="preserve">. zasedání Monitorovacího výboru IOP dne </w:t>
      </w:r>
      <w:r w:rsidR="00314317">
        <w:rPr>
          <w:rFonts w:ascii="Calibri" w:hAnsi="Calibri"/>
          <w:b/>
          <w:color w:val="76923C"/>
          <w:sz w:val="28"/>
          <w:szCs w:val="28"/>
        </w:rPr>
        <w:t>1</w:t>
      </w:r>
      <w:r w:rsidR="00071B19">
        <w:rPr>
          <w:rFonts w:ascii="Calibri" w:hAnsi="Calibri"/>
          <w:b/>
          <w:color w:val="76923C"/>
          <w:sz w:val="28"/>
          <w:szCs w:val="28"/>
        </w:rPr>
        <w:t>6</w:t>
      </w:r>
      <w:r w:rsidRPr="008C4750">
        <w:rPr>
          <w:rFonts w:ascii="Calibri" w:hAnsi="Calibri"/>
          <w:b/>
          <w:color w:val="76923C"/>
          <w:sz w:val="28"/>
          <w:szCs w:val="28"/>
        </w:rPr>
        <w:t>.</w:t>
      </w:r>
      <w:r w:rsidR="008B0E97" w:rsidRPr="008C4750">
        <w:rPr>
          <w:rFonts w:ascii="Calibri" w:hAnsi="Calibri"/>
          <w:b/>
          <w:color w:val="76923C"/>
          <w:sz w:val="28"/>
          <w:szCs w:val="28"/>
        </w:rPr>
        <w:t xml:space="preserve"> 6</w:t>
      </w:r>
      <w:r w:rsidRPr="008C4750">
        <w:rPr>
          <w:rFonts w:ascii="Calibri" w:hAnsi="Calibri"/>
          <w:b/>
          <w:color w:val="76923C"/>
          <w:sz w:val="28"/>
          <w:szCs w:val="28"/>
        </w:rPr>
        <w:t>.</w:t>
      </w:r>
      <w:r w:rsidR="008B0E97" w:rsidRPr="008C4750">
        <w:rPr>
          <w:rFonts w:ascii="Calibri" w:hAnsi="Calibri"/>
          <w:b/>
          <w:color w:val="76923C"/>
          <w:sz w:val="28"/>
          <w:szCs w:val="28"/>
        </w:rPr>
        <w:t xml:space="preserve"> 201</w:t>
      </w:r>
      <w:r w:rsidR="00785D1E">
        <w:rPr>
          <w:rFonts w:ascii="Calibri" w:hAnsi="Calibri"/>
          <w:b/>
          <w:color w:val="76923C"/>
          <w:sz w:val="28"/>
          <w:szCs w:val="28"/>
        </w:rPr>
        <w:t>5</w:t>
      </w:r>
    </w:p>
    <w:p w:rsidR="00785D1E" w:rsidRDefault="00785D1E" w:rsidP="0077415D">
      <w:pPr>
        <w:rPr>
          <w:rFonts w:ascii="Calibri" w:hAnsi="Calibri"/>
          <w:b/>
          <w:sz w:val="28"/>
          <w:szCs w:val="28"/>
        </w:rPr>
        <w:sectPr w:rsidR="00785D1E" w:rsidSect="00C30FE5">
          <w:headerReference w:type="default" r:id="rId10"/>
          <w:footerReference w:type="default" r:id="rId11"/>
          <w:type w:val="continuous"/>
          <w:pgSz w:w="11906" w:h="16838"/>
          <w:pgMar w:top="1417" w:right="1417" w:bottom="1417" w:left="1417" w:header="708" w:footer="708" w:gutter="0"/>
          <w:cols w:space="708"/>
          <w:docGrid w:linePitch="272"/>
        </w:sectPr>
      </w:pPr>
    </w:p>
    <w:p w:rsidR="00A75862" w:rsidRDefault="00A75862" w:rsidP="0077415D">
      <w:pPr>
        <w:spacing w:after="240"/>
        <w:rPr>
          <w:b/>
          <w:sz w:val="28"/>
          <w:szCs w:val="28"/>
        </w:rPr>
      </w:pPr>
    </w:p>
    <w:p w:rsidR="00A75862" w:rsidRDefault="00A75862" w:rsidP="0077415D">
      <w:pPr>
        <w:spacing w:after="240"/>
        <w:rPr>
          <w:b/>
          <w:sz w:val="28"/>
          <w:szCs w:val="28"/>
        </w:rPr>
        <w:sectPr w:rsidR="00A75862" w:rsidSect="003F08D8">
          <w:headerReference w:type="default" r:id="rId12"/>
          <w:footerReference w:type="default" r:id="rId13"/>
          <w:type w:val="continuous"/>
          <w:pgSz w:w="11906" w:h="16838"/>
          <w:pgMar w:top="1417" w:right="1417" w:bottom="1417" w:left="1417" w:header="709" w:footer="708" w:gutter="0"/>
          <w:cols w:space="708"/>
          <w:docGrid w:linePitch="272"/>
        </w:sectPr>
      </w:pPr>
    </w:p>
    <w:p w:rsidR="000806A1" w:rsidRDefault="000806A1" w:rsidP="000806A1">
      <w:pPr>
        <w:jc w:val="center"/>
        <w:rPr>
          <w:rFonts w:ascii="Calibri" w:hAnsi="Calibri"/>
          <w:b/>
          <w:sz w:val="28"/>
          <w:szCs w:val="28"/>
        </w:rPr>
      </w:pPr>
    </w:p>
    <w:p w:rsidR="000806A1" w:rsidRDefault="000806A1" w:rsidP="000806A1">
      <w:pPr>
        <w:jc w:val="center"/>
        <w:rPr>
          <w:rFonts w:ascii="Calibri" w:hAnsi="Calibri"/>
          <w:b/>
          <w:sz w:val="28"/>
          <w:szCs w:val="28"/>
        </w:rPr>
      </w:pPr>
    </w:p>
    <w:p w:rsidR="000806A1" w:rsidRDefault="000806A1" w:rsidP="000806A1">
      <w:pPr>
        <w:jc w:val="center"/>
        <w:rPr>
          <w:rFonts w:ascii="Calibri" w:hAnsi="Calibri"/>
          <w:b/>
          <w:sz w:val="28"/>
          <w:szCs w:val="28"/>
        </w:rPr>
      </w:pPr>
    </w:p>
    <w:p w:rsidR="000806A1" w:rsidRDefault="000806A1" w:rsidP="000806A1">
      <w:pPr>
        <w:jc w:val="center"/>
        <w:rPr>
          <w:rFonts w:ascii="Calibri" w:hAnsi="Calibri"/>
          <w:b/>
          <w:sz w:val="28"/>
          <w:szCs w:val="28"/>
        </w:rPr>
      </w:pPr>
    </w:p>
    <w:p w:rsidR="000806A1" w:rsidRDefault="000806A1" w:rsidP="000806A1">
      <w:pPr>
        <w:jc w:val="cente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b/>
          <w:sz w:val="28"/>
          <w:szCs w:val="28"/>
        </w:rPr>
        <w:sectPr w:rsidR="000806A1" w:rsidSect="00E01073">
          <w:headerReference w:type="default" r:id="rId14"/>
          <w:footerReference w:type="default" r:id="rId15"/>
          <w:pgSz w:w="11907" w:h="16840" w:code="9"/>
          <w:pgMar w:top="1418" w:right="1418" w:bottom="1418" w:left="1418" w:header="708" w:footer="708" w:gutter="0"/>
          <w:cols w:space="708"/>
        </w:sectPr>
      </w:pPr>
    </w:p>
    <w:p w:rsidR="00A75862" w:rsidRPr="0092660A" w:rsidRDefault="00A75862" w:rsidP="0077415D">
      <w:pPr>
        <w:spacing w:after="240"/>
        <w:rPr>
          <w:b/>
          <w:color w:val="76923C"/>
          <w:sz w:val="28"/>
          <w:szCs w:val="28"/>
        </w:rPr>
      </w:pPr>
      <w:r w:rsidRPr="0092660A">
        <w:rPr>
          <w:b/>
          <w:color w:val="76923C"/>
          <w:sz w:val="28"/>
          <w:szCs w:val="28"/>
        </w:rPr>
        <w:lastRenderedPageBreak/>
        <w:t>OBSAH</w:t>
      </w:r>
    </w:p>
    <w:p w:rsidR="00F93045" w:rsidRDefault="00AF5ACB">
      <w:pPr>
        <w:pStyle w:val="Obsah1"/>
        <w:rPr>
          <w:rFonts w:asciiTheme="minorHAnsi" w:eastAsiaTheme="minorEastAsia" w:hAnsiTheme="minorHAnsi" w:cstheme="minorBidi"/>
          <w:noProof/>
          <w:sz w:val="22"/>
          <w:szCs w:val="22"/>
        </w:rPr>
      </w:pPr>
      <w:r>
        <w:rPr>
          <w:b/>
          <w:sz w:val="28"/>
          <w:szCs w:val="28"/>
        </w:rPr>
        <w:fldChar w:fldCharType="begin"/>
      </w:r>
      <w:r w:rsidR="00A75862">
        <w:rPr>
          <w:b/>
          <w:sz w:val="28"/>
          <w:szCs w:val="28"/>
        </w:rPr>
        <w:instrText xml:space="preserve"> TOC \o "1-3" \h \z \u </w:instrText>
      </w:r>
      <w:r>
        <w:rPr>
          <w:b/>
          <w:sz w:val="28"/>
          <w:szCs w:val="28"/>
        </w:rPr>
        <w:fldChar w:fldCharType="separate"/>
      </w:r>
      <w:hyperlink w:anchor="_Toc417024828" w:history="1">
        <w:r w:rsidR="00F93045" w:rsidRPr="0060675F">
          <w:rPr>
            <w:rStyle w:val="Hypertextovodkaz"/>
            <w:noProof/>
          </w:rPr>
          <w:t>MANAŽERSKÉ SHRNUTÍ</w:t>
        </w:r>
        <w:r w:rsidR="00F93045">
          <w:rPr>
            <w:noProof/>
            <w:webHidden/>
          </w:rPr>
          <w:tab/>
        </w:r>
        <w:r w:rsidR="00F93045">
          <w:rPr>
            <w:noProof/>
            <w:webHidden/>
          </w:rPr>
          <w:fldChar w:fldCharType="begin"/>
        </w:r>
        <w:r w:rsidR="00F93045">
          <w:rPr>
            <w:noProof/>
            <w:webHidden/>
          </w:rPr>
          <w:instrText xml:space="preserve"> PAGEREF _Toc417024828 \h </w:instrText>
        </w:r>
        <w:r w:rsidR="00F93045">
          <w:rPr>
            <w:noProof/>
            <w:webHidden/>
          </w:rPr>
        </w:r>
        <w:r w:rsidR="00F93045">
          <w:rPr>
            <w:noProof/>
            <w:webHidden/>
          </w:rPr>
          <w:fldChar w:fldCharType="separate"/>
        </w:r>
        <w:r w:rsidR="00F93045">
          <w:rPr>
            <w:noProof/>
            <w:webHidden/>
          </w:rPr>
          <w:t>7</w:t>
        </w:r>
        <w:r w:rsidR="00F93045">
          <w:rPr>
            <w:noProof/>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829" w:history="1">
        <w:r w:rsidR="00F93045" w:rsidRPr="0060675F">
          <w:rPr>
            <w:rStyle w:val="Hypertextovodkaz"/>
            <w:noProof/>
          </w:rPr>
          <w:t>1 IDENTIFIKACE PROGRAMU</w:t>
        </w:r>
        <w:r w:rsidR="00F93045">
          <w:rPr>
            <w:noProof/>
            <w:webHidden/>
          </w:rPr>
          <w:tab/>
        </w:r>
        <w:r w:rsidR="00F93045">
          <w:rPr>
            <w:noProof/>
            <w:webHidden/>
          </w:rPr>
          <w:fldChar w:fldCharType="begin"/>
        </w:r>
        <w:r w:rsidR="00F93045">
          <w:rPr>
            <w:noProof/>
            <w:webHidden/>
          </w:rPr>
          <w:instrText xml:space="preserve"> PAGEREF _Toc417024829 \h </w:instrText>
        </w:r>
        <w:r w:rsidR="00F93045">
          <w:rPr>
            <w:noProof/>
            <w:webHidden/>
          </w:rPr>
        </w:r>
        <w:r w:rsidR="00F93045">
          <w:rPr>
            <w:noProof/>
            <w:webHidden/>
          </w:rPr>
          <w:fldChar w:fldCharType="separate"/>
        </w:r>
        <w:r w:rsidR="00F93045">
          <w:rPr>
            <w:noProof/>
            <w:webHidden/>
          </w:rPr>
          <w:t>10</w:t>
        </w:r>
        <w:r w:rsidR="00F93045">
          <w:rPr>
            <w:noProof/>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30" w:history="1">
        <w:r w:rsidR="00F93045" w:rsidRPr="0060675F">
          <w:rPr>
            <w:rStyle w:val="Hypertextovodkaz"/>
            <w:noProof/>
          </w:rPr>
          <w:t>1.1 Cíle IOP</w:t>
        </w:r>
        <w:r w:rsidR="00F93045">
          <w:rPr>
            <w:noProof/>
            <w:webHidden/>
          </w:rPr>
          <w:tab/>
        </w:r>
        <w:r w:rsidR="00F93045">
          <w:rPr>
            <w:noProof/>
            <w:webHidden/>
          </w:rPr>
          <w:fldChar w:fldCharType="begin"/>
        </w:r>
        <w:r w:rsidR="00F93045">
          <w:rPr>
            <w:noProof/>
            <w:webHidden/>
          </w:rPr>
          <w:instrText xml:space="preserve"> PAGEREF _Toc417024830 \h </w:instrText>
        </w:r>
        <w:r w:rsidR="00F93045">
          <w:rPr>
            <w:noProof/>
            <w:webHidden/>
          </w:rPr>
        </w:r>
        <w:r w:rsidR="00F93045">
          <w:rPr>
            <w:noProof/>
            <w:webHidden/>
          </w:rPr>
          <w:fldChar w:fldCharType="separate"/>
        </w:r>
        <w:r w:rsidR="00F93045">
          <w:rPr>
            <w:noProof/>
            <w:webHidden/>
          </w:rPr>
          <w:t>10</w:t>
        </w:r>
        <w:r w:rsidR="00F93045">
          <w:rPr>
            <w:noProof/>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31" w:history="1">
        <w:r w:rsidR="00F93045" w:rsidRPr="0060675F">
          <w:rPr>
            <w:rStyle w:val="Hypertextovodkaz"/>
            <w:noProof/>
          </w:rPr>
          <w:t>1.2 Rozdělení kompetencí mezi Řídícím orgánem a zprostředkujícími subjekty</w:t>
        </w:r>
        <w:r w:rsidR="00F93045">
          <w:rPr>
            <w:noProof/>
            <w:webHidden/>
          </w:rPr>
          <w:tab/>
        </w:r>
        <w:r w:rsidR="00F93045">
          <w:rPr>
            <w:noProof/>
            <w:webHidden/>
          </w:rPr>
          <w:fldChar w:fldCharType="begin"/>
        </w:r>
        <w:r w:rsidR="00F93045">
          <w:rPr>
            <w:noProof/>
            <w:webHidden/>
          </w:rPr>
          <w:instrText xml:space="preserve"> PAGEREF _Toc417024831 \h </w:instrText>
        </w:r>
        <w:r w:rsidR="00F93045">
          <w:rPr>
            <w:noProof/>
            <w:webHidden/>
          </w:rPr>
        </w:r>
        <w:r w:rsidR="00F93045">
          <w:rPr>
            <w:noProof/>
            <w:webHidden/>
          </w:rPr>
          <w:fldChar w:fldCharType="separate"/>
        </w:r>
        <w:r w:rsidR="00F93045">
          <w:rPr>
            <w:noProof/>
            <w:webHidden/>
          </w:rPr>
          <w:t>14</w:t>
        </w:r>
        <w:r w:rsidR="00F93045">
          <w:rPr>
            <w:noProof/>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32" w:history="1">
        <w:r w:rsidR="00F93045" w:rsidRPr="0060675F">
          <w:rPr>
            <w:rStyle w:val="Hypertextovodkaz"/>
            <w:noProof/>
          </w:rPr>
          <w:t>1.3 Vazba IOP na strategické dokumenty</w:t>
        </w:r>
        <w:r w:rsidR="00F93045">
          <w:rPr>
            <w:noProof/>
            <w:webHidden/>
          </w:rPr>
          <w:tab/>
        </w:r>
        <w:r w:rsidR="00F93045">
          <w:rPr>
            <w:noProof/>
            <w:webHidden/>
          </w:rPr>
          <w:fldChar w:fldCharType="begin"/>
        </w:r>
        <w:r w:rsidR="00F93045">
          <w:rPr>
            <w:noProof/>
            <w:webHidden/>
          </w:rPr>
          <w:instrText xml:space="preserve"> PAGEREF _Toc417024832 \h </w:instrText>
        </w:r>
        <w:r w:rsidR="00F93045">
          <w:rPr>
            <w:noProof/>
            <w:webHidden/>
          </w:rPr>
        </w:r>
        <w:r w:rsidR="00F93045">
          <w:rPr>
            <w:noProof/>
            <w:webHidden/>
          </w:rPr>
          <w:fldChar w:fldCharType="separate"/>
        </w:r>
        <w:r w:rsidR="00F93045">
          <w:rPr>
            <w:noProof/>
            <w:webHidden/>
          </w:rPr>
          <w:t>15</w:t>
        </w:r>
        <w:r w:rsidR="00F93045">
          <w:rPr>
            <w:noProof/>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33" w:history="1">
        <w:r w:rsidR="00F93045" w:rsidRPr="0060675F">
          <w:rPr>
            <w:rStyle w:val="Hypertextovodkaz"/>
            <w:noProof/>
          </w:rPr>
          <w:t>1.4 Celková ekonomická situace a její vliv na IOP</w:t>
        </w:r>
        <w:r w:rsidR="00F93045">
          <w:rPr>
            <w:noProof/>
            <w:webHidden/>
          </w:rPr>
          <w:tab/>
        </w:r>
        <w:r w:rsidR="00F93045">
          <w:rPr>
            <w:noProof/>
            <w:webHidden/>
          </w:rPr>
          <w:fldChar w:fldCharType="begin"/>
        </w:r>
        <w:r w:rsidR="00F93045">
          <w:rPr>
            <w:noProof/>
            <w:webHidden/>
          </w:rPr>
          <w:instrText xml:space="preserve"> PAGEREF _Toc417024833 \h </w:instrText>
        </w:r>
        <w:r w:rsidR="00F93045">
          <w:rPr>
            <w:noProof/>
            <w:webHidden/>
          </w:rPr>
        </w:r>
        <w:r w:rsidR="00F93045">
          <w:rPr>
            <w:noProof/>
            <w:webHidden/>
          </w:rPr>
          <w:fldChar w:fldCharType="separate"/>
        </w:r>
        <w:r w:rsidR="00F93045">
          <w:rPr>
            <w:noProof/>
            <w:webHidden/>
          </w:rPr>
          <w:t>17</w:t>
        </w:r>
        <w:r w:rsidR="00F93045">
          <w:rPr>
            <w:noProof/>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834" w:history="1">
        <w:r w:rsidR="00F93045" w:rsidRPr="0060675F">
          <w:rPr>
            <w:rStyle w:val="Hypertextovodkaz"/>
            <w:noProof/>
          </w:rPr>
          <w:t>2 PŘEHLED PROVÁDĚNÍ PROGRAMU</w:t>
        </w:r>
        <w:r w:rsidR="00F93045">
          <w:rPr>
            <w:noProof/>
            <w:webHidden/>
          </w:rPr>
          <w:tab/>
        </w:r>
        <w:r w:rsidR="00F93045">
          <w:rPr>
            <w:noProof/>
            <w:webHidden/>
          </w:rPr>
          <w:fldChar w:fldCharType="begin"/>
        </w:r>
        <w:r w:rsidR="00F93045">
          <w:rPr>
            <w:noProof/>
            <w:webHidden/>
          </w:rPr>
          <w:instrText xml:space="preserve"> PAGEREF _Toc417024834 \h </w:instrText>
        </w:r>
        <w:r w:rsidR="00F93045">
          <w:rPr>
            <w:noProof/>
            <w:webHidden/>
          </w:rPr>
        </w:r>
        <w:r w:rsidR="00F93045">
          <w:rPr>
            <w:noProof/>
            <w:webHidden/>
          </w:rPr>
          <w:fldChar w:fldCharType="separate"/>
        </w:r>
        <w:r w:rsidR="00F93045">
          <w:rPr>
            <w:noProof/>
            <w:webHidden/>
          </w:rPr>
          <w:t>17</w:t>
        </w:r>
        <w:r w:rsidR="00F93045">
          <w:rPr>
            <w:noProof/>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35" w:history="1">
        <w:r w:rsidR="00F93045" w:rsidRPr="0060675F">
          <w:rPr>
            <w:rStyle w:val="Hypertextovodkaz"/>
            <w:noProof/>
          </w:rPr>
          <w:t>2.1 Dosažený pokrok a jeho analýza</w:t>
        </w:r>
        <w:r w:rsidR="00F93045">
          <w:rPr>
            <w:noProof/>
            <w:webHidden/>
          </w:rPr>
          <w:tab/>
        </w:r>
        <w:r w:rsidR="00F93045">
          <w:rPr>
            <w:noProof/>
            <w:webHidden/>
          </w:rPr>
          <w:fldChar w:fldCharType="begin"/>
        </w:r>
        <w:r w:rsidR="00F93045">
          <w:rPr>
            <w:noProof/>
            <w:webHidden/>
          </w:rPr>
          <w:instrText xml:space="preserve"> PAGEREF _Toc417024835 \h </w:instrText>
        </w:r>
        <w:r w:rsidR="00F93045">
          <w:rPr>
            <w:noProof/>
            <w:webHidden/>
          </w:rPr>
        </w:r>
        <w:r w:rsidR="00F93045">
          <w:rPr>
            <w:noProof/>
            <w:webHidden/>
          </w:rPr>
          <w:fldChar w:fldCharType="separate"/>
        </w:r>
        <w:r w:rsidR="00F93045">
          <w:rPr>
            <w:noProof/>
            <w:webHidden/>
          </w:rPr>
          <w:t>19</w:t>
        </w:r>
        <w:r w:rsidR="00F93045">
          <w:rPr>
            <w:noProof/>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36" w:history="1">
        <w:r w:rsidR="00F93045" w:rsidRPr="0060675F">
          <w:rPr>
            <w:rStyle w:val="Hypertextovodkaz"/>
          </w:rPr>
          <w:t>2.1. A Informace o věcném pokroku programu</w:t>
        </w:r>
        <w:r w:rsidR="00F93045">
          <w:rPr>
            <w:webHidden/>
          </w:rPr>
          <w:tab/>
        </w:r>
        <w:r w:rsidR="00F93045">
          <w:rPr>
            <w:webHidden/>
          </w:rPr>
          <w:fldChar w:fldCharType="begin"/>
        </w:r>
        <w:r w:rsidR="00F93045">
          <w:rPr>
            <w:webHidden/>
          </w:rPr>
          <w:instrText xml:space="preserve"> PAGEREF _Toc417024836 \h </w:instrText>
        </w:r>
        <w:r w:rsidR="00F93045">
          <w:rPr>
            <w:webHidden/>
          </w:rPr>
        </w:r>
        <w:r w:rsidR="00F93045">
          <w:rPr>
            <w:webHidden/>
          </w:rPr>
          <w:fldChar w:fldCharType="separate"/>
        </w:r>
        <w:r w:rsidR="00F93045">
          <w:rPr>
            <w:webHidden/>
          </w:rPr>
          <w:t>19</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37" w:history="1">
        <w:r w:rsidR="00F93045" w:rsidRPr="0060675F">
          <w:rPr>
            <w:rStyle w:val="Hypertextovodkaz"/>
          </w:rPr>
          <w:t>2.1. B Informace o finančních údajích IOP</w:t>
        </w:r>
        <w:r w:rsidR="00F93045">
          <w:rPr>
            <w:webHidden/>
          </w:rPr>
          <w:tab/>
        </w:r>
        <w:r w:rsidR="00F93045">
          <w:rPr>
            <w:webHidden/>
          </w:rPr>
          <w:fldChar w:fldCharType="begin"/>
        </w:r>
        <w:r w:rsidR="00F93045">
          <w:rPr>
            <w:webHidden/>
          </w:rPr>
          <w:instrText xml:space="preserve"> PAGEREF _Toc417024837 \h </w:instrText>
        </w:r>
        <w:r w:rsidR="00F93045">
          <w:rPr>
            <w:webHidden/>
          </w:rPr>
        </w:r>
        <w:r w:rsidR="00F93045">
          <w:rPr>
            <w:webHidden/>
          </w:rPr>
          <w:fldChar w:fldCharType="separate"/>
        </w:r>
        <w:r w:rsidR="00F93045">
          <w:rPr>
            <w:webHidden/>
          </w:rPr>
          <w:t>23</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38" w:history="1">
        <w:r w:rsidR="00F93045" w:rsidRPr="0060675F">
          <w:rPr>
            <w:rStyle w:val="Hypertextovodkaz"/>
          </w:rPr>
          <w:t>2.1. C Informace o rozpisu využití fondů</w:t>
        </w:r>
        <w:r w:rsidR="00F93045">
          <w:rPr>
            <w:webHidden/>
          </w:rPr>
          <w:tab/>
        </w:r>
        <w:r w:rsidR="00F93045">
          <w:rPr>
            <w:webHidden/>
          </w:rPr>
          <w:fldChar w:fldCharType="begin"/>
        </w:r>
        <w:r w:rsidR="00F93045">
          <w:rPr>
            <w:webHidden/>
          </w:rPr>
          <w:instrText xml:space="preserve"> PAGEREF _Toc417024838 \h </w:instrText>
        </w:r>
        <w:r w:rsidR="00F93045">
          <w:rPr>
            <w:webHidden/>
          </w:rPr>
        </w:r>
        <w:r w:rsidR="00F93045">
          <w:rPr>
            <w:webHidden/>
          </w:rPr>
          <w:fldChar w:fldCharType="separate"/>
        </w:r>
        <w:r w:rsidR="00F93045">
          <w:rPr>
            <w:webHidden/>
          </w:rPr>
          <w:t>32</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39" w:history="1">
        <w:r w:rsidR="00F93045" w:rsidRPr="0060675F">
          <w:rPr>
            <w:rStyle w:val="Hypertextovodkaz"/>
          </w:rPr>
          <w:t>2.1. D Pomoc podle cílových skupin</w:t>
        </w:r>
        <w:r w:rsidR="00F93045">
          <w:rPr>
            <w:webHidden/>
          </w:rPr>
          <w:tab/>
        </w:r>
        <w:r w:rsidR="00F93045">
          <w:rPr>
            <w:webHidden/>
          </w:rPr>
          <w:fldChar w:fldCharType="begin"/>
        </w:r>
        <w:r w:rsidR="00F93045">
          <w:rPr>
            <w:webHidden/>
          </w:rPr>
          <w:instrText xml:space="preserve"> PAGEREF _Toc417024839 \h </w:instrText>
        </w:r>
        <w:r w:rsidR="00F93045">
          <w:rPr>
            <w:webHidden/>
          </w:rPr>
        </w:r>
        <w:r w:rsidR="00F93045">
          <w:rPr>
            <w:webHidden/>
          </w:rPr>
          <w:fldChar w:fldCharType="separate"/>
        </w:r>
        <w:r w:rsidR="00F93045">
          <w:rPr>
            <w:webHidden/>
          </w:rPr>
          <w:t>33</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40" w:history="1">
        <w:r w:rsidR="00F93045" w:rsidRPr="0060675F">
          <w:rPr>
            <w:rStyle w:val="Hypertextovodkaz"/>
          </w:rPr>
          <w:t>2. 1. E Vrácená nebo znovu použitá pomoc</w:t>
        </w:r>
        <w:r w:rsidR="00F93045">
          <w:rPr>
            <w:webHidden/>
          </w:rPr>
          <w:tab/>
        </w:r>
        <w:r w:rsidR="00F93045">
          <w:rPr>
            <w:webHidden/>
          </w:rPr>
          <w:fldChar w:fldCharType="begin"/>
        </w:r>
        <w:r w:rsidR="00F93045">
          <w:rPr>
            <w:webHidden/>
          </w:rPr>
          <w:instrText xml:space="preserve"> PAGEREF _Toc417024840 \h </w:instrText>
        </w:r>
        <w:r w:rsidR="00F93045">
          <w:rPr>
            <w:webHidden/>
          </w:rPr>
        </w:r>
        <w:r w:rsidR="00F93045">
          <w:rPr>
            <w:webHidden/>
          </w:rPr>
          <w:fldChar w:fldCharType="separate"/>
        </w:r>
        <w:r w:rsidR="00F93045">
          <w:rPr>
            <w:webHidden/>
          </w:rPr>
          <w:t>33</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41" w:history="1">
        <w:r w:rsidR="00F93045" w:rsidRPr="0060675F">
          <w:rPr>
            <w:rStyle w:val="Hypertextovodkaz"/>
          </w:rPr>
          <w:t>2. 1. F Kvalitativní analýza</w:t>
        </w:r>
        <w:r w:rsidR="00F93045">
          <w:rPr>
            <w:webHidden/>
          </w:rPr>
          <w:tab/>
        </w:r>
        <w:r w:rsidR="00F93045">
          <w:rPr>
            <w:webHidden/>
          </w:rPr>
          <w:fldChar w:fldCharType="begin"/>
        </w:r>
        <w:r w:rsidR="00F93045">
          <w:rPr>
            <w:webHidden/>
          </w:rPr>
          <w:instrText xml:space="preserve"> PAGEREF _Toc417024841 \h </w:instrText>
        </w:r>
        <w:r w:rsidR="00F93045">
          <w:rPr>
            <w:webHidden/>
          </w:rPr>
        </w:r>
        <w:r w:rsidR="00F93045">
          <w:rPr>
            <w:webHidden/>
          </w:rPr>
          <w:fldChar w:fldCharType="separate"/>
        </w:r>
        <w:r w:rsidR="00F93045">
          <w:rPr>
            <w:webHidden/>
          </w:rPr>
          <w:t>34</w:t>
        </w:r>
        <w:r w:rsidR="00F93045">
          <w:rPr>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42" w:history="1">
        <w:r w:rsidR="00F93045" w:rsidRPr="0060675F">
          <w:rPr>
            <w:rStyle w:val="Hypertextovodkaz"/>
            <w:noProof/>
          </w:rPr>
          <w:t>2.2 Informace o souladu s právními předpisy EU</w:t>
        </w:r>
        <w:r w:rsidR="00F93045">
          <w:rPr>
            <w:noProof/>
            <w:webHidden/>
          </w:rPr>
          <w:tab/>
        </w:r>
        <w:r w:rsidR="00F93045">
          <w:rPr>
            <w:noProof/>
            <w:webHidden/>
          </w:rPr>
          <w:fldChar w:fldCharType="begin"/>
        </w:r>
        <w:r w:rsidR="00F93045">
          <w:rPr>
            <w:noProof/>
            <w:webHidden/>
          </w:rPr>
          <w:instrText xml:space="preserve"> PAGEREF _Toc417024842 \h </w:instrText>
        </w:r>
        <w:r w:rsidR="00F93045">
          <w:rPr>
            <w:noProof/>
            <w:webHidden/>
          </w:rPr>
        </w:r>
        <w:r w:rsidR="00F93045">
          <w:rPr>
            <w:noProof/>
            <w:webHidden/>
          </w:rPr>
          <w:fldChar w:fldCharType="separate"/>
        </w:r>
        <w:r w:rsidR="00F93045">
          <w:rPr>
            <w:noProof/>
            <w:webHidden/>
          </w:rPr>
          <w:t>46</w:t>
        </w:r>
        <w:r w:rsidR="00F93045">
          <w:rPr>
            <w:noProof/>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43" w:history="1">
        <w:r w:rsidR="00F93045" w:rsidRPr="0060675F">
          <w:rPr>
            <w:rStyle w:val="Hypertextovodkaz"/>
            <w:noProof/>
          </w:rPr>
          <w:t>2.3 Problémy při realizaci programu a přijatá opatření k jejich odstranění</w:t>
        </w:r>
        <w:r w:rsidR="00F93045">
          <w:rPr>
            <w:noProof/>
            <w:webHidden/>
          </w:rPr>
          <w:tab/>
        </w:r>
        <w:r w:rsidR="00F93045">
          <w:rPr>
            <w:noProof/>
            <w:webHidden/>
          </w:rPr>
          <w:fldChar w:fldCharType="begin"/>
        </w:r>
        <w:r w:rsidR="00F93045">
          <w:rPr>
            <w:noProof/>
            <w:webHidden/>
          </w:rPr>
          <w:instrText xml:space="preserve"> PAGEREF _Toc417024843 \h </w:instrText>
        </w:r>
        <w:r w:rsidR="00F93045">
          <w:rPr>
            <w:noProof/>
            <w:webHidden/>
          </w:rPr>
        </w:r>
        <w:r w:rsidR="00F93045">
          <w:rPr>
            <w:noProof/>
            <w:webHidden/>
          </w:rPr>
          <w:fldChar w:fldCharType="separate"/>
        </w:r>
        <w:r w:rsidR="00F93045">
          <w:rPr>
            <w:noProof/>
            <w:webHidden/>
          </w:rPr>
          <w:t>52</w:t>
        </w:r>
        <w:r w:rsidR="00F93045">
          <w:rPr>
            <w:noProof/>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44" w:history="1">
        <w:r w:rsidR="00F93045" w:rsidRPr="0060675F">
          <w:rPr>
            <w:rStyle w:val="Hypertextovodkaz"/>
          </w:rPr>
          <w:t>2.3.1 Problémy zjištěné Auditním orgánem, NKÚ, Evropskou komisí</w:t>
        </w:r>
        <w:r w:rsidR="00F93045">
          <w:rPr>
            <w:webHidden/>
          </w:rPr>
          <w:tab/>
        </w:r>
        <w:r w:rsidR="00F93045">
          <w:rPr>
            <w:webHidden/>
          </w:rPr>
          <w:fldChar w:fldCharType="begin"/>
        </w:r>
        <w:r w:rsidR="00F93045">
          <w:rPr>
            <w:webHidden/>
          </w:rPr>
          <w:instrText xml:space="preserve"> PAGEREF _Toc417024844 \h </w:instrText>
        </w:r>
        <w:r w:rsidR="00F93045">
          <w:rPr>
            <w:webHidden/>
          </w:rPr>
        </w:r>
        <w:r w:rsidR="00F93045">
          <w:rPr>
            <w:webHidden/>
          </w:rPr>
          <w:fldChar w:fldCharType="separate"/>
        </w:r>
        <w:r w:rsidR="00F93045">
          <w:rPr>
            <w:webHidden/>
          </w:rPr>
          <w:t>52</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45" w:history="1">
        <w:r w:rsidR="00F93045" w:rsidRPr="0060675F">
          <w:rPr>
            <w:rStyle w:val="Hypertextovodkaz"/>
          </w:rPr>
          <w:t>2.3.2 Řešení chybovosti IOP ve Výroční kontrolní zprávě za rok 2013</w:t>
        </w:r>
        <w:r w:rsidR="00F93045">
          <w:rPr>
            <w:webHidden/>
          </w:rPr>
          <w:tab/>
        </w:r>
        <w:r w:rsidR="00F93045">
          <w:rPr>
            <w:webHidden/>
          </w:rPr>
          <w:fldChar w:fldCharType="begin"/>
        </w:r>
        <w:r w:rsidR="00F93045">
          <w:rPr>
            <w:webHidden/>
          </w:rPr>
          <w:instrText xml:space="preserve"> PAGEREF _Toc417024845 \h </w:instrText>
        </w:r>
        <w:r w:rsidR="00F93045">
          <w:rPr>
            <w:webHidden/>
          </w:rPr>
        </w:r>
        <w:r w:rsidR="00F93045">
          <w:rPr>
            <w:webHidden/>
          </w:rPr>
          <w:fldChar w:fldCharType="separate"/>
        </w:r>
        <w:r w:rsidR="00F93045">
          <w:rPr>
            <w:webHidden/>
          </w:rPr>
          <w:t>60</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46" w:history="1">
        <w:r w:rsidR="00F93045" w:rsidRPr="0060675F">
          <w:rPr>
            <w:rStyle w:val="Hypertextovodkaz"/>
          </w:rPr>
          <w:t>2.3.3 Řešení chybovosti IOP ve Výroční kontrolní zprávě za rok 2014</w:t>
        </w:r>
        <w:r w:rsidR="00F93045">
          <w:rPr>
            <w:webHidden/>
          </w:rPr>
          <w:tab/>
        </w:r>
        <w:r w:rsidR="00F93045">
          <w:rPr>
            <w:webHidden/>
          </w:rPr>
          <w:fldChar w:fldCharType="begin"/>
        </w:r>
        <w:r w:rsidR="00F93045">
          <w:rPr>
            <w:webHidden/>
          </w:rPr>
          <w:instrText xml:space="preserve"> PAGEREF _Toc417024846 \h </w:instrText>
        </w:r>
        <w:r w:rsidR="00F93045">
          <w:rPr>
            <w:webHidden/>
          </w:rPr>
        </w:r>
        <w:r w:rsidR="00F93045">
          <w:rPr>
            <w:webHidden/>
          </w:rPr>
          <w:fldChar w:fldCharType="separate"/>
        </w:r>
        <w:r w:rsidR="00F93045">
          <w:rPr>
            <w:webHidden/>
          </w:rPr>
          <w:t>60</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47" w:history="1">
        <w:r w:rsidR="00F93045" w:rsidRPr="0060675F">
          <w:rPr>
            <w:rStyle w:val="Hypertextovodkaz"/>
          </w:rPr>
          <w:t>2.3.4 Metodika finančních toků v souvislosti s výkonem auditu AO</w:t>
        </w:r>
        <w:r w:rsidR="00F93045">
          <w:rPr>
            <w:webHidden/>
          </w:rPr>
          <w:tab/>
        </w:r>
        <w:r w:rsidR="00F93045">
          <w:rPr>
            <w:webHidden/>
          </w:rPr>
          <w:fldChar w:fldCharType="begin"/>
        </w:r>
        <w:r w:rsidR="00F93045">
          <w:rPr>
            <w:webHidden/>
          </w:rPr>
          <w:instrText xml:space="preserve"> PAGEREF _Toc417024847 \h </w:instrText>
        </w:r>
        <w:r w:rsidR="00F93045">
          <w:rPr>
            <w:webHidden/>
          </w:rPr>
        </w:r>
        <w:r w:rsidR="00F93045">
          <w:rPr>
            <w:webHidden/>
          </w:rPr>
          <w:fldChar w:fldCharType="separate"/>
        </w:r>
        <w:r w:rsidR="00F93045">
          <w:rPr>
            <w:webHidden/>
          </w:rPr>
          <w:t>61</w:t>
        </w:r>
        <w:r w:rsidR="00F93045">
          <w:rPr>
            <w:webHidden/>
          </w:rPr>
          <w:fldChar w:fldCharType="end"/>
        </w:r>
      </w:hyperlink>
    </w:p>
    <w:p w:rsidR="00F93045" w:rsidRDefault="0095318B">
      <w:pPr>
        <w:pStyle w:val="Obsah3"/>
        <w:tabs>
          <w:tab w:val="left" w:pos="660"/>
        </w:tabs>
        <w:rPr>
          <w:rFonts w:asciiTheme="minorHAnsi" w:eastAsiaTheme="minorEastAsia" w:hAnsiTheme="minorHAnsi" w:cstheme="minorBidi"/>
          <w:bCs w:val="0"/>
          <w:sz w:val="22"/>
          <w:szCs w:val="22"/>
        </w:rPr>
      </w:pPr>
      <w:hyperlink w:anchor="_Toc417024848" w:history="1">
        <w:r w:rsidR="00F93045" w:rsidRPr="0060675F">
          <w:rPr>
            <w:rStyle w:val="Hypertextovodkaz"/>
          </w:rPr>
          <w:t>2.3.5</w:t>
        </w:r>
        <w:r w:rsidR="00F93045">
          <w:rPr>
            <w:rStyle w:val="Hypertextovodkaz"/>
          </w:rPr>
          <w:t xml:space="preserve"> </w:t>
        </w:r>
        <w:r w:rsidR="00F93045" w:rsidRPr="0060675F">
          <w:rPr>
            <w:rStyle w:val="Hypertextovodkaz"/>
          </w:rPr>
          <w:t>Pozastavení certifikace v oblasti 3.2 Služby v oblasti veřejného zdraví</w:t>
        </w:r>
        <w:r w:rsidR="00F93045">
          <w:rPr>
            <w:webHidden/>
          </w:rPr>
          <w:tab/>
        </w:r>
        <w:r w:rsidR="00F93045">
          <w:rPr>
            <w:webHidden/>
          </w:rPr>
          <w:fldChar w:fldCharType="begin"/>
        </w:r>
        <w:r w:rsidR="00F93045">
          <w:rPr>
            <w:webHidden/>
          </w:rPr>
          <w:instrText xml:space="preserve"> PAGEREF _Toc417024848 \h </w:instrText>
        </w:r>
        <w:r w:rsidR="00F93045">
          <w:rPr>
            <w:webHidden/>
          </w:rPr>
        </w:r>
        <w:r w:rsidR="00F93045">
          <w:rPr>
            <w:webHidden/>
          </w:rPr>
          <w:fldChar w:fldCharType="separate"/>
        </w:r>
        <w:r w:rsidR="00F93045">
          <w:rPr>
            <w:webHidden/>
          </w:rPr>
          <w:t>61</w:t>
        </w:r>
        <w:r w:rsidR="00F93045">
          <w:rPr>
            <w:webHidden/>
          </w:rPr>
          <w:fldChar w:fldCharType="end"/>
        </w:r>
      </w:hyperlink>
    </w:p>
    <w:p w:rsidR="00F93045" w:rsidRDefault="0095318B">
      <w:pPr>
        <w:pStyle w:val="Obsah3"/>
        <w:tabs>
          <w:tab w:val="left" w:pos="660"/>
        </w:tabs>
        <w:rPr>
          <w:rFonts w:asciiTheme="minorHAnsi" w:eastAsiaTheme="minorEastAsia" w:hAnsiTheme="minorHAnsi" w:cstheme="minorBidi"/>
          <w:bCs w:val="0"/>
          <w:sz w:val="22"/>
          <w:szCs w:val="22"/>
        </w:rPr>
      </w:pPr>
      <w:hyperlink w:anchor="_Toc417024849" w:history="1">
        <w:r w:rsidR="00F93045" w:rsidRPr="0060675F">
          <w:rPr>
            <w:rStyle w:val="Hypertextovodkaz"/>
          </w:rPr>
          <w:t>2.3.6</w:t>
        </w:r>
        <w:r w:rsidR="00F93045">
          <w:rPr>
            <w:rStyle w:val="Hypertextovodkaz"/>
          </w:rPr>
          <w:t xml:space="preserve"> </w:t>
        </w:r>
        <w:r w:rsidR="00F93045" w:rsidRPr="0060675F">
          <w:rPr>
            <w:rStyle w:val="Hypertextovodkaz"/>
          </w:rPr>
          <w:t>Varovný dopis k 10 projektům IT z oblasti 2.1 Zavádění ICT v územní veřejné správě</w:t>
        </w:r>
        <w:r w:rsidR="00F93045">
          <w:rPr>
            <w:webHidden/>
          </w:rPr>
          <w:tab/>
        </w:r>
        <w:r w:rsidR="00F93045">
          <w:rPr>
            <w:webHidden/>
          </w:rPr>
          <w:fldChar w:fldCharType="begin"/>
        </w:r>
        <w:r w:rsidR="00F93045">
          <w:rPr>
            <w:webHidden/>
          </w:rPr>
          <w:instrText xml:space="preserve"> PAGEREF _Toc417024849 \h </w:instrText>
        </w:r>
        <w:r w:rsidR="00F93045">
          <w:rPr>
            <w:webHidden/>
          </w:rPr>
        </w:r>
        <w:r w:rsidR="00F93045">
          <w:rPr>
            <w:webHidden/>
          </w:rPr>
          <w:fldChar w:fldCharType="separate"/>
        </w:r>
        <w:r w:rsidR="00F93045">
          <w:rPr>
            <w:webHidden/>
          </w:rPr>
          <w:t>61</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50" w:history="1">
        <w:r w:rsidR="00F93045" w:rsidRPr="0060675F">
          <w:rPr>
            <w:rStyle w:val="Hypertextovodkaz"/>
          </w:rPr>
          <w:t>2.3.7 Personální zajištění programu</w:t>
        </w:r>
        <w:r w:rsidR="00F93045">
          <w:rPr>
            <w:webHidden/>
          </w:rPr>
          <w:tab/>
        </w:r>
        <w:r w:rsidR="00F93045">
          <w:rPr>
            <w:webHidden/>
          </w:rPr>
          <w:fldChar w:fldCharType="begin"/>
        </w:r>
        <w:r w:rsidR="00F93045">
          <w:rPr>
            <w:webHidden/>
          </w:rPr>
          <w:instrText xml:space="preserve"> PAGEREF _Toc417024850 \h </w:instrText>
        </w:r>
        <w:r w:rsidR="00F93045">
          <w:rPr>
            <w:webHidden/>
          </w:rPr>
        </w:r>
        <w:r w:rsidR="00F93045">
          <w:rPr>
            <w:webHidden/>
          </w:rPr>
          <w:fldChar w:fldCharType="separate"/>
        </w:r>
        <w:r w:rsidR="00F93045">
          <w:rPr>
            <w:webHidden/>
          </w:rPr>
          <w:t>62</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51" w:history="1">
        <w:r w:rsidR="00F93045" w:rsidRPr="0060675F">
          <w:rPr>
            <w:rStyle w:val="Hypertextovodkaz"/>
          </w:rPr>
          <w:t>2.3.8 Česká pošta</w:t>
        </w:r>
        <w:r w:rsidR="00F93045">
          <w:rPr>
            <w:webHidden/>
          </w:rPr>
          <w:tab/>
        </w:r>
        <w:r w:rsidR="00F93045">
          <w:rPr>
            <w:webHidden/>
          </w:rPr>
          <w:fldChar w:fldCharType="begin"/>
        </w:r>
        <w:r w:rsidR="00F93045">
          <w:rPr>
            <w:webHidden/>
          </w:rPr>
          <w:instrText xml:space="preserve"> PAGEREF _Toc417024851 \h </w:instrText>
        </w:r>
        <w:r w:rsidR="00F93045">
          <w:rPr>
            <w:webHidden/>
          </w:rPr>
        </w:r>
        <w:r w:rsidR="00F93045">
          <w:rPr>
            <w:webHidden/>
          </w:rPr>
          <w:fldChar w:fldCharType="separate"/>
        </w:r>
        <w:r w:rsidR="00F93045">
          <w:rPr>
            <w:webHidden/>
          </w:rPr>
          <w:t>62</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52" w:history="1">
        <w:r w:rsidR="00F93045" w:rsidRPr="0060675F">
          <w:rPr>
            <w:rStyle w:val="Hypertextovodkaz"/>
          </w:rPr>
          <w:t>2.3.9 Zesílené řízení rizik NOK</w:t>
        </w:r>
        <w:r w:rsidR="00F93045">
          <w:rPr>
            <w:webHidden/>
          </w:rPr>
          <w:tab/>
        </w:r>
        <w:r w:rsidR="00F93045">
          <w:rPr>
            <w:webHidden/>
          </w:rPr>
          <w:fldChar w:fldCharType="begin"/>
        </w:r>
        <w:r w:rsidR="00F93045">
          <w:rPr>
            <w:webHidden/>
          </w:rPr>
          <w:instrText xml:space="preserve"> PAGEREF _Toc417024852 \h </w:instrText>
        </w:r>
        <w:r w:rsidR="00F93045">
          <w:rPr>
            <w:webHidden/>
          </w:rPr>
        </w:r>
        <w:r w:rsidR="00F93045">
          <w:rPr>
            <w:webHidden/>
          </w:rPr>
          <w:fldChar w:fldCharType="separate"/>
        </w:r>
        <w:r w:rsidR="00F93045">
          <w:rPr>
            <w:webHidden/>
          </w:rPr>
          <w:t>63</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53" w:history="1">
        <w:r w:rsidR="00F93045" w:rsidRPr="0060675F">
          <w:rPr>
            <w:rStyle w:val="Hypertextovodkaz"/>
          </w:rPr>
          <w:t>2.3.10 Krizové řízení vybraných oblastí intervence</w:t>
        </w:r>
        <w:r w:rsidR="00F93045">
          <w:rPr>
            <w:webHidden/>
          </w:rPr>
          <w:tab/>
        </w:r>
        <w:r w:rsidR="00F93045">
          <w:rPr>
            <w:webHidden/>
          </w:rPr>
          <w:fldChar w:fldCharType="begin"/>
        </w:r>
        <w:r w:rsidR="00F93045">
          <w:rPr>
            <w:webHidden/>
          </w:rPr>
          <w:instrText xml:space="preserve"> PAGEREF _Toc417024853 \h </w:instrText>
        </w:r>
        <w:r w:rsidR="00F93045">
          <w:rPr>
            <w:webHidden/>
          </w:rPr>
        </w:r>
        <w:r w:rsidR="00F93045">
          <w:rPr>
            <w:webHidden/>
          </w:rPr>
          <w:fldChar w:fldCharType="separate"/>
        </w:r>
        <w:r w:rsidR="00F93045">
          <w:rPr>
            <w:webHidden/>
          </w:rPr>
          <w:t>63</w:t>
        </w:r>
        <w:r w:rsidR="00F93045">
          <w:rPr>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54" w:history="1">
        <w:r w:rsidR="00F93045" w:rsidRPr="0060675F">
          <w:rPr>
            <w:rStyle w:val="Hypertextovodkaz"/>
            <w:noProof/>
          </w:rPr>
          <w:t>2.4 Případné změny v souvislosti s prováděním programu</w:t>
        </w:r>
        <w:r w:rsidR="00F93045">
          <w:rPr>
            <w:noProof/>
            <w:webHidden/>
          </w:rPr>
          <w:tab/>
        </w:r>
        <w:r w:rsidR="00F93045">
          <w:rPr>
            <w:noProof/>
            <w:webHidden/>
          </w:rPr>
          <w:fldChar w:fldCharType="begin"/>
        </w:r>
        <w:r w:rsidR="00F93045">
          <w:rPr>
            <w:noProof/>
            <w:webHidden/>
          </w:rPr>
          <w:instrText xml:space="preserve"> PAGEREF _Toc417024854 \h </w:instrText>
        </w:r>
        <w:r w:rsidR="00F93045">
          <w:rPr>
            <w:noProof/>
            <w:webHidden/>
          </w:rPr>
        </w:r>
        <w:r w:rsidR="00F93045">
          <w:rPr>
            <w:noProof/>
            <w:webHidden/>
          </w:rPr>
          <w:fldChar w:fldCharType="separate"/>
        </w:r>
        <w:r w:rsidR="00F93045">
          <w:rPr>
            <w:noProof/>
            <w:webHidden/>
          </w:rPr>
          <w:t>65</w:t>
        </w:r>
        <w:r w:rsidR="00F93045">
          <w:rPr>
            <w:noProof/>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55" w:history="1">
        <w:r w:rsidR="00F93045" w:rsidRPr="0060675F">
          <w:rPr>
            <w:rStyle w:val="Hypertextovodkaz"/>
          </w:rPr>
          <w:t>2.4.1 Ekonomické změny</w:t>
        </w:r>
        <w:r w:rsidR="00F93045">
          <w:rPr>
            <w:webHidden/>
          </w:rPr>
          <w:tab/>
        </w:r>
        <w:r w:rsidR="00F93045">
          <w:rPr>
            <w:webHidden/>
          </w:rPr>
          <w:fldChar w:fldCharType="begin"/>
        </w:r>
        <w:r w:rsidR="00F93045">
          <w:rPr>
            <w:webHidden/>
          </w:rPr>
          <w:instrText xml:space="preserve"> PAGEREF _Toc417024855 \h </w:instrText>
        </w:r>
        <w:r w:rsidR="00F93045">
          <w:rPr>
            <w:webHidden/>
          </w:rPr>
        </w:r>
        <w:r w:rsidR="00F93045">
          <w:rPr>
            <w:webHidden/>
          </w:rPr>
          <w:fldChar w:fldCharType="separate"/>
        </w:r>
        <w:r w:rsidR="00F93045">
          <w:rPr>
            <w:webHidden/>
          </w:rPr>
          <w:t>65</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56" w:history="1">
        <w:r w:rsidR="00F93045" w:rsidRPr="0060675F">
          <w:rPr>
            <w:rStyle w:val="Hypertextovodkaz"/>
          </w:rPr>
          <w:t>2.4.2 Změny v dokumentaci IOP</w:t>
        </w:r>
        <w:r w:rsidR="00F93045">
          <w:rPr>
            <w:webHidden/>
          </w:rPr>
          <w:tab/>
        </w:r>
        <w:r w:rsidR="00F93045">
          <w:rPr>
            <w:webHidden/>
          </w:rPr>
          <w:fldChar w:fldCharType="begin"/>
        </w:r>
        <w:r w:rsidR="00F93045">
          <w:rPr>
            <w:webHidden/>
          </w:rPr>
          <w:instrText xml:space="preserve"> PAGEREF _Toc417024856 \h </w:instrText>
        </w:r>
        <w:r w:rsidR="00F93045">
          <w:rPr>
            <w:webHidden/>
          </w:rPr>
        </w:r>
        <w:r w:rsidR="00F93045">
          <w:rPr>
            <w:webHidden/>
          </w:rPr>
          <w:fldChar w:fldCharType="separate"/>
        </w:r>
        <w:r w:rsidR="00F93045">
          <w:rPr>
            <w:webHidden/>
          </w:rPr>
          <w:t>67</w:t>
        </w:r>
        <w:r w:rsidR="00F93045">
          <w:rPr>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57" w:history="1">
        <w:r w:rsidR="00F93045" w:rsidRPr="0060675F">
          <w:rPr>
            <w:rStyle w:val="Hypertextovodkaz"/>
            <w:noProof/>
          </w:rPr>
          <w:t>2.5 Případná podstatná změna podle čl. 57 Nařízení (ES) č. 1083/2006</w:t>
        </w:r>
        <w:r w:rsidR="00F93045">
          <w:rPr>
            <w:noProof/>
            <w:webHidden/>
          </w:rPr>
          <w:tab/>
        </w:r>
        <w:r w:rsidR="00F93045">
          <w:rPr>
            <w:noProof/>
            <w:webHidden/>
          </w:rPr>
          <w:fldChar w:fldCharType="begin"/>
        </w:r>
        <w:r w:rsidR="00F93045">
          <w:rPr>
            <w:noProof/>
            <w:webHidden/>
          </w:rPr>
          <w:instrText xml:space="preserve"> PAGEREF _Toc417024857 \h </w:instrText>
        </w:r>
        <w:r w:rsidR="00F93045">
          <w:rPr>
            <w:noProof/>
            <w:webHidden/>
          </w:rPr>
        </w:r>
        <w:r w:rsidR="00F93045">
          <w:rPr>
            <w:noProof/>
            <w:webHidden/>
          </w:rPr>
          <w:fldChar w:fldCharType="separate"/>
        </w:r>
        <w:r w:rsidR="00F93045">
          <w:rPr>
            <w:noProof/>
            <w:webHidden/>
          </w:rPr>
          <w:t>69</w:t>
        </w:r>
        <w:r w:rsidR="00F93045">
          <w:rPr>
            <w:noProof/>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58" w:history="1">
        <w:r w:rsidR="00F93045" w:rsidRPr="0060675F">
          <w:rPr>
            <w:rStyle w:val="Hypertextovodkaz"/>
            <w:noProof/>
          </w:rPr>
          <w:t>2.6 Doplňkovost s jinými nástroji</w:t>
        </w:r>
        <w:r w:rsidR="00F93045">
          <w:rPr>
            <w:noProof/>
            <w:webHidden/>
          </w:rPr>
          <w:tab/>
        </w:r>
        <w:r w:rsidR="00F93045">
          <w:rPr>
            <w:noProof/>
            <w:webHidden/>
          </w:rPr>
          <w:fldChar w:fldCharType="begin"/>
        </w:r>
        <w:r w:rsidR="00F93045">
          <w:rPr>
            <w:noProof/>
            <w:webHidden/>
          </w:rPr>
          <w:instrText xml:space="preserve"> PAGEREF _Toc417024858 \h </w:instrText>
        </w:r>
        <w:r w:rsidR="00F93045">
          <w:rPr>
            <w:noProof/>
            <w:webHidden/>
          </w:rPr>
        </w:r>
        <w:r w:rsidR="00F93045">
          <w:rPr>
            <w:noProof/>
            <w:webHidden/>
          </w:rPr>
          <w:fldChar w:fldCharType="separate"/>
        </w:r>
        <w:r w:rsidR="00F93045">
          <w:rPr>
            <w:noProof/>
            <w:webHidden/>
          </w:rPr>
          <w:t>69</w:t>
        </w:r>
        <w:r w:rsidR="00F93045">
          <w:rPr>
            <w:noProof/>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59" w:history="1">
        <w:r w:rsidR="00F93045" w:rsidRPr="0060675F">
          <w:rPr>
            <w:rStyle w:val="Hypertextovodkaz"/>
          </w:rPr>
          <w:t>2.6.1 Naplňování synergií</w:t>
        </w:r>
        <w:r w:rsidR="00F93045">
          <w:rPr>
            <w:webHidden/>
          </w:rPr>
          <w:tab/>
        </w:r>
        <w:r w:rsidR="00F93045">
          <w:rPr>
            <w:webHidden/>
          </w:rPr>
          <w:fldChar w:fldCharType="begin"/>
        </w:r>
        <w:r w:rsidR="00F93045">
          <w:rPr>
            <w:webHidden/>
          </w:rPr>
          <w:instrText xml:space="preserve"> PAGEREF _Toc417024859 \h </w:instrText>
        </w:r>
        <w:r w:rsidR="00F93045">
          <w:rPr>
            <w:webHidden/>
          </w:rPr>
        </w:r>
        <w:r w:rsidR="00F93045">
          <w:rPr>
            <w:webHidden/>
          </w:rPr>
          <w:fldChar w:fldCharType="separate"/>
        </w:r>
        <w:r w:rsidR="00F93045">
          <w:rPr>
            <w:webHidden/>
          </w:rPr>
          <w:t>69</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60" w:history="1">
        <w:r w:rsidR="00F93045" w:rsidRPr="0060675F">
          <w:rPr>
            <w:rStyle w:val="Hypertextovodkaz"/>
          </w:rPr>
          <w:t>2.6.2 Využívání dalších finančních nástrojů EU</w:t>
        </w:r>
        <w:r w:rsidR="00F93045">
          <w:rPr>
            <w:webHidden/>
          </w:rPr>
          <w:tab/>
        </w:r>
        <w:r w:rsidR="00F93045">
          <w:rPr>
            <w:webHidden/>
          </w:rPr>
          <w:fldChar w:fldCharType="begin"/>
        </w:r>
        <w:r w:rsidR="00F93045">
          <w:rPr>
            <w:webHidden/>
          </w:rPr>
          <w:instrText xml:space="preserve"> PAGEREF _Toc417024860 \h </w:instrText>
        </w:r>
        <w:r w:rsidR="00F93045">
          <w:rPr>
            <w:webHidden/>
          </w:rPr>
        </w:r>
        <w:r w:rsidR="00F93045">
          <w:rPr>
            <w:webHidden/>
          </w:rPr>
          <w:fldChar w:fldCharType="separate"/>
        </w:r>
        <w:r w:rsidR="00F93045">
          <w:rPr>
            <w:webHidden/>
          </w:rPr>
          <w:t>71</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61" w:history="1">
        <w:r w:rsidR="00F93045" w:rsidRPr="0060675F">
          <w:rPr>
            <w:rStyle w:val="Hypertextovodkaz"/>
          </w:rPr>
          <w:t>2.6.3 Integrované plány rozvoje měst</w:t>
        </w:r>
        <w:r w:rsidR="00F93045">
          <w:rPr>
            <w:webHidden/>
          </w:rPr>
          <w:tab/>
        </w:r>
        <w:r w:rsidR="00F93045">
          <w:rPr>
            <w:webHidden/>
          </w:rPr>
          <w:fldChar w:fldCharType="begin"/>
        </w:r>
        <w:r w:rsidR="00F93045">
          <w:rPr>
            <w:webHidden/>
          </w:rPr>
          <w:instrText xml:space="preserve"> PAGEREF _Toc417024861 \h </w:instrText>
        </w:r>
        <w:r w:rsidR="00F93045">
          <w:rPr>
            <w:webHidden/>
          </w:rPr>
        </w:r>
        <w:r w:rsidR="00F93045">
          <w:rPr>
            <w:webHidden/>
          </w:rPr>
          <w:fldChar w:fldCharType="separate"/>
        </w:r>
        <w:r w:rsidR="00F93045">
          <w:rPr>
            <w:webHidden/>
          </w:rPr>
          <w:t>72</w:t>
        </w:r>
        <w:r w:rsidR="00F93045">
          <w:rPr>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62" w:history="1">
        <w:r w:rsidR="00F93045" w:rsidRPr="0060675F">
          <w:rPr>
            <w:rStyle w:val="Hypertextovodkaz"/>
            <w:noProof/>
          </w:rPr>
          <w:t>2.7 Opatření k monitorování a evaluacím programu</w:t>
        </w:r>
        <w:r w:rsidR="00F93045">
          <w:rPr>
            <w:noProof/>
            <w:webHidden/>
          </w:rPr>
          <w:tab/>
        </w:r>
        <w:r w:rsidR="00F93045">
          <w:rPr>
            <w:noProof/>
            <w:webHidden/>
          </w:rPr>
          <w:fldChar w:fldCharType="begin"/>
        </w:r>
        <w:r w:rsidR="00F93045">
          <w:rPr>
            <w:noProof/>
            <w:webHidden/>
          </w:rPr>
          <w:instrText xml:space="preserve"> PAGEREF _Toc417024862 \h </w:instrText>
        </w:r>
        <w:r w:rsidR="00F93045">
          <w:rPr>
            <w:noProof/>
            <w:webHidden/>
          </w:rPr>
        </w:r>
        <w:r w:rsidR="00F93045">
          <w:rPr>
            <w:noProof/>
            <w:webHidden/>
          </w:rPr>
          <w:fldChar w:fldCharType="separate"/>
        </w:r>
        <w:r w:rsidR="00F93045">
          <w:rPr>
            <w:noProof/>
            <w:webHidden/>
          </w:rPr>
          <w:t>75</w:t>
        </w:r>
        <w:r w:rsidR="00F93045">
          <w:rPr>
            <w:noProof/>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63" w:history="1">
        <w:r w:rsidR="00F93045" w:rsidRPr="0060675F">
          <w:rPr>
            <w:rStyle w:val="Hypertextovodkaz"/>
          </w:rPr>
          <w:t>2.7.1 Monitorování programu</w:t>
        </w:r>
        <w:r w:rsidR="00F93045">
          <w:rPr>
            <w:webHidden/>
          </w:rPr>
          <w:tab/>
        </w:r>
        <w:r w:rsidR="00F93045">
          <w:rPr>
            <w:webHidden/>
          </w:rPr>
          <w:fldChar w:fldCharType="begin"/>
        </w:r>
        <w:r w:rsidR="00F93045">
          <w:rPr>
            <w:webHidden/>
          </w:rPr>
          <w:instrText xml:space="preserve"> PAGEREF _Toc417024863 \h </w:instrText>
        </w:r>
        <w:r w:rsidR="00F93045">
          <w:rPr>
            <w:webHidden/>
          </w:rPr>
        </w:r>
        <w:r w:rsidR="00F93045">
          <w:rPr>
            <w:webHidden/>
          </w:rPr>
          <w:fldChar w:fldCharType="separate"/>
        </w:r>
        <w:r w:rsidR="00F93045">
          <w:rPr>
            <w:webHidden/>
          </w:rPr>
          <w:t>75</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64" w:history="1">
        <w:r w:rsidR="00F93045" w:rsidRPr="0060675F">
          <w:rPr>
            <w:rStyle w:val="Hypertextovodkaz"/>
          </w:rPr>
          <w:t>2.7.2 Evaluace programu</w:t>
        </w:r>
        <w:r w:rsidR="00F93045">
          <w:rPr>
            <w:webHidden/>
          </w:rPr>
          <w:tab/>
        </w:r>
        <w:r w:rsidR="00F93045">
          <w:rPr>
            <w:webHidden/>
          </w:rPr>
          <w:fldChar w:fldCharType="begin"/>
        </w:r>
        <w:r w:rsidR="00F93045">
          <w:rPr>
            <w:webHidden/>
          </w:rPr>
          <w:instrText xml:space="preserve"> PAGEREF _Toc417024864 \h </w:instrText>
        </w:r>
        <w:r w:rsidR="00F93045">
          <w:rPr>
            <w:webHidden/>
          </w:rPr>
        </w:r>
        <w:r w:rsidR="00F93045">
          <w:rPr>
            <w:webHidden/>
          </w:rPr>
          <w:fldChar w:fldCharType="separate"/>
        </w:r>
        <w:r w:rsidR="00F93045">
          <w:rPr>
            <w:webHidden/>
          </w:rPr>
          <w:t>75</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65" w:history="1">
        <w:r w:rsidR="00F93045" w:rsidRPr="0060675F">
          <w:rPr>
            <w:rStyle w:val="Hypertextovodkaz"/>
          </w:rPr>
          <w:t>2.7.3 Další informace související s monitorováním a evaluacemi programu</w:t>
        </w:r>
        <w:r w:rsidR="00F93045">
          <w:rPr>
            <w:webHidden/>
          </w:rPr>
          <w:tab/>
        </w:r>
        <w:r w:rsidR="00F93045">
          <w:rPr>
            <w:webHidden/>
          </w:rPr>
          <w:fldChar w:fldCharType="begin"/>
        </w:r>
        <w:r w:rsidR="00F93045">
          <w:rPr>
            <w:webHidden/>
          </w:rPr>
          <w:instrText xml:space="preserve"> PAGEREF _Toc417024865 \h </w:instrText>
        </w:r>
        <w:r w:rsidR="00F93045">
          <w:rPr>
            <w:webHidden/>
          </w:rPr>
        </w:r>
        <w:r w:rsidR="00F93045">
          <w:rPr>
            <w:webHidden/>
          </w:rPr>
          <w:fldChar w:fldCharType="separate"/>
        </w:r>
        <w:r w:rsidR="00F93045">
          <w:rPr>
            <w:webHidden/>
          </w:rPr>
          <w:t>80</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66" w:history="1">
        <w:r w:rsidR="00F93045" w:rsidRPr="0060675F">
          <w:rPr>
            <w:rStyle w:val="Hypertextovodkaz"/>
          </w:rPr>
          <w:t>2.7.4 Vzdělávání v oblasti evaluací</w:t>
        </w:r>
        <w:r w:rsidR="00F93045">
          <w:rPr>
            <w:webHidden/>
          </w:rPr>
          <w:tab/>
        </w:r>
        <w:r w:rsidR="00F93045">
          <w:rPr>
            <w:webHidden/>
          </w:rPr>
          <w:fldChar w:fldCharType="begin"/>
        </w:r>
        <w:r w:rsidR="00F93045">
          <w:rPr>
            <w:webHidden/>
          </w:rPr>
          <w:instrText xml:space="preserve"> PAGEREF _Toc417024866 \h </w:instrText>
        </w:r>
        <w:r w:rsidR="00F93045">
          <w:rPr>
            <w:webHidden/>
          </w:rPr>
        </w:r>
        <w:r w:rsidR="00F93045">
          <w:rPr>
            <w:webHidden/>
          </w:rPr>
          <w:fldChar w:fldCharType="separate"/>
        </w:r>
        <w:r w:rsidR="00F93045">
          <w:rPr>
            <w:webHidden/>
          </w:rPr>
          <w:t>80</w:t>
        </w:r>
        <w:r w:rsidR="00F93045">
          <w:rPr>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67" w:history="1">
        <w:r w:rsidR="00F93045" w:rsidRPr="0060675F">
          <w:rPr>
            <w:rStyle w:val="Hypertextovodkaz"/>
            <w:noProof/>
          </w:rPr>
          <w:t>2.8 Případná národní výkonnostní rezerva</w:t>
        </w:r>
        <w:r w:rsidR="00F93045">
          <w:rPr>
            <w:noProof/>
            <w:webHidden/>
          </w:rPr>
          <w:tab/>
        </w:r>
        <w:r w:rsidR="00F93045">
          <w:rPr>
            <w:noProof/>
            <w:webHidden/>
          </w:rPr>
          <w:fldChar w:fldCharType="begin"/>
        </w:r>
        <w:r w:rsidR="00F93045">
          <w:rPr>
            <w:noProof/>
            <w:webHidden/>
          </w:rPr>
          <w:instrText xml:space="preserve"> PAGEREF _Toc417024867 \h </w:instrText>
        </w:r>
        <w:r w:rsidR="00F93045">
          <w:rPr>
            <w:noProof/>
            <w:webHidden/>
          </w:rPr>
        </w:r>
        <w:r w:rsidR="00F93045">
          <w:rPr>
            <w:noProof/>
            <w:webHidden/>
          </w:rPr>
          <w:fldChar w:fldCharType="separate"/>
        </w:r>
        <w:r w:rsidR="00F93045">
          <w:rPr>
            <w:noProof/>
            <w:webHidden/>
          </w:rPr>
          <w:t>81</w:t>
        </w:r>
        <w:r w:rsidR="00F93045">
          <w:rPr>
            <w:noProof/>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868" w:history="1">
        <w:r w:rsidR="00F93045" w:rsidRPr="0060675F">
          <w:rPr>
            <w:rStyle w:val="Hypertextovodkaz"/>
            <w:noProof/>
          </w:rPr>
          <w:t>3 PROVÁDĚNÍ PROGRAMU PODLE PRIORITNÍCH OS</w:t>
        </w:r>
        <w:r w:rsidR="00F93045">
          <w:rPr>
            <w:noProof/>
            <w:webHidden/>
          </w:rPr>
          <w:tab/>
        </w:r>
        <w:r w:rsidR="00F93045">
          <w:rPr>
            <w:noProof/>
            <w:webHidden/>
          </w:rPr>
          <w:fldChar w:fldCharType="begin"/>
        </w:r>
        <w:r w:rsidR="00F93045">
          <w:rPr>
            <w:noProof/>
            <w:webHidden/>
          </w:rPr>
          <w:instrText xml:space="preserve"> PAGEREF _Toc417024868 \h </w:instrText>
        </w:r>
        <w:r w:rsidR="00F93045">
          <w:rPr>
            <w:noProof/>
            <w:webHidden/>
          </w:rPr>
        </w:r>
        <w:r w:rsidR="00F93045">
          <w:rPr>
            <w:noProof/>
            <w:webHidden/>
          </w:rPr>
          <w:fldChar w:fldCharType="separate"/>
        </w:r>
        <w:r w:rsidR="00F93045">
          <w:rPr>
            <w:noProof/>
            <w:webHidden/>
          </w:rPr>
          <w:t>81</w:t>
        </w:r>
        <w:r w:rsidR="00F93045">
          <w:rPr>
            <w:noProof/>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869" w:history="1">
        <w:r w:rsidR="00F93045" w:rsidRPr="0060675F">
          <w:rPr>
            <w:rStyle w:val="Hypertextovodkaz"/>
            <w:noProof/>
          </w:rPr>
          <w:t>3.1 Prioritní osa 1a, 1b – Modernizace veřejné správy</w:t>
        </w:r>
        <w:r w:rsidR="00F93045">
          <w:rPr>
            <w:noProof/>
            <w:webHidden/>
          </w:rPr>
          <w:tab/>
        </w:r>
        <w:r w:rsidR="00F93045">
          <w:rPr>
            <w:noProof/>
            <w:webHidden/>
          </w:rPr>
          <w:fldChar w:fldCharType="begin"/>
        </w:r>
        <w:r w:rsidR="00F93045">
          <w:rPr>
            <w:noProof/>
            <w:webHidden/>
          </w:rPr>
          <w:instrText xml:space="preserve"> PAGEREF _Toc417024869 \h </w:instrText>
        </w:r>
        <w:r w:rsidR="00F93045">
          <w:rPr>
            <w:noProof/>
            <w:webHidden/>
          </w:rPr>
        </w:r>
        <w:r w:rsidR="00F93045">
          <w:rPr>
            <w:noProof/>
            <w:webHidden/>
          </w:rPr>
          <w:fldChar w:fldCharType="separate"/>
        </w:r>
        <w:r w:rsidR="00F93045">
          <w:rPr>
            <w:noProof/>
            <w:webHidden/>
          </w:rPr>
          <w:t>81</w:t>
        </w:r>
        <w:r w:rsidR="00F93045">
          <w:rPr>
            <w:noProof/>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70" w:history="1">
        <w:r w:rsidR="00F93045" w:rsidRPr="0060675F">
          <w:rPr>
            <w:rStyle w:val="Hypertextovodkaz"/>
          </w:rPr>
          <w:t>3.1.1 Dosažený pokrok a jeho analýza</w:t>
        </w:r>
        <w:r w:rsidR="00F93045">
          <w:rPr>
            <w:webHidden/>
          </w:rPr>
          <w:tab/>
        </w:r>
        <w:r w:rsidR="00F93045">
          <w:rPr>
            <w:webHidden/>
          </w:rPr>
          <w:fldChar w:fldCharType="begin"/>
        </w:r>
        <w:r w:rsidR="00F93045">
          <w:rPr>
            <w:webHidden/>
          </w:rPr>
          <w:instrText xml:space="preserve"> PAGEREF _Toc417024870 \h </w:instrText>
        </w:r>
        <w:r w:rsidR="00F93045">
          <w:rPr>
            <w:webHidden/>
          </w:rPr>
        </w:r>
        <w:r w:rsidR="00F93045">
          <w:rPr>
            <w:webHidden/>
          </w:rPr>
          <w:fldChar w:fldCharType="separate"/>
        </w:r>
        <w:r w:rsidR="00F93045">
          <w:rPr>
            <w:webHidden/>
          </w:rPr>
          <w:t>81</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71" w:history="1">
        <w:r w:rsidR="00F93045" w:rsidRPr="0060675F">
          <w:rPr>
            <w:rStyle w:val="Hypertextovodkaz"/>
          </w:rPr>
          <w:t>3.1.2 Závažné problémy, které se objevily, a přijatá opatření k jejich odstranění</w:t>
        </w:r>
        <w:r w:rsidR="00F93045">
          <w:rPr>
            <w:webHidden/>
          </w:rPr>
          <w:tab/>
        </w:r>
        <w:r w:rsidR="00F93045">
          <w:rPr>
            <w:webHidden/>
          </w:rPr>
          <w:fldChar w:fldCharType="begin"/>
        </w:r>
        <w:r w:rsidR="00F93045">
          <w:rPr>
            <w:webHidden/>
          </w:rPr>
          <w:instrText xml:space="preserve"> PAGEREF _Toc417024871 \h </w:instrText>
        </w:r>
        <w:r w:rsidR="00F93045">
          <w:rPr>
            <w:webHidden/>
          </w:rPr>
        </w:r>
        <w:r w:rsidR="00F93045">
          <w:rPr>
            <w:webHidden/>
          </w:rPr>
          <w:fldChar w:fldCharType="separate"/>
        </w:r>
        <w:r w:rsidR="00F93045">
          <w:rPr>
            <w:webHidden/>
          </w:rPr>
          <w:t>87</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72" w:history="1">
        <w:r w:rsidR="00F93045" w:rsidRPr="0060675F">
          <w:rPr>
            <w:rStyle w:val="Hypertextovodkaz"/>
          </w:rPr>
          <w:t>3.1.3 Příklad projektu</w:t>
        </w:r>
        <w:r w:rsidR="00F93045">
          <w:rPr>
            <w:webHidden/>
          </w:rPr>
          <w:tab/>
        </w:r>
        <w:r w:rsidR="00F93045">
          <w:rPr>
            <w:webHidden/>
          </w:rPr>
          <w:fldChar w:fldCharType="begin"/>
        </w:r>
        <w:r w:rsidR="00F93045">
          <w:rPr>
            <w:webHidden/>
          </w:rPr>
          <w:instrText xml:space="preserve"> PAGEREF _Toc417024872 \h </w:instrText>
        </w:r>
        <w:r w:rsidR="00F93045">
          <w:rPr>
            <w:webHidden/>
          </w:rPr>
        </w:r>
        <w:r w:rsidR="00F93045">
          <w:rPr>
            <w:webHidden/>
          </w:rPr>
          <w:fldChar w:fldCharType="separate"/>
        </w:r>
        <w:r w:rsidR="00F93045">
          <w:rPr>
            <w:webHidden/>
          </w:rPr>
          <w:t>88</w:t>
        </w:r>
        <w:r w:rsidR="00F93045">
          <w:rPr>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73" w:history="1">
        <w:r w:rsidR="00F93045" w:rsidRPr="0060675F">
          <w:rPr>
            <w:rStyle w:val="Hypertextovodkaz"/>
            <w:noProof/>
          </w:rPr>
          <w:t>3.2 Prioritní osa 2 – Zavádění ICT v územní veřejné správě</w:t>
        </w:r>
        <w:r w:rsidR="00F93045">
          <w:rPr>
            <w:noProof/>
            <w:webHidden/>
          </w:rPr>
          <w:tab/>
        </w:r>
        <w:r w:rsidR="00F93045">
          <w:rPr>
            <w:noProof/>
            <w:webHidden/>
          </w:rPr>
          <w:fldChar w:fldCharType="begin"/>
        </w:r>
        <w:r w:rsidR="00F93045">
          <w:rPr>
            <w:noProof/>
            <w:webHidden/>
          </w:rPr>
          <w:instrText xml:space="preserve"> PAGEREF _Toc417024873 \h </w:instrText>
        </w:r>
        <w:r w:rsidR="00F93045">
          <w:rPr>
            <w:noProof/>
            <w:webHidden/>
          </w:rPr>
        </w:r>
        <w:r w:rsidR="00F93045">
          <w:rPr>
            <w:noProof/>
            <w:webHidden/>
          </w:rPr>
          <w:fldChar w:fldCharType="separate"/>
        </w:r>
        <w:r w:rsidR="00F93045">
          <w:rPr>
            <w:noProof/>
            <w:webHidden/>
          </w:rPr>
          <w:t>88</w:t>
        </w:r>
        <w:r w:rsidR="00F93045">
          <w:rPr>
            <w:noProof/>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74" w:history="1">
        <w:r w:rsidR="00F93045" w:rsidRPr="0060675F">
          <w:rPr>
            <w:rStyle w:val="Hypertextovodkaz"/>
          </w:rPr>
          <w:t>3.2.1 Dosažený pokrok a jeho analýza</w:t>
        </w:r>
        <w:r w:rsidR="00F93045">
          <w:rPr>
            <w:webHidden/>
          </w:rPr>
          <w:tab/>
        </w:r>
        <w:r w:rsidR="00F93045">
          <w:rPr>
            <w:webHidden/>
          </w:rPr>
          <w:fldChar w:fldCharType="begin"/>
        </w:r>
        <w:r w:rsidR="00F93045">
          <w:rPr>
            <w:webHidden/>
          </w:rPr>
          <w:instrText xml:space="preserve"> PAGEREF _Toc417024874 \h </w:instrText>
        </w:r>
        <w:r w:rsidR="00F93045">
          <w:rPr>
            <w:webHidden/>
          </w:rPr>
        </w:r>
        <w:r w:rsidR="00F93045">
          <w:rPr>
            <w:webHidden/>
          </w:rPr>
          <w:fldChar w:fldCharType="separate"/>
        </w:r>
        <w:r w:rsidR="00F93045">
          <w:rPr>
            <w:webHidden/>
          </w:rPr>
          <w:t>88</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75" w:history="1">
        <w:r w:rsidR="00F93045" w:rsidRPr="0060675F">
          <w:rPr>
            <w:rStyle w:val="Hypertextovodkaz"/>
          </w:rPr>
          <w:t>3.2.2 Závažné problémy, které se objevily, a přijatá opatření k jejich odstranění</w:t>
        </w:r>
        <w:r w:rsidR="00F93045">
          <w:rPr>
            <w:webHidden/>
          </w:rPr>
          <w:tab/>
        </w:r>
        <w:r w:rsidR="00F93045">
          <w:rPr>
            <w:webHidden/>
          </w:rPr>
          <w:fldChar w:fldCharType="begin"/>
        </w:r>
        <w:r w:rsidR="00F93045">
          <w:rPr>
            <w:webHidden/>
          </w:rPr>
          <w:instrText xml:space="preserve"> PAGEREF _Toc417024875 \h </w:instrText>
        </w:r>
        <w:r w:rsidR="00F93045">
          <w:rPr>
            <w:webHidden/>
          </w:rPr>
        </w:r>
        <w:r w:rsidR="00F93045">
          <w:rPr>
            <w:webHidden/>
          </w:rPr>
          <w:fldChar w:fldCharType="separate"/>
        </w:r>
        <w:r w:rsidR="00F93045">
          <w:rPr>
            <w:webHidden/>
          </w:rPr>
          <w:t>93</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76" w:history="1">
        <w:r w:rsidR="00F93045" w:rsidRPr="0060675F">
          <w:rPr>
            <w:rStyle w:val="Hypertextovodkaz"/>
          </w:rPr>
          <w:t>3.2.3 Příklad projektu</w:t>
        </w:r>
        <w:r w:rsidR="00F93045">
          <w:rPr>
            <w:webHidden/>
          </w:rPr>
          <w:tab/>
        </w:r>
        <w:r w:rsidR="00F93045">
          <w:rPr>
            <w:webHidden/>
          </w:rPr>
          <w:fldChar w:fldCharType="begin"/>
        </w:r>
        <w:r w:rsidR="00F93045">
          <w:rPr>
            <w:webHidden/>
          </w:rPr>
          <w:instrText xml:space="preserve"> PAGEREF _Toc417024876 \h </w:instrText>
        </w:r>
        <w:r w:rsidR="00F93045">
          <w:rPr>
            <w:webHidden/>
          </w:rPr>
        </w:r>
        <w:r w:rsidR="00F93045">
          <w:rPr>
            <w:webHidden/>
          </w:rPr>
          <w:fldChar w:fldCharType="separate"/>
        </w:r>
        <w:r w:rsidR="00F93045">
          <w:rPr>
            <w:webHidden/>
          </w:rPr>
          <w:t>93</w:t>
        </w:r>
        <w:r w:rsidR="00F93045">
          <w:rPr>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77" w:history="1">
        <w:r w:rsidR="00F93045" w:rsidRPr="0060675F">
          <w:rPr>
            <w:rStyle w:val="Hypertextovodkaz"/>
            <w:noProof/>
          </w:rPr>
          <w:t>3.3 Prioritní osa 3 – Zvýšení kvality a dostupnosti veřejných služeb</w:t>
        </w:r>
        <w:r w:rsidR="00F93045">
          <w:rPr>
            <w:noProof/>
            <w:webHidden/>
          </w:rPr>
          <w:tab/>
        </w:r>
        <w:r w:rsidR="00F93045">
          <w:rPr>
            <w:noProof/>
            <w:webHidden/>
          </w:rPr>
          <w:fldChar w:fldCharType="begin"/>
        </w:r>
        <w:r w:rsidR="00F93045">
          <w:rPr>
            <w:noProof/>
            <w:webHidden/>
          </w:rPr>
          <w:instrText xml:space="preserve"> PAGEREF _Toc417024877 \h </w:instrText>
        </w:r>
        <w:r w:rsidR="00F93045">
          <w:rPr>
            <w:noProof/>
            <w:webHidden/>
          </w:rPr>
        </w:r>
        <w:r w:rsidR="00F93045">
          <w:rPr>
            <w:noProof/>
            <w:webHidden/>
          </w:rPr>
          <w:fldChar w:fldCharType="separate"/>
        </w:r>
        <w:r w:rsidR="00F93045">
          <w:rPr>
            <w:noProof/>
            <w:webHidden/>
          </w:rPr>
          <w:t>94</w:t>
        </w:r>
        <w:r w:rsidR="00F93045">
          <w:rPr>
            <w:noProof/>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78" w:history="1">
        <w:r w:rsidR="00F93045" w:rsidRPr="0060675F">
          <w:rPr>
            <w:rStyle w:val="Hypertextovodkaz"/>
          </w:rPr>
          <w:t>3.3.1 Dosažený pokrok a jeho analýza</w:t>
        </w:r>
        <w:r w:rsidR="00F93045">
          <w:rPr>
            <w:webHidden/>
          </w:rPr>
          <w:tab/>
        </w:r>
        <w:r w:rsidR="00F93045">
          <w:rPr>
            <w:webHidden/>
          </w:rPr>
          <w:fldChar w:fldCharType="begin"/>
        </w:r>
        <w:r w:rsidR="00F93045">
          <w:rPr>
            <w:webHidden/>
          </w:rPr>
          <w:instrText xml:space="preserve"> PAGEREF _Toc417024878 \h </w:instrText>
        </w:r>
        <w:r w:rsidR="00F93045">
          <w:rPr>
            <w:webHidden/>
          </w:rPr>
        </w:r>
        <w:r w:rsidR="00F93045">
          <w:rPr>
            <w:webHidden/>
          </w:rPr>
          <w:fldChar w:fldCharType="separate"/>
        </w:r>
        <w:r w:rsidR="00F93045">
          <w:rPr>
            <w:webHidden/>
          </w:rPr>
          <w:t>94</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79" w:history="1">
        <w:r w:rsidR="00F93045" w:rsidRPr="0060675F">
          <w:rPr>
            <w:rStyle w:val="Hypertextovodkaz"/>
          </w:rPr>
          <w:t>3.3.2 Závažné problémy, které se objevily, a přijatá opatření k jejich odstranění</w:t>
        </w:r>
        <w:r w:rsidR="00F93045">
          <w:rPr>
            <w:webHidden/>
          </w:rPr>
          <w:tab/>
        </w:r>
        <w:r w:rsidR="00F93045">
          <w:rPr>
            <w:webHidden/>
          </w:rPr>
          <w:fldChar w:fldCharType="begin"/>
        </w:r>
        <w:r w:rsidR="00F93045">
          <w:rPr>
            <w:webHidden/>
          </w:rPr>
          <w:instrText xml:space="preserve"> PAGEREF _Toc417024879 \h </w:instrText>
        </w:r>
        <w:r w:rsidR="00F93045">
          <w:rPr>
            <w:webHidden/>
          </w:rPr>
        </w:r>
        <w:r w:rsidR="00F93045">
          <w:rPr>
            <w:webHidden/>
          </w:rPr>
          <w:fldChar w:fldCharType="separate"/>
        </w:r>
        <w:r w:rsidR="00F93045">
          <w:rPr>
            <w:webHidden/>
          </w:rPr>
          <w:t>107</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80" w:history="1">
        <w:r w:rsidR="00F93045" w:rsidRPr="0060675F">
          <w:rPr>
            <w:rStyle w:val="Hypertextovodkaz"/>
          </w:rPr>
          <w:t>3.3.3 Příklad projektu</w:t>
        </w:r>
        <w:r w:rsidR="00F93045">
          <w:rPr>
            <w:webHidden/>
          </w:rPr>
          <w:tab/>
        </w:r>
        <w:r w:rsidR="00F93045">
          <w:rPr>
            <w:webHidden/>
          </w:rPr>
          <w:fldChar w:fldCharType="begin"/>
        </w:r>
        <w:r w:rsidR="00F93045">
          <w:rPr>
            <w:webHidden/>
          </w:rPr>
          <w:instrText xml:space="preserve"> PAGEREF _Toc417024880 \h </w:instrText>
        </w:r>
        <w:r w:rsidR="00F93045">
          <w:rPr>
            <w:webHidden/>
          </w:rPr>
        </w:r>
        <w:r w:rsidR="00F93045">
          <w:rPr>
            <w:webHidden/>
          </w:rPr>
          <w:fldChar w:fldCharType="separate"/>
        </w:r>
        <w:r w:rsidR="00F93045">
          <w:rPr>
            <w:webHidden/>
          </w:rPr>
          <w:t>110</w:t>
        </w:r>
        <w:r w:rsidR="00F93045">
          <w:rPr>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81" w:history="1">
        <w:r w:rsidR="00F93045" w:rsidRPr="0060675F">
          <w:rPr>
            <w:rStyle w:val="Hypertextovodkaz"/>
            <w:noProof/>
          </w:rPr>
          <w:t>3.4 Prioritní osa 4a, 4b – Národní podpora cestovního ruchu</w:t>
        </w:r>
        <w:r w:rsidR="00F93045">
          <w:rPr>
            <w:noProof/>
            <w:webHidden/>
          </w:rPr>
          <w:tab/>
        </w:r>
        <w:r w:rsidR="00F93045">
          <w:rPr>
            <w:noProof/>
            <w:webHidden/>
          </w:rPr>
          <w:fldChar w:fldCharType="begin"/>
        </w:r>
        <w:r w:rsidR="00F93045">
          <w:rPr>
            <w:noProof/>
            <w:webHidden/>
          </w:rPr>
          <w:instrText xml:space="preserve"> PAGEREF _Toc417024881 \h </w:instrText>
        </w:r>
        <w:r w:rsidR="00F93045">
          <w:rPr>
            <w:noProof/>
            <w:webHidden/>
          </w:rPr>
        </w:r>
        <w:r w:rsidR="00F93045">
          <w:rPr>
            <w:noProof/>
            <w:webHidden/>
          </w:rPr>
          <w:fldChar w:fldCharType="separate"/>
        </w:r>
        <w:r w:rsidR="00F93045">
          <w:rPr>
            <w:noProof/>
            <w:webHidden/>
          </w:rPr>
          <w:t>112</w:t>
        </w:r>
        <w:r w:rsidR="00F93045">
          <w:rPr>
            <w:noProof/>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82" w:history="1">
        <w:r w:rsidR="00F93045" w:rsidRPr="0060675F">
          <w:rPr>
            <w:rStyle w:val="Hypertextovodkaz"/>
          </w:rPr>
          <w:t>3.4.1 Dosažený pokrok a jeho analýza</w:t>
        </w:r>
        <w:r w:rsidR="00F93045">
          <w:rPr>
            <w:webHidden/>
          </w:rPr>
          <w:tab/>
        </w:r>
        <w:r w:rsidR="00F93045">
          <w:rPr>
            <w:webHidden/>
          </w:rPr>
          <w:fldChar w:fldCharType="begin"/>
        </w:r>
        <w:r w:rsidR="00F93045">
          <w:rPr>
            <w:webHidden/>
          </w:rPr>
          <w:instrText xml:space="preserve"> PAGEREF _Toc417024882 \h </w:instrText>
        </w:r>
        <w:r w:rsidR="00F93045">
          <w:rPr>
            <w:webHidden/>
          </w:rPr>
        </w:r>
        <w:r w:rsidR="00F93045">
          <w:rPr>
            <w:webHidden/>
          </w:rPr>
          <w:fldChar w:fldCharType="separate"/>
        </w:r>
        <w:r w:rsidR="00F93045">
          <w:rPr>
            <w:webHidden/>
          </w:rPr>
          <w:t>112</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83" w:history="1">
        <w:r w:rsidR="00F93045" w:rsidRPr="0060675F">
          <w:rPr>
            <w:rStyle w:val="Hypertextovodkaz"/>
          </w:rPr>
          <w:t>3.4.2 Závažné problémy, které se objevily, a přijatá opatření k jejich odstranění</w:t>
        </w:r>
        <w:r w:rsidR="00F93045">
          <w:rPr>
            <w:webHidden/>
          </w:rPr>
          <w:tab/>
        </w:r>
        <w:r w:rsidR="00F93045">
          <w:rPr>
            <w:webHidden/>
          </w:rPr>
          <w:fldChar w:fldCharType="begin"/>
        </w:r>
        <w:r w:rsidR="00F93045">
          <w:rPr>
            <w:webHidden/>
          </w:rPr>
          <w:instrText xml:space="preserve"> PAGEREF _Toc417024883 \h </w:instrText>
        </w:r>
        <w:r w:rsidR="00F93045">
          <w:rPr>
            <w:webHidden/>
          </w:rPr>
        </w:r>
        <w:r w:rsidR="00F93045">
          <w:rPr>
            <w:webHidden/>
          </w:rPr>
          <w:fldChar w:fldCharType="separate"/>
        </w:r>
        <w:r w:rsidR="00F93045">
          <w:rPr>
            <w:webHidden/>
          </w:rPr>
          <w:t>119</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84" w:history="1">
        <w:r w:rsidR="00F93045" w:rsidRPr="0060675F">
          <w:rPr>
            <w:rStyle w:val="Hypertextovodkaz"/>
          </w:rPr>
          <w:t>3.4.3. Příklad projektu</w:t>
        </w:r>
        <w:r w:rsidR="00F93045">
          <w:rPr>
            <w:webHidden/>
          </w:rPr>
          <w:tab/>
        </w:r>
        <w:r w:rsidR="00F93045">
          <w:rPr>
            <w:webHidden/>
          </w:rPr>
          <w:fldChar w:fldCharType="begin"/>
        </w:r>
        <w:r w:rsidR="00F93045">
          <w:rPr>
            <w:webHidden/>
          </w:rPr>
          <w:instrText xml:space="preserve"> PAGEREF _Toc417024884 \h </w:instrText>
        </w:r>
        <w:r w:rsidR="00F93045">
          <w:rPr>
            <w:webHidden/>
          </w:rPr>
        </w:r>
        <w:r w:rsidR="00F93045">
          <w:rPr>
            <w:webHidden/>
          </w:rPr>
          <w:fldChar w:fldCharType="separate"/>
        </w:r>
        <w:r w:rsidR="00F93045">
          <w:rPr>
            <w:webHidden/>
          </w:rPr>
          <w:t>120</w:t>
        </w:r>
        <w:r w:rsidR="00F93045">
          <w:rPr>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85" w:history="1">
        <w:r w:rsidR="00F93045" w:rsidRPr="0060675F">
          <w:rPr>
            <w:rStyle w:val="Hypertextovodkaz"/>
            <w:noProof/>
          </w:rPr>
          <w:t>3.5 Prioritní osa 5 – Národní podpora územního rozvoje</w:t>
        </w:r>
        <w:r w:rsidR="00F93045">
          <w:rPr>
            <w:noProof/>
            <w:webHidden/>
          </w:rPr>
          <w:tab/>
        </w:r>
        <w:r w:rsidR="00F93045">
          <w:rPr>
            <w:noProof/>
            <w:webHidden/>
          </w:rPr>
          <w:fldChar w:fldCharType="begin"/>
        </w:r>
        <w:r w:rsidR="00F93045">
          <w:rPr>
            <w:noProof/>
            <w:webHidden/>
          </w:rPr>
          <w:instrText xml:space="preserve"> PAGEREF _Toc417024885 \h </w:instrText>
        </w:r>
        <w:r w:rsidR="00F93045">
          <w:rPr>
            <w:noProof/>
            <w:webHidden/>
          </w:rPr>
        </w:r>
        <w:r w:rsidR="00F93045">
          <w:rPr>
            <w:noProof/>
            <w:webHidden/>
          </w:rPr>
          <w:fldChar w:fldCharType="separate"/>
        </w:r>
        <w:r w:rsidR="00F93045">
          <w:rPr>
            <w:noProof/>
            <w:webHidden/>
          </w:rPr>
          <w:t>121</w:t>
        </w:r>
        <w:r w:rsidR="00F93045">
          <w:rPr>
            <w:noProof/>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86" w:history="1">
        <w:r w:rsidR="00F93045" w:rsidRPr="0060675F">
          <w:rPr>
            <w:rStyle w:val="Hypertextovodkaz"/>
          </w:rPr>
          <w:t>3.5.1 Dosažený pokrok a jeho analýza</w:t>
        </w:r>
        <w:r w:rsidR="00F93045">
          <w:rPr>
            <w:webHidden/>
          </w:rPr>
          <w:tab/>
        </w:r>
        <w:r w:rsidR="00F93045">
          <w:rPr>
            <w:webHidden/>
          </w:rPr>
          <w:fldChar w:fldCharType="begin"/>
        </w:r>
        <w:r w:rsidR="00F93045">
          <w:rPr>
            <w:webHidden/>
          </w:rPr>
          <w:instrText xml:space="preserve"> PAGEREF _Toc417024886 \h </w:instrText>
        </w:r>
        <w:r w:rsidR="00F93045">
          <w:rPr>
            <w:webHidden/>
          </w:rPr>
        </w:r>
        <w:r w:rsidR="00F93045">
          <w:rPr>
            <w:webHidden/>
          </w:rPr>
          <w:fldChar w:fldCharType="separate"/>
        </w:r>
        <w:r w:rsidR="00F93045">
          <w:rPr>
            <w:webHidden/>
          </w:rPr>
          <w:t>121</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87" w:history="1">
        <w:r w:rsidR="00F93045" w:rsidRPr="0060675F">
          <w:rPr>
            <w:rStyle w:val="Hypertextovodkaz"/>
          </w:rPr>
          <w:t>3.5.2 Závažné problémy, které se objevily, a přijatá opatření k jejich odstranění</w:t>
        </w:r>
        <w:r w:rsidR="00F93045">
          <w:rPr>
            <w:webHidden/>
          </w:rPr>
          <w:tab/>
        </w:r>
        <w:r w:rsidR="00F93045">
          <w:rPr>
            <w:webHidden/>
          </w:rPr>
          <w:fldChar w:fldCharType="begin"/>
        </w:r>
        <w:r w:rsidR="00F93045">
          <w:rPr>
            <w:webHidden/>
          </w:rPr>
          <w:instrText xml:space="preserve"> PAGEREF _Toc417024887 \h </w:instrText>
        </w:r>
        <w:r w:rsidR="00F93045">
          <w:rPr>
            <w:webHidden/>
          </w:rPr>
        </w:r>
        <w:r w:rsidR="00F93045">
          <w:rPr>
            <w:webHidden/>
          </w:rPr>
          <w:fldChar w:fldCharType="separate"/>
        </w:r>
        <w:r w:rsidR="00F93045">
          <w:rPr>
            <w:webHidden/>
          </w:rPr>
          <w:t>130</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88" w:history="1">
        <w:r w:rsidR="00F93045" w:rsidRPr="0060675F">
          <w:rPr>
            <w:rStyle w:val="Hypertextovodkaz"/>
          </w:rPr>
          <w:t>3.5.3. Příklad projektu</w:t>
        </w:r>
        <w:r w:rsidR="00F93045">
          <w:rPr>
            <w:webHidden/>
          </w:rPr>
          <w:tab/>
        </w:r>
        <w:r w:rsidR="00F93045">
          <w:rPr>
            <w:webHidden/>
          </w:rPr>
          <w:fldChar w:fldCharType="begin"/>
        </w:r>
        <w:r w:rsidR="00F93045">
          <w:rPr>
            <w:webHidden/>
          </w:rPr>
          <w:instrText xml:space="preserve"> PAGEREF _Toc417024888 \h </w:instrText>
        </w:r>
        <w:r w:rsidR="00F93045">
          <w:rPr>
            <w:webHidden/>
          </w:rPr>
        </w:r>
        <w:r w:rsidR="00F93045">
          <w:rPr>
            <w:webHidden/>
          </w:rPr>
          <w:fldChar w:fldCharType="separate"/>
        </w:r>
        <w:r w:rsidR="00F93045">
          <w:rPr>
            <w:webHidden/>
          </w:rPr>
          <w:t>131</w:t>
        </w:r>
        <w:r w:rsidR="00F93045">
          <w:rPr>
            <w:webHidden/>
          </w:rPr>
          <w:fldChar w:fldCharType="end"/>
        </w:r>
      </w:hyperlink>
    </w:p>
    <w:p w:rsidR="00F93045" w:rsidRDefault="0095318B">
      <w:pPr>
        <w:pStyle w:val="Obsah2"/>
        <w:tabs>
          <w:tab w:val="right" w:leader="dot" w:pos="9062"/>
        </w:tabs>
        <w:rPr>
          <w:rFonts w:asciiTheme="minorHAnsi" w:eastAsiaTheme="minorEastAsia" w:hAnsiTheme="minorHAnsi" w:cstheme="minorBidi"/>
          <w:noProof/>
          <w:sz w:val="22"/>
          <w:szCs w:val="22"/>
        </w:rPr>
      </w:pPr>
      <w:hyperlink w:anchor="_Toc417024889" w:history="1">
        <w:r w:rsidR="00F93045" w:rsidRPr="0060675F">
          <w:rPr>
            <w:rStyle w:val="Hypertextovodkaz"/>
            <w:noProof/>
          </w:rPr>
          <w:t>3.6 Prioritní osa 6a, 6b – Technická pomoc</w:t>
        </w:r>
        <w:r w:rsidR="00F93045">
          <w:rPr>
            <w:noProof/>
            <w:webHidden/>
          </w:rPr>
          <w:tab/>
        </w:r>
        <w:r w:rsidR="00F93045">
          <w:rPr>
            <w:noProof/>
            <w:webHidden/>
          </w:rPr>
          <w:fldChar w:fldCharType="begin"/>
        </w:r>
        <w:r w:rsidR="00F93045">
          <w:rPr>
            <w:noProof/>
            <w:webHidden/>
          </w:rPr>
          <w:instrText xml:space="preserve"> PAGEREF _Toc417024889 \h </w:instrText>
        </w:r>
        <w:r w:rsidR="00F93045">
          <w:rPr>
            <w:noProof/>
            <w:webHidden/>
          </w:rPr>
        </w:r>
        <w:r w:rsidR="00F93045">
          <w:rPr>
            <w:noProof/>
            <w:webHidden/>
          </w:rPr>
          <w:fldChar w:fldCharType="separate"/>
        </w:r>
        <w:r w:rsidR="00F93045">
          <w:rPr>
            <w:noProof/>
            <w:webHidden/>
          </w:rPr>
          <w:t>133</w:t>
        </w:r>
        <w:r w:rsidR="00F93045">
          <w:rPr>
            <w:noProof/>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90" w:history="1">
        <w:r w:rsidR="00F93045" w:rsidRPr="0060675F">
          <w:rPr>
            <w:rStyle w:val="Hypertextovodkaz"/>
          </w:rPr>
          <w:t>3.6.1 Dosažený pokrok a jeho analýza</w:t>
        </w:r>
        <w:r w:rsidR="00F93045">
          <w:rPr>
            <w:webHidden/>
          </w:rPr>
          <w:tab/>
        </w:r>
        <w:r w:rsidR="00F93045">
          <w:rPr>
            <w:webHidden/>
          </w:rPr>
          <w:fldChar w:fldCharType="begin"/>
        </w:r>
        <w:r w:rsidR="00F93045">
          <w:rPr>
            <w:webHidden/>
          </w:rPr>
          <w:instrText xml:space="preserve"> PAGEREF _Toc417024890 \h </w:instrText>
        </w:r>
        <w:r w:rsidR="00F93045">
          <w:rPr>
            <w:webHidden/>
          </w:rPr>
        </w:r>
        <w:r w:rsidR="00F93045">
          <w:rPr>
            <w:webHidden/>
          </w:rPr>
          <w:fldChar w:fldCharType="separate"/>
        </w:r>
        <w:r w:rsidR="00F93045">
          <w:rPr>
            <w:webHidden/>
          </w:rPr>
          <w:t>133</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91" w:history="1">
        <w:r w:rsidR="00F93045" w:rsidRPr="0060675F">
          <w:rPr>
            <w:rStyle w:val="Hypertextovodkaz"/>
          </w:rPr>
          <w:t>3.6.2 Závažné problémy, které se objevily, a přijatá opatření k jejich odstranění</w:t>
        </w:r>
        <w:r w:rsidR="00F93045">
          <w:rPr>
            <w:webHidden/>
          </w:rPr>
          <w:tab/>
        </w:r>
        <w:r w:rsidR="00F93045">
          <w:rPr>
            <w:webHidden/>
          </w:rPr>
          <w:fldChar w:fldCharType="begin"/>
        </w:r>
        <w:r w:rsidR="00F93045">
          <w:rPr>
            <w:webHidden/>
          </w:rPr>
          <w:instrText xml:space="preserve"> PAGEREF _Toc417024891 \h </w:instrText>
        </w:r>
        <w:r w:rsidR="00F93045">
          <w:rPr>
            <w:webHidden/>
          </w:rPr>
        </w:r>
        <w:r w:rsidR="00F93045">
          <w:rPr>
            <w:webHidden/>
          </w:rPr>
          <w:fldChar w:fldCharType="separate"/>
        </w:r>
        <w:r w:rsidR="00F93045">
          <w:rPr>
            <w:webHidden/>
          </w:rPr>
          <w:t>138</w:t>
        </w:r>
        <w:r w:rsidR="00F93045">
          <w:rPr>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892" w:history="1">
        <w:r w:rsidR="00F93045" w:rsidRPr="0060675F">
          <w:rPr>
            <w:rStyle w:val="Hypertextovodkaz"/>
            <w:noProof/>
          </w:rPr>
          <w:t>4 PROGRAMY ERDF/FOND SOUDRŽNOSTI</w:t>
        </w:r>
        <w:r w:rsidR="00F93045">
          <w:rPr>
            <w:noProof/>
            <w:webHidden/>
          </w:rPr>
          <w:tab/>
        </w:r>
        <w:r w:rsidR="00F93045">
          <w:rPr>
            <w:noProof/>
            <w:webHidden/>
          </w:rPr>
          <w:fldChar w:fldCharType="begin"/>
        </w:r>
        <w:r w:rsidR="00F93045">
          <w:rPr>
            <w:noProof/>
            <w:webHidden/>
          </w:rPr>
          <w:instrText xml:space="preserve"> PAGEREF _Toc417024892 \h </w:instrText>
        </w:r>
        <w:r w:rsidR="00F93045">
          <w:rPr>
            <w:noProof/>
            <w:webHidden/>
          </w:rPr>
        </w:r>
        <w:r w:rsidR="00F93045">
          <w:rPr>
            <w:noProof/>
            <w:webHidden/>
          </w:rPr>
          <w:fldChar w:fldCharType="separate"/>
        </w:r>
        <w:r w:rsidR="00F93045">
          <w:rPr>
            <w:noProof/>
            <w:webHidden/>
          </w:rPr>
          <w:t>139</w:t>
        </w:r>
        <w:r w:rsidR="00F93045">
          <w:rPr>
            <w:noProof/>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893" w:history="1">
        <w:r w:rsidR="00F93045" w:rsidRPr="0060675F">
          <w:rPr>
            <w:rStyle w:val="Hypertextovodkaz"/>
            <w:noProof/>
          </w:rPr>
          <w:t>5 TECHNICKÁ POMOC</w:t>
        </w:r>
        <w:r w:rsidR="00F93045">
          <w:rPr>
            <w:noProof/>
            <w:webHidden/>
          </w:rPr>
          <w:tab/>
        </w:r>
        <w:r w:rsidR="00F93045">
          <w:rPr>
            <w:noProof/>
            <w:webHidden/>
          </w:rPr>
          <w:fldChar w:fldCharType="begin"/>
        </w:r>
        <w:r w:rsidR="00F93045">
          <w:rPr>
            <w:noProof/>
            <w:webHidden/>
          </w:rPr>
          <w:instrText xml:space="preserve"> PAGEREF _Toc417024893 \h </w:instrText>
        </w:r>
        <w:r w:rsidR="00F93045">
          <w:rPr>
            <w:noProof/>
            <w:webHidden/>
          </w:rPr>
        </w:r>
        <w:r w:rsidR="00F93045">
          <w:rPr>
            <w:noProof/>
            <w:webHidden/>
          </w:rPr>
          <w:fldChar w:fldCharType="separate"/>
        </w:r>
        <w:r w:rsidR="00F93045">
          <w:rPr>
            <w:noProof/>
            <w:webHidden/>
          </w:rPr>
          <w:t>140</w:t>
        </w:r>
        <w:r w:rsidR="00F93045">
          <w:rPr>
            <w:noProof/>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894" w:history="1">
        <w:r w:rsidR="00F93045" w:rsidRPr="0060675F">
          <w:rPr>
            <w:rStyle w:val="Hypertextovodkaz"/>
            <w:noProof/>
          </w:rPr>
          <w:t>6 INFORMOVÁNÍ A PROPAGACE</w:t>
        </w:r>
        <w:r w:rsidR="00F93045">
          <w:rPr>
            <w:noProof/>
            <w:webHidden/>
          </w:rPr>
          <w:tab/>
        </w:r>
        <w:r w:rsidR="00F93045">
          <w:rPr>
            <w:noProof/>
            <w:webHidden/>
          </w:rPr>
          <w:fldChar w:fldCharType="begin"/>
        </w:r>
        <w:r w:rsidR="00F93045">
          <w:rPr>
            <w:noProof/>
            <w:webHidden/>
          </w:rPr>
          <w:instrText xml:space="preserve"> PAGEREF _Toc417024894 \h </w:instrText>
        </w:r>
        <w:r w:rsidR="00F93045">
          <w:rPr>
            <w:noProof/>
            <w:webHidden/>
          </w:rPr>
        </w:r>
        <w:r w:rsidR="00F93045">
          <w:rPr>
            <w:noProof/>
            <w:webHidden/>
          </w:rPr>
          <w:fldChar w:fldCharType="separate"/>
        </w:r>
        <w:r w:rsidR="00F93045">
          <w:rPr>
            <w:noProof/>
            <w:webHidden/>
          </w:rPr>
          <w:t>142</w:t>
        </w:r>
        <w:r w:rsidR="00F93045">
          <w:rPr>
            <w:noProof/>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895" w:history="1">
        <w:r w:rsidR="00F93045" w:rsidRPr="0060675F">
          <w:rPr>
            <w:rStyle w:val="Hypertextovodkaz"/>
            <w:noProof/>
          </w:rPr>
          <w:t>6.1 Propagační aktivity a použité komunikační nástroje v roce 2014</w:t>
        </w:r>
        <w:r w:rsidR="00F93045">
          <w:rPr>
            <w:noProof/>
            <w:webHidden/>
          </w:rPr>
          <w:tab/>
        </w:r>
        <w:r w:rsidR="00F93045">
          <w:rPr>
            <w:noProof/>
            <w:webHidden/>
          </w:rPr>
          <w:fldChar w:fldCharType="begin"/>
        </w:r>
        <w:r w:rsidR="00F93045">
          <w:rPr>
            <w:noProof/>
            <w:webHidden/>
          </w:rPr>
          <w:instrText xml:space="preserve"> PAGEREF _Toc417024895 \h </w:instrText>
        </w:r>
        <w:r w:rsidR="00F93045">
          <w:rPr>
            <w:noProof/>
            <w:webHidden/>
          </w:rPr>
        </w:r>
        <w:r w:rsidR="00F93045">
          <w:rPr>
            <w:noProof/>
            <w:webHidden/>
          </w:rPr>
          <w:fldChar w:fldCharType="separate"/>
        </w:r>
        <w:r w:rsidR="00F93045">
          <w:rPr>
            <w:noProof/>
            <w:webHidden/>
          </w:rPr>
          <w:t>143</w:t>
        </w:r>
        <w:r w:rsidR="00F93045">
          <w:rPr>
            <w:noProof/>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96" w:history="1">
        <w:r w:rsidR="00F93045" w:rsidRPr="0060675F">
          <w:rPr>
            <w:rStyle w:val="Hypertextovodkaz"/>
          </w:rPr>
          <w:t>6.1.1 Komunikační kampaně</w:t>
        </w:r>
        <w:r w:rsidR="00F93045">
          <w:rPr>
            <w:webHidden/>
          </w:rPr>
          <w:tab/>
        </w:r>
        <w:r w:rsidR="00F93045">
          <w:rPr>
            <w:webHidden/>
          </w:rPr>
          <w:fldChar w:fldCharType="begin"/>
        </w:r>
        <w:r w:rsidR="00F93045">
          <w:rPr>
            <w:webHidden/>
          </w:rPr>
          <w:instrText xml:space="preserve"> PAGEREF _Toc417024896 \h </w:instrText>
        </w:r>
        <w:r w:rsidR="00F93045">
          <w:rPr>
            <w:webHidden/>
          </w:rPr>
        </w:r>
        <w:r w:rsidR="00F93045">
          <w:rPr>
            <w:webHidden/>
          </w:rPr>
          <w:fldChar w:fldCharType="separate"/>
        </w:r>
        <w:r w:rsidR="00F93045">
          <w:rPr>
            <w:webHidden/>
          </w:rPr>
          <w:t>143</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97" w:history="1">
        <w:r w:rsidR="00F93045" w:rsidRPr="0060675F">
          <w:rPr>
            <w:rStyle w:val="Hypertextovodkaz"/>
          </w:rPr>
          <w:t>6.1.2 Konference</w:t>
        </w:r>
        <w:r w:rsidR="00F93045">
          <w:rPr>
            <w:webHidden/>
          </w:rPr>
          <w:tab/>
        </w:r>
        <w:r w:rsidR="00F93045">
          <w:rPr>
            <w:webHidden/>
          </w:rPr>
          <w:fldChar w:fldCharType="begin"/>
        </w:r>
        <w:r w:rsidR="00F93045">
          <w:rPr>
            <w:webHidden/>
          </w:rPr>
          <w:instrText xml:space="preserve"> PAGEREF _Toc417024897 \h </w:instrText>
        </w:r>
        <w:r w:rsidR="00F93045">
          <w:rPr>
            <w:webHidden/>
          </w:rPr>
        </w:r>
        <w:r w:rsidR="00F93045">
          <w:rPr>
            <w:webHidden/>
          </w:rPr>
          <w:fldChar w:fldCharType="separate"/>
        </w:r>
        <w:r w:rsidR="00F93045">
          <w:rPr>
            <w:webHidden/>
          </w:rPr>
          <w:t>144</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98" w:history="1">
        <w:r w:rsidR="00F93045" w:rsidRPr="0060675F">
          <w:rPr>
            <w:rStyle w:val="Hypertextovodkaz"/>
          </w:rPr>
          <w:t>6.1.3 Soutěže, hry a další akce pro veřejnost</w:t>
        </w:r>
        <w:r w:rsidR="00F93045">
          <w:rPr>
            <w:webHidden/>
          </w:rPr>
          <w:tab/>
        </w:r>
        <w:r w:rsidR="00F93045">
          <w:rPr>
            <w:webHidden/>
          </w:rPr>
          <w:fldChar w:fldCharType="begin"/>
        </w:r>
        <w:r w:rsidR="00F93045">
          <w:rPr>
            <w:webHidden/>
          </w:rPr>
          <w:instrText xml:space="preserve"> PAGEREF _Toc417024898 \h </w:instrText>
        </w:r>
        <w:r w:rsidR="00F93045">
          <w:rPr>
            <w:webHidden/>
          </w:rPr>
        </w:r>
        <w:r w:rsidR="00F93045">
          <w:rPr>
            <w:webHidden/>
          </w:rPr>
          <w:fldChar w:fldCharType="separate"/>
        </w:r>
        <w:r w:rsidR="00F93045">
          <w:rPr>
            <w:webHidden/>
          </w:rPr>
          <w:t>144</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899" w:history="1">
        <w:r w:rsidR="00F93045" w:rsidRPr="0060675F">
          <w:rPr>
            <w:rStyle w:val="Hypertextovodkaz"/>
          </w:rPr>
          <w:t>6.1.4 Fotodokumentace</w:t>
        </w:r>
        <w:r w:rsidR="00F93045">
          <w:rPr>
            <w:webHidden/>
          </w:rPr>
          <w:tab/>
        </w:r>
        <w:r w:rsidR="00F93045">
          <w:rPr>
            <w:webHidden/>
          </w:rPr>
          <w:fldChar w:fldCharType="begin"/>
        </w:r>
        <w:r w:rsidR="00F93045">
          <w:rPr>
            <w:webHidden/>
          </w:rPr>
          <w:instrText xml:space="preserve"> PAGEREF _Toc417024899 \h </w:instrText>
        </w:r>
        <w:r w:rsidR="00F93045">
          <w:rPr>
            <w:webHidden/>
          </w:rPr>
        </w:r>
        <w:r w:rsidR="00F93045">
          <w:rPr>
            <w:webHidden/>
          </w:rPr>
          <w:fldChar w:fldCharType="separate"/>
        </w:r>
        <w:r w:rsidR="00F93045">
          <w:rPr>
            <w:webHidden/>
          </w:rPr>
          <w:t>145</w:t>
        </w:r>
        <w:r w:rsidR="00F93045">
          <w:rPr>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900" w:history="1">
        <w:r w:rsidR="00F93045" w:rsidRPr="0060675F">
          <w:rPr>
            <w:rStyle w:val="Hypertextovodkaz"/>
            <w:noProof/>
          </w:rPr>
          <w:t>6.2 Cílové skupiny</w:t>
        </w:r>
        <w:r w:rsidR="00F93045">
          <w:rPr>
            <w:noProof/>
            <w:webHidden/>
          </w:rPr>
          <w:tab/>
        </w:r>
        <w:r w:rsidR="00F93045">
          <w:rPr>
            <w:noProof/>
            <w:webHidden/>
          </w:rPr>
          <w:tab/>
        </w:r>
        <w:r w:rsidR="00F93045">
          <w:rPr>
            <w:noProof/>
            <w:webHidden/>
          </w:rPr>
          <w:fldChar w:fldCharType="begin"/>
        </w:r>
        <w:r w:rsidR="00F93045">
          <w:rPr>
            <w:noProof/>
            <w:webHidden/>
          </w:rPr>
          <w:instrText xml:space="preserve"> PAGEREF _Toc417024900 \h </w:instrText>
        </w:r>
        <w:r w:rsidR="00F93045">
          <w:rPr>
            <w:noProof/>
            <w:webHidden/>
          </w:rPr>
        </w:r>
        <w:r w:rsidR="00F93045">
          <w:rPr>
            <w:noProof/>
            <w:webHidden/>
          </w:rPr>
          <w:fldChar w:fldCharType="separate"/>
        </w:r>
        <w:r w:rsidR="00F93045">
          <w:rPr>
            <w:noProof/>
            <w:webHidden/>
          </w:rPr>
          <w:t>145</w:t>
        </w:r>
        <w:r w:rsidR="00F93045">
          <w:rPr>
            <w:noProof/>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901" w:history="1">
        <w:r w:rsidR="00F93045" w:rsidRPr="0060675F">
          <w:rPr>
            <w:rStyle w:val="Hypertextovodkaz"/>
            <w:noProof/>
          </w:rPr>
          <w:t>6.3 Komunikace s veřejností, žadateli a příjemci</w:t>
        </w:r>
        <w:r w:rsidR="00F93045">
          <w:rPr>
            <w:noProof/>
            <w:webHidden/>
          </w:rPr>
          <w:tab/>
        </w:r>
        <w:r w:rsidR="00F93045">
          <w:rPr>
            <w:noProof/>
            <w:webHidden/>
          </w:rPr>
          <w:fldChar w:fldCharType="begin"/>
        </w:r>
        <w:r w:rsidR="00F93045">
          <w:rPr>
            <w:noProof/>
            <w:webHidden/>
          </w:rPr>
          <w:instrText xml:space="preserve"> PAGEREF _Toc417024901 \h </w:instrText>
        </w:r>
        <w:r w:rsidR="00F93045">
          <w:rPr>
            <w:noProof/>
            <w:webHidden/>
          </w:rPr>
        </w:r>
        <w:r w:rsidR="00F93045">
          <w:rPr>
            <w:noProof/>
            <w:webHidden/>
          </w:rPr>
          <w:fldChar w:fldCharType="separate"/>
        </w:r>
        <w:r w:rsidR="00F93045">
          <w:rPr>
            <w:noProof/>
            <w:webHidden/>
          </w:rPr>
          <w:t>146</w:t>
        </w:r>
        <w:r w:rsidR="00F93045">
          <w:rPr>
            <w:noProof/>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902" w:history="1">
        <w:r w:rsidR="00F93045" w:rsidRPr="0060675F">
          <w:rPr>
            <w:rStyle w:val="Hypertextovodkaz"/>
            <w:noProof/>
          </w:rPr>
          <w:t>6.4 Celkový rozpočet KoP IOP 2014</w:t>
        </w:r>
        <w:r w:rsidR="00F93045">
          <w:rPr>
            <w:noProof/>
            <w:webHidden/>
          </w:rPr>
          <w:tab/>
        </w:r>
        <w:r w:rsidR="00F93045">
          <w:rPr>
            <w:noProof/>
            <w:webHidden/>
          </w:rPr>
          <w:fldChar w:fldCharType="begin"/>
        </w:r>
        <w:r w:rsidR="00F93045">
          <w:rPr>
            <w:noProof/>
            <w:webHidden/>
          </w:rPr>
          <w:instrText xml:space="preserve"> PAGEREF _Toc417024902 \h </w:instrText>
        </w:r>
        <w:r w:rsidR="00F93045">
          <w:rPr>
            <w:noProof/>
            <w:webHidden/>
          </w:rPr>
        </w:r>
        <w:r w:rsidR="00F93045">
          <w:rPr>
            <w:noProof/>
            <w:webHidden/>
          </w:rPr>
          <w:fldChar w:fldCharType="separate"/>
        </w:r>
        <w:r w:rsidR="00F93045">
          <w:rPr>
            <w:noProof/>
            <w:webHidden/>
          </w:rPr>
          <w:t>146</w:t>
        </w:r>
        <w:r w:rsidR="00F93045">
          <w:rPr>
            <w:noProof/>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903" w:history="1">
        <w:r w:rsidR="00F93045" w:rsidRPr="0060675F">
          <w:rPr>
            <w:rStyle w:val="Hypertextovodkaz"/>
            <w:noProof/>
          </w:rPr>
          <w:t>6.5 Hodnocení aktivit v oblasti publicity za rok 2014</w:t>
        </w:r>
        <w:r w:rsidR="00F93045">
          <w:rPr>
            <w:noProof/>
            <w:webHidden/>
          </w:rPr>
          <w:tab/>
        </w:r>
        <w:r w:rsidR="00F93045">
          <w:rPr>
            <w:noProof/>
            <w:webHidden/>
          </w:rPr>
          <w:fldChar w:fldCharType="begin"/>
        </w:r>
        <w:r w:rsidR="00F93045">
          <w:rPr>
            <w:noProof/>
            <w:webHidden/>
          </w:rPr>
          <w:instrText xml:space="preserve"> PAGEREF _Toc417024903 \h </w:instrText>
        </w:r>
        <w:r w:rsidR="00F93045">
          <w:rPr>
            <w:noProof/>
            <w:webHidden/>
          </w:rPr>
        </w:r>
        <w:r w:rsidR="00F93045">
          <w:rPr>
            <w:noProof/>
            <w:webHidden/>
          </w:rPr>
          <w:fldChar w:fldCharType="separate"/>
        </w:r>
        <w:r w:rsidR="00F93045">
          <w:rPr>
            <w:noProof/>
            <w:webHidden/>
          </w:rPr>
          <w:t>147</w:t>
        </w:r>
        <w:r w:rsidR="00F93045">
          <w:rPr>
            <w:noProof/>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904" w:history="1">
        <w:r w:rsidR="00F93045" w:rsidRPr="0060675F">
          <w:rPr>
            <w:rStyle w:val="Hypertextovodkaz"/>
            <w:noProof/>
          </w:rPr>
          <w:t>7 RŮZNÉ, VÝMĚNA ZKUŠENOSTÍ, OSVĚDČENÉ POSTUPY</w:t>
        </w:r>
        <w:r w:rsidR="00F93045">
          <w:rPr>
            <w:noProof/>
            <w:webHidden/>
          </w:rPr>
          <w:tab/>
        </w:r>
        <w:r w:rsidR="00F93045">
          <w:rPr>
            <w:noProof/>
            <w:webHidden/>
          </w:rPr>
          <w:fldChar w:fldCharType="begin"/>
        </w:r>
        <w:r w:rsidR="00F93045">
          <w:rPr>
            <w:noProof/>
            <w:webHidden/>
          </w:rPr>
          <w:instrText xml:space="preserve"> PAGEREF _Toc417024904 \h </w:instrText>
        </w:r>
        <w:r w:rsidR="00F93045">
          <w:rPr>
            <w:noProof/>
            <w:webHidden/>
          </w:rPr>
        </w:r>
        <w:r w:rsidR="00F93045">
          <w:rPr>
            <w:noProof/>
            <w:webHidden/>
          </w:rPr>
          <w:fldChar w:fldCharType="separate"/>
        </w:r>
        <w:r w:rsidR="00F93045">
          <w:rPr>
            <w:noProof/>
            <w:webHidden/>
          </w:rPr>
          <w:t>147</w:t>
        </w:r>
        <w:r w:rsidR="00F93045">
          <w:rPr>
            <w:noProof/>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905" w:history="1">
        <w:r w:rsidR="00F93045" w:rsidRPr="0060675F">
          <w:rPr>
            <w:rStyle w:val="Hypertextovodkaz"/>
            <w:noProof/>
          </w:rPr>
          <w:t>7.1 Pracovní skupiny IOP</w:t>
        </w:r>
        <w:r w:rsidR="00F93045">
          <w:rPr>
            <w:noProof/>
            <w:webHidden/>
          </w:rPr>
          <w:tab/>
        </w:r>
        <w:r w:rsidR="00F93045">
          <w:rPr>
            <w:noProof/>
            <w:webHidden/>
          </w:rPr>
          <w:fldChar w:fldCharType="begin"/>
        </w:r>
        <w:r w:rsidR="00F93045">
          <w:rPr>
            <w:noProof/>
            <w:webHidden/>
          </w:rPr>
          <w:instrText xml:space="preserve"> PAGEREF _Toc417024905 \h </w:instrText>
        </w:r>
        <w:r w:rsidR="00F93045">
          <w:rPr>
            <w:noProof/>
            <w:webHidden/>
          </w:rPr>
        </w:r>
        <w:r w:rsidR="00F93045">
          <w:rPr>
            <w:noProof/>
            <w:webHidden/>
          </w:rPr>
          <w:fldChar w:fldCharType="separate"/>
        </w:r>
        <w:r w:rsidR="00F93045">
          <w:rPr>
            <w:noProof/>
            <w:webHidden/>
          </w:rPr>
          <w:t>147</w:t>
        </w:r>
        <w:r w:rsidR="00F93045">
          <w:rPr>
            <w:noProof/>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906" w:history="1">
        <w:r w:rsidR="00F93045" w:rsidRPr="0060675F">
          <w:rPr>
            <w:rStyle w:val="Hypertextovodkaz"/>
            <w:noProof/>
          </w:rPr>
          <w:t>7.2 Vzdělávání pracovníků ŘO IOP a ZS IOP</w:t>
        </w:r>
        <w:r w:rsidR="00F93045">
          <w:rPr>
            <w:noProof/>
            <w:webHidden/>
          </w:rPr>
          <w:tab/>
        </w:r>
        <w:r w:rsidR="00F93045">
          <w:rPr>
            <w:noProof/>
            <w:webHidden/>
          </w:rPr>
          <w:fldChar w:fldCharType="begin"/>
        </w:r>
        <w:r w:rsidR="00F93045">
          <w:rPr>
            <w:noProof/>
            <w:webHidden/>
          </w:rPr>
          <w:instrText xml:space="preserve"> PAGEREF _Toc417024906 \h </w:instrText>
        </w:r>
        <w:r w:rsidR="00F93045">
          <w:rPr>
            <w:noProof/>
            <w:webHidden/>
          </w:rPr>
        </w:r>
        <w:r w:rsidR="00F93045">
          <w:rPr>
            <w:noProof/>
            <w:webHidden/>
          </w:rPr>
          <w:fldChar w:fldCharType="separate"/>
        </w:r>
        <w:r w:rsidR="00F93045">
          <w:rPr>
            <w:noProof/>
            <w:webHidden/>
          </w:rPr>
          <w:t>149</w:t>
        </w:r>
        <w:r w:rsidR="00F93045">
          <w:rPr>
            <w:noProof/>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907" w:history="1">
        <w:r w:rsidR="00F93045" w:rsidRPr="0060675F">
          <w:rPr>
            <w:rStyle w:val="Hypertextovodkaz"/>
          </w:rPr>
          <w:t>7.2.1 Řídící orgán IOP</w:t>
        </w:r>
        <w:r w:rsidR="00F93045">
          <w:rPr>
            <w:webHidden/>
          </w:rPr>
          <w:tab/>
        </w:r>
        <w:r w:rsidR="00F93045">
          <w:rPr>
            <w:webHidden/>
          </w:rPr>
          <w:fldChar w:fldCharType="begin"/>
        </w:r>
        <w:r w:rsidR="00F93045">
          <w:rPr>
            <w:webHidden/>
          </w:rPr>
          <w:instrText xml:space="preserve"> PAGEREF _Toc417024907 \h </w:instrText>
        </w:r>
        <w:r w:rsidR="00F93045">
          <w:rPr>
            <w:webHidden/>
          </w:rPr>
        </w:r>
        <w:r w:rsidR="00F93045">
          <w:rPr>
            <w:webHidden/>
          </w:rPr>
          <w:fldChar w:fldCharType="separate"/>
        </w:r>
        <w:r w:rsidR="00F93045">
          <w:rPr>
            <w:webHidden/>
          </w:rPr>
          <w:t>149</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908" w:history="1">
        <w:r w:rsidR="00F93045" w:rsidRPr="0060675F">
          <w:rPr>
            <w:rStyle w:val="Hypertextovodkaz"/>
          </w:rPr>
          <w:t>7.2.2 Zprostředkující subjekty IOP</w:t>
        </w:r>
        <w:r w:rsidR="00F93045">
          <w:rPr>
            <w:webHidden/>
          </w:rPr>
          <w:tab/>
        </w:r>
        <w:r w:rsidR="00F93045">
          <w:rPr>
            <w:webHidden/>
          </w:rPr>
          <w:fldChar w:fldCharType="begin"/>
        </w:r>
        <w:r w:rsidR="00F93045">
          <w:rPr>
            <w:webHidden/>
          </w:rPr>
          <w:instrText xml:space="preserve"> PAGEREF _Toc417024908 \h </w:instrText>
        </w:r>
        <w:r w:rsidR="00F93045">
          <w:rPr>
            <w:webHidden/>
          </w:rPr>
        </w:r>
        <w:r w:rsidR="00F93045">
          <w:rPr>
            <w:webHidden/>
          </w:rPr>
          <w:fldChar w:fldCharType="separate"/>
        </w:r>
        <w:r w:rsidR="00F93045">
          <w:rPr>
            <w:webHidden/>
          </w:rPr>
          <w:t>150</w:t>
        </w:r>
        <w:r w:rsidR="00F93045">
          <w:rPr>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909" w:history="1">
        <w:r w:rsidR="00F93045" w:rsidRPr="0060675F">
          <w:rPr>
            <w:rStyle w:val="Hypertextovodkaz"/>
            <w:noProof/>
          </w:rPr>
          <w:t>SEZNAM ZKRATEK</w:t>
        </w:r>
        <w:r w:rsidR="00F93045">
          <w:rPr>
            <w:noProof/>
            <w:webHidden/>
          </w:rPr>
          <w:tab/>
        </w:r>
        <w:r w:rsidR="00F93045">
          <w:rPr>
            <w:noProof/>
            <w:webHidden/>
          </w:rPr>
          <w:fldChar w:fldCharType="begin"/>
        </w:r>
        <w:r w:rsidR="00F93045">
          <w:rPr>
            <w:noProof/>
            <w:webHidden/>
          </w:rPr>
          <w:instrText xml:space="preserve"> PAGEREF _Toc417024909 \h </w:instrText>
        </w:r>
        <w:r w:rsidR="00F93045">
          <w:rPr>
            <w:noProof/>
            <w:webHidden/>
          </w:rPr>
        </w:r>
        <w:r w:rsidR="00F93045">
          <w:rPr>
            <w:noProof/>
            <w:webHidden/>
          </w:rPr>
          <w:fldChar w:fldCharType="separate"/>
        </w:r>
        <w:r w:rsidR="00F93045">
          <w:rPr>
            <w:noProof/>
            <w:webHidden/>
          </w:rPr>
          <w:t>152</w:t>
        </w:r>
        <w:r w:rsidR="00F93045">
          <w:rPr>
            <w:noProof/>
            <w:webHidden/>
          </w:rPr>
          <w:fldChar w:fldCharType="end"/>
        </w:r>
      </w:hyperlink>
    </w:p>
    <w:p w:rsidR="00F93045" w:rsidRDefault="0095318B">
      <w:pPr>
        <w:pStyle w:val="Obsah1"/>
        <w:rPr>
          <w:rFonts w:asciiTheme="minorHAnsi" w:eastAsiaTheme="minorEastAsia" w:hAnsiTheme="minorHAnsi" w:cstheme="minorBidi"/>
          <w:noProof/>
          <w:sz w:val="22"/>
          <w:szCs w:val="22"/>
        </w:rPr>
      </w:pPr>
      <w:hyperlink w:anchor="_Toc417024910" w:history="1">
        <w:r w:rsidR="00F93045" w:rsidRPr="0060675F">
          <w:rPr>
            <w:rStyle w:val="Hypertextovodkaz"/>
            <w:noProof/>
          </w:rPr>
          <w:t>PŘÍLOHY</w:t>
        </w:r>
        <w:r w:rsidR="00F93045">
          <w:rPr>
            <w:noProof/>
            <w:webHidden/>
          </w:rPr>
          <w:tab/>
        </w:r>
        <w:r w:rsidR="00F93045">
          <w:rPr>
            <w:noProof/>
            <w:webHidden/>
          </w:rPr>
          <w:tab/>
        </w:r>
        <w:r w:rsidR="00F93045">
          <w:rPr>
            <w:noProof/>
            <w:webHidden/>
          </w:rPr>
          <w:fldChar w:fldCharType="begin"/>
        </w:r>
        <w:r w:rsidR="00F93045">
          <w:rPr>
            <w:noProof/>
            <w:webHidden/>
          </w:rPr>
          <w:instrText xml:space="preserve"> PAGEREF _Toc417024910 \h </w:instrText>
        </w:r>
        <w:r w:rsidR="00F93045">
          <w:rPr>
            <w:noProof/>
            <w:webHidden/>
          </w:rPr>
        </w:r>
        <w:r w:rsidR="00F93045">
          <w:rPr>
            <w:noProof/>
            <w:webHidden/>
          </w:rPr>
          <w:fldChar w:fldCharType="separate"/>
        </w:r>
        <w:r w:rsidR="00F93045">
          <w:rPr>
            <w:noProof/>
            <w:webHidden/>
          </w:rPr>
          <w:t>154</w:t>
        </w:r>
        <w:r w:rsidR="00F93045">
          <w:rPr>
            <w:noProof/>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911" w:history="1">
        <w:r w:rsidR="00F93045" w:rsidRPr="0060675F">
          <w:rPr>
            <w:rStyle w:val="Hypertextovodkaz"/>
          </w:rPr>
          <w:t>Příloha č. 1 Formuláře pro vykazování synergických vazeb podle tematických oblastí</w:t>
        </w:r>
        <w:r w:rsidR="00F93045">
          <w:rPr>
            <w:webHidden/>
          </w:rPr>
          <w:tab/>
        </w:r>
        <w:r w:rsidR="00F93045">
          <w:rPr>
            <w:webHidden/>
          </w:rPr>
          <w:fldChar w:fldCharType="begin"/>
        </w:r>
        <w:r w:rsidR="00F93045">
          <w:rPr>
            <w:webHidden/>
          </w:rPr>
          <w:instrText xml:space="preserve"> PAGEREF _Toc417024911 \h </w:instrText>
        </w:r>
        <w:r w:rsidR="00F93045">
          <w:rPr>
            <w:webHidden/>
          </w:rPr>
        </w:r>
        <w:r w:rsidR="00F93045">
          <w:rPr>
            <w:webHidden/>
          </w:rPr>
          <w:fldChar w:fldCharType="separate"/>
        </w:r>
        <w:r w:rsidR="00F93045">
          <w:rPr>
            <w:webHidden/>
          </w:rPr>
          <w:t>155</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912" w:history="1">
        <w:r w:rsidR="00F93045" w:rsidRPr="0060675F">
          <w:rPr>
            <w:rStyle w:val="Hypertextovodkaz"/>
          </w:rPr>
          <w:t>Příloha č. 2 Aktivity v oblasti publicity za rok 2014</w:t>
        </w:r>
        <w:r w:rsidR="00F93045">
          <w:rPr>
            <w:webHidden/>
          </w:rPr>
          <w:tab/>
        </w:r>
        <w:r w:rsidR="00F93045">
          <w:rPr>
            <w:webHidden/>
          </w:rPr>
          <w:fldChar w:fldCharType="begin"/>
        </w:r>
        <w:r w:rsidR="00F93045">
          <w:rPr>
            <w:webHidden/>
          </w:rPr>
          <w:instrText xml:space="preserve"> PAGEREF _Toc417024912 \h </w:instrText>
        </w:r>
        <w:r w:rsidR="00F93045">
          <w:rPr>
            <w:webHidden/>
          </w:rPr>
        </w:r>
        <w:r w:rsidR="00F93045">
          <w:rPr>
            <w:webHidden/>
          </w:rPr>
          <w:fldChar w:fldCharType="separate"/>
        </w:r>
        <w:r w:rsidR="00F93045">
          <w:rPr>
            <w:webHidden/>
          </w:rPr>
          <w:t>166</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913" w:history="1">
        <w:r w:rsidR="00F93045" w:rsidRPr="0060675F">
          <w:rPr>
            <w:rStyle w:val="Hypertextovodkaz"/>
          </w:rPr>
          <w:t>Příloha č. 3  - Akční plány evaluací</w:t>
        </w:r>
        <w:r w:rsidR="00F93045">
          <w:rPr>
            <w:webHidden/>
          </w:rPr>
          <w:tab/>
        </w:r>
        <w:r w:rsidR="00F93045">
          <w:rPr>
            <w:webHidden/>
          </w:rPr>
          <w:fldChar w:fldCharType="begin"/>
        </w:r>
        <w:r w:rsidR="00F93045">
          <w:rPr>
            <w:webHidden/>
          </w:rPr>
          <w:instrText xml:space="preserve"> PAGEREF _Toc417024913 \h </w:instrText>
        </w:r>
        <w:r w:rsidR="00F93045">
          <w:rPr>
            <w:webHidden/>
          </w:rPr>
        </w:r>
        <w:r w:rsidR="00F93045">
          <w:rPr>
            <w:webHidden/>
          </w:rPr>
          <w:fldChar w:fldCharType="separate"/>
        </w:r>
        <w:r w:rsidR="00F93045">
          <w:rPr>
            <w:webHidden/>
          </w:rPr>
          <w:t>175</w:t>
        </w:r>
        <w:r w:rsidR="00F93045">
          <w:rPr>
            <w:webHidden/>
          </w:rPr>
          <w:fldChar w:fldCharType="end"/>
        </w:r>
      </w:hyperlink>
    </w:p>
    <w:p w:rsidR="00F93045" w:rsidRDefault="0095318B">
      <w:pPr>
        <w:pStyle w:val="Obsah3"/>
        <w:rPr>
          <w:rFonts w:asciiTheme="minorHAnsi" w:eastAsiaTheme="minorEastAsia" w:hAnsiTheme="minorHAnsi" w:cstheme="minorBidi"/>
          <w:bCs w:val="0"/>
          <w:sz w:val="22"/>
          <w:szCs w:val="22"/>
        </w:rPr>
      </w:pPr>
      <w:hyperlink w:anchor="_Toc417024914" w:history="1">
        <w:r w:rsidR="00F93045" w:rsidRPr="0060675F">
          <w:rPr>
            <w:rStyle w:val="Hypertextovodkaz"/>
          </w:rPr>
          <w:t>Příloha č. 4 – Krizový akční plán</w:t>
        </w:r>
        <w:r w:rsidR="00F93045">
          <w:rPr>
            <w:webHidden/>
          </w:rPr>
          <w:tab/>
        </w:r>
        <w:r w:rsidR="00F93045">
          <w:rPr>
            <w:webHidden/>
          </w:rPr>
          <w:fldChar w:fldCharType="begin"/>
        </w:r>
        <w:r w:rsidR="00F93045">
          <w:rPr>
            <w:webHidden/>
          </w:rPr>
          <w:instrText xml:space="preserve"> PAGEREF _Toc417024914 \h </w:instrText>
        </w:r>
        <w:r w:rsidR="00F93045">
          <w:rPr>
            <w:webHidden/>
          </w:rPr>
        </w:r>
        <w:r w:rsidR="00F93045">
          <w:rPr>
            <w:webHidden/>
          </w:rPr>
          <w:fldChar w:fldCharType="separate"/>
        </w:r>
        <w:r w:rsidR="00F93045">
          <w:rPr>
            <w:webHidden/>
          </w:rPr>
          <w:t>180</w:t>
        </w:r>
        <w:r w:rsidR="00F93045">
          <w:rPr>
            <w:webHidden/>
          </w:rPr>
          <w:fldChar w:fldCharType="end"/>
        </w:r>
      </w:hyperlink>
    </w:p>
    <w:p w:rsidR="00D93CAA" w:rsidRDefault="00AF5ACB" w:rsidP="0077415D">
      <w:pPr>
        <w:spacing w:line="348" w:lineRule="auto"/>
        <w:rPr>
          <w:b/>
          <w:sz w:val="28"/>
          <w:szCs w:val="28"/>
        </w:rPr>
      </w:pPr>
      <w:r>
        <w:rPr>
          <w:b/>
          <w:sz w:val="28"/>
          <w:szCs w:val="28"/>
        </w:rPr>
        <w:fldChar w:fldCharType="end"/>
      </w:r>
      <w:r w:rsidR="00D2669A">
        <w:rPr>
          <w:b/>
          <w:sz w:val="28"/>
          <w:szCs w:val="28"/>
        </w:rPr>
        <w:t xml:space="preserve"> </w:t>
      </w: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C03C61" w:rsidRDefault="00C03C61" w:rsidP="0077415D">
      <w:pPr>
        <w:spacing w:line="348" w:lineRule="auto"/>
        <w:rPr>
          <w:b/>
          <w:sz w:val="28"/>
          <w:szCs w:val="28"/>
        </w:rPr>
      </w:pPr>
    </w:p>
    <w:p w:rsidR="00373B03" w:rsidRDefault="00373B03" w:rsidP="0077415D">
      <w:pPr>
        <w:spacing w:line="348" w:lineRule="auto"/>
        <w:rPr>
          <w:b/>
          <w:sz w:val="28"/>
          <w:szCs w:val="28"/>
        </w:rPr>
      </w:pPr>
    </w:p>
    <w:p w:rsidR="00373B03" w:rsidRDefault="00373B03" w:rsidP="0077415D">
      <w:pPr>
        <w:spacing w:line="348" w:lineRule="auto"/>
        <w:rPr>
          <w:b/>
          <w:sz w:val="28"/>
          <w:szCs w:val="28"/>
        </w:rPr>
      </w:pPr>
    </w:p>
    <w:p w:rsidR="00373B03" w:rsidRDefault="00373B03" w:rsidP="0077415D">
      <w:pPr>
        <w:spacing w:line="348" w:lineRule="auto"/>
        <w:rPr>
          <w:b/>
          <w:sz w:val="28"/>
          <w:szCs w:val="28"/>
        </w:rPr>
      </w:pPr>
    </w:p>
    <w:p w:rsidR="00373B03" w:rsidRDefault="00373B03" w:rsidP="0077415D">
      <w:pPr>
        <w:spacing w:line="348" w:lineRule="auto"/>
        <w:rPr>
          <w:b/>
          <w:sz w:val="28"/>
          <w:szCs w:val="28"/>
        </w:rPr>
      </w:pPr>
    </w:p>
    <w:p w:rsidR="00373B03" w:rsidRDefault="00373B03" w:rsidP="0077415D">
      <w:pPr>
        <w:spacing w:line="348" w:lineRule="auto"/>
        <w:rPr>
          <w:b/>
          <w:sz w:val="28"/>
          <w:szCs w:val="28"/>
        </w:rPr>
      </w:pPr>
    </w:p>
    <w:p w:rsidR="00C03C61" w:rsidRDefault="00C03C61" w:rsidP="0077415D">
      <w:pPr>
        <w:spacing w:line="348" w:lineRule="auto"/>
        <w:rPr>
          <w:b/>
          <w:sz w:val="28"/>
          <w:szCs w:val="28"/>
        </w:rPr>
      </w:pPr>
    </w:p>
    <w:p w:rsidR="00C03C61" w:rsidRPr="00C82E8A" w:rsidRDefault="00C03C61" w:rsidP="00C82E8A">
      <w:pPr>
        <w:spacing w:after="240"/>
        <w:rPr>
          <w:b/>
          <w:color w:val="76923C"/>
          <w:sz w:val="28"/>
          <w:szCs w:val="28"/>
        </w:rPr>
      </w:pPr>
      <w:r w:rsidRPr="00C82E8A">
        <w:rPr>
          <w:b/>
          <w:color w:val="76923C"/>
          <w:sz w:val="28"/>
          <w:szCs w:val="28"/>
        </w:rPr>
        <w:lastRenderedPageBreak/>
        <w:t>Seznam tabulek:</w:t>
      </w:r>
    </w:p>
    <w:p w:rsidR="00373B03" w:rsidRDefault="00C03C61" w:rsidP="00373B03">
      <w:pPr>
        <w:pStyle w:val="Obsah1"/>
        <w:tabs>
          <w:tab w:val="clear" w:pos="1540"/>
          <w:tab w:val="left" w:pos="1276"/>
        </w:tabs>
        <w:rPr>
          <w:rFonts w:asciiTheme="minorHAnsi" w:eastAsiaTheme="minorEastAsia" w:hAnsiTheme="minorHAnsi" w:cstheme="minorBidi"/>
          <w:noProof/>
          <w:sz w:val="22"/>
          <w:szCs w:val="22"/>
        </w:rPr>
      </w:pPr>
      <w:r>
        <w:rPr>
          <w:b/>
          <w:color w:val="1F497D"/>
          <w:sz w:val="28"/>
          <w:szCs w:val="28"/>
        </w:rPr>
        <w:fldChar w:fldCharType="begin"/>
      </w:r>
      <w:r>
        <w:rPr>
          <w:b/>
          <w:color w:val="1F497D"/>
          <w:sz w:val="28"/>
          <w:szCs w:val="28"/>
        </w:rPr>
        <w:instrText xml:space="preserve"> TOC \h \z \t "tabulka;1" </w:instrText>
      </w:r>
      <w:r>
        <w:rPr>
          <w:b/>
          <w:color w:val="1F497D"/>
          <w:sz w:val="28"/>
          <w:szCs w:val="28"/>
        </w:rPr>
        <w:fldChar w:fldCharType="separate"/>
      </w:r>
      <w:hyperlink w:anchor="_Toc416431789" w:history="1">
        <w:r w:rsidR="00373B03" w:rsidRPr="000B1C50">
          <w:rPr>
            <w:rStyle w:val="Hypertextovodkaz"/>
            <w:noProof/>
          </w:rPr>
          <w:t>Tabulka č. 1 -</w:t>
        </w:r>
        <w:r w:rsidR="00373B03">
          <w:rPr>
            <w:rFonts w:asciiTheme="minorHAnsi" w:eastAsiaTheme="minorEastAsia" w:hAnsiTheme="minorHAnsi" w:cstheme="minorBidi"/>
            <w:noProof/>
            <w:sz w:val="22"/>
            <w:szCs w:val="22"/>
          </w:rPr>
          <w:tab/>
        </w:r>
        <w:r w:rsidR="00373B03" w:rsidRPr="000B1C50">
          <w:rPr>
            <w:rStyle w:val="Hypertextovodkaz"/>
            <w:noProof/>
          </w:rPr>
          <w:t>Pokrok v čerpání IOP za období od 1.1.2014 do 31.12.2014</w:t>
        </w:r>
        <w:r w:rsidR="00373B03">
          <w:rPr>
            <w:noProof/>
            <w:webHidden/>
          </w:rPr>
          <w:tab/>
        </w:r>
        <w:r w:rsidR="00373B03">
          <w:rPr>
            <w:noProof/>
            <w:webHidden/>
          </w:rPr>
          <w:fldChar w:fldCharType="begin"/>
        </w:r>
        <w:r w:rsidR="00373B03">
          <w:rPr>
            <w:noProof/>
            <w:webHidden/>
          </w:rPr>
          <w:instrText xml:space="preserve"> PAGEREF _Toc416431789 \h </w:instrText>
        </w:r>
        <w:r w:rsidR="00373B03">
          <w:rPr>
            <w:noProof/>
            <w:webHidden/>
          </w:rPr>
        </w:r>
        <w:r w:rsidR="00373B03">
          <w:rPr>
            <w:noProof/>
            <w:webHidden/>
          </w:rPr>
          <w:fldChar w:fldCharType="separate"/>
        </w:r>
        <w:r w:rsidR="004A0637">
          <w:rPr>
            <w:noProof/>
            <w:webHidden/>
          </w:rPr>
          <w:t>8</w:t>
        </w:r>
        <w:r w:rsidR="00373B03">
          <w:rPr>
            <w:noProof/>
            <w:webHidden/>
          </w:rPr>
          <w:fldChar w:fldCharType="end"/>
        </w:r>
      </w:hyperlink>
    </w:p>
    <w:p w:rsidR="00373B03" w:rsidRDefault="0095318B" w:rsidP="00373B03">
      <w:pPr>
        <w:pStyle w:val="Obsah1"/>
        <w:tabs>
          <w:tab w:val="clear" w:pos="1540"/>
          <w:tab w:val="left" w:pos="1276"/>
        </w:tabs>
        <w:rPr>
          <w:rFonts w:asciiTheme="minorHAnsi" w:eastAsiaTheme="minorEastAsia" w:hAnsiTheme="minorHAnsi" w:cstheme="minorBidi"/>
          <w:noProof/>
          <w:sz w:val="22"/>
          <w:szCs w:val="22"/>
        </w:rPr>
      </w:pPr>
      <w:hyperlink w:anchor="_Toc416431790" w:history="1">
        <w:r w:rsidR="00373B03" w:rsidRPr="000B1C50">
          <w:rPr>
            <w:rStyle w:val="Hypertextovodkaz"/>
            <w:noProof/>
          </w:rPr>
          <w:t>Tabulka č. 2 -</w:t>
        </w:r>
        <w:r w:rsidR="00373B03">
          <w:rPr>
            <w:rFonts w:asciiTheme="minorHAnsi" w:eastAsiaTheme="minorEastAsia" w:hAnsiTheme="minorHAnsi" w:cstheme="minorBidi"/>
            <w:noProof/>
            <w:sz w:val="22"/>
            <w:szCs w:val="22"/>
          </w:rPr>
          <w:tab/>
        </w:r>
        <w:r w:rsidR="00373B03" w:rsidRPr="000B1C50">
          <w:rPr>
            <w:rStyle w:val="Hypertextovodkaz"/>
            <w:noProof/>
          </w:rPr>
          <w:t>Alokace podle let a Cílů (v EUR)</w:t>
        </w:r>
        <w:r w:rsidR="00373B03">
          <w:rPr>
            <w:noProof/>
            <w:webHidden/>
          </w:rPr>
          <w:tab/>
        </w:r>
        <w:r w:rsidR="00373B03">
          <w:rPr>
            <w:noProof/>
            <w:webHidden/>
          </w:rPr>
          <w:fldChar w:fldCharType="begin"/>
        </w:r>
        <w:r w:rsidR="00373B03">
          <w:rPr>
            <w:noProof/>
            <w:webHidden/>
          </w:rPr>
          <w:instrText xml:space="preserve"> PAGEREF _Toc416431790 \h </w:instrText>
        </w:r>
        <w:r w:rsidR="00373B03">
          <w:rPr>
            <w:noProof/>
            <w:webHidden/>
          </w:rPr>
        </w:r>
        <w:r w:rsidR="00373B03">
          <w:rPr>
            <w:noProof/>
            <w:webHidden/>
          </w:rPr>
          <w:fldChar w:fldCharType="separate"/>
        </w:r>
        <w:r w:rsidR="004A0637">
          <w:rPr>
            <w:noProof/>
            <w:webHidden/>
          </w:rPr>
          <w:t>11</w:t>
        </w:r>
        <w:r w:rsidR="00373B03">
          <w:rPr>
            <w:noProof/>
            <w:webHidden/>
          </w:rPr>
          <w:fldChar w:fldCharType="end"/>
        </w:r>
      </w:hyperlink>
    </w:p>
    <w:p w:rsidR="00373B03" w:rsidRDefault="0095318B" w:rsidP="00373B03">
      <w:pPr>
        <w:pStyle w:val="Obsah1"/>
        <w:tabs>
          <w:tab w:val="clear" w:pos="1540"/>
          <w:tab w:val="left" w:pos="1276"/>
        </w:tabs>
        <w:rPr>
          <w:rFonts w:asciiTheme="minorHAnsi" w:eastAsiaTheme="minorEastAsia" w:hAnsiTheme="minorHAnsi" w:cstheme="minorBidi"/>
          <w:noProof/>
          <w:sz w:val="22"/>
          <w:szCs w:val="22"/>
        </w:rPr>
      </w:pPr>
      <w:hyperlink w:anchor="_Toc416431791" w:history="1">
        <w:r w:rsidR="00373B03" w:rsidRPr="000B1C50">
          <w:rPr>
            <w:rStyle w:val="Hypertextovodkaz"/>
            <w:noProof/>
          </w:rPr>
          <w:t>Tabulka č. 3 -</w:t>
        </w:r>
        <w:r w:rsidR="00373B03">
          <w:rPr>
            <w:rFonts w:asciiTheme="minorHAnsi" w:eastAsiaTheme="minorEastAsia" w:hAnsiTheme="minorHAnsi" w:cstheme="minorBidi"/>
            <w:noProof/>
            <w:sz w:val="22"/>
            <w:szCs w:val="22"/>
          </w:rPr>
          <w:tab/>
        </w:r>
        <w:r w:rsidR="00373B03" w:rsidRPr="000B1C50">
          <w:rPr>
            <w:rStyle w:val="Hypertextovodkaz"/>
            <w:noProof/>
          </w:rPr>
          <w:t>Alokace podle prioritních os pro období 2007-2013 (v EUR)</w:t>
        </w:r>
        <w:r w:rsidR="00373B03">
          <w:rPr>
            <w:noProof/>
            <w:webHidden/>
          </w:rPr>
          <w:tab/>
        </w:r>
        <w:r w:rsidR="00373B03">
          <w:rPr>
            <w:noProof/>
            <w:webHidden/>
          </w:rPr>
          <w:fldChar w:fldCharType="begin"/>
        </w:r>
        <w:r w:rsidR="00373B03">
          <w:rPr>
            <w:noProof/>
            <w:webHidden/>
          </w:rPr>
          <w:instrText xml:space="preserve"> PAGEREF _Toc416431791 \h </w:instrText>
        </w:r>
        <w:r w:rsidR="00373B03">
          <w:rPr>
            <w:noProof/>
            <w:webHidden/>
          </w:rPr>
        </w:r>
        <w:r w:rsidR="00373B03">
          <w:rPr>
            <w:noProof/>
            <w:webHidden/>
          </w:rPr>
          <w:fldChar w:fldCharType="separate"/>
        </w:r>
        <w:r w:rsidR="004A0637">
          <w:rPr>
            <w:noProof/>
            <w:webHidden/>
          </w:rPr>
          <w:t>12</w:t>
        </w:r>
        <w:r w:rsidR="00373B03">
          <w:rPr>
            <w:noProof/>
            <w:webHidden/>
          </w:rPr>
          <w:fldChar w:fldCharType="end"/>
        </w:r>
      </w:hyperlink>
    </w:p>
    <w:p w:rsidR="00373B03" w:rsidRDefault="0095318B" w:rsidP="00373B03">
      <w:pPr>
        <w:pStyle w:val="Obsah1"/>
        <w:tabs>
          <w:tab w:val="clear" w:pos="1540"/>
          <w:tab w:val="left" w:pos="1276"/>
        </w:tabs>
        <w:rPr>
          <w:rFonts w:asciiTheme="minorHAnsi" w:eastAsiaTheme="minorEastAsia" w:hAnsiTheme="minorHAnsi" w:cstheme="minorBidi"/>
          <w:noProof/>
          <w:sz w:val="22"/>
          <w:szCs w:val="22"/>
        </w:rPr>
      </w:pPr>
      <w:hyperlink w:anchor="_Toc416431792" w:history="1">
        <w:r w:rsidR="00373B03" w:rsidRPr="000B1C50">
          <w:rPr>
            <w:rStyle w:val="Hypertextovodkaz"/>
            <w:noProof/>
          </w:rPr>
          <w:t>Tabulka č. 4 -</w:t>
        </w:r>
        <w:r w:rsidR="00373B03">
          <w:rPr>
            <w:rFonts w:asciiTheme="minorHAnsi" w:eastAsiaTheme="minorEastAsia" w:hAnsiTheme="minorHAnsi" w:cstheme="minorBidi"/>
            <w:noProof/>
            <w:sz w:val="22"/>
            <w:szCs w:val="22"/>
          </w:rPr>
          <w:tab/>
        </w:r>
        <w:r w:rsidR="00373B03" w:rsidRPr="000B1C50">
          <w:rPr>
            <w:rStyle w:val="Hypertextovodkaz"/>
            <w:noProof/>
          </w:rPr>
          <w:t>Zprostředkující subjekty IOP podle oblastí intervence</w:t>
        </w:r>
        <w:r w:rsidR="00373B03">
          <w:rPr>
            <w:noProof/>
            <w:webHidden/>
          </w:rPr>
          <w:tab/>
        </w:r>
        <w:r w:rsidR="00373B03">
          <w:rPr>
            <w:noProof/>
            <w:webHidden/>
          </w:rPr>
          <w:fldChar w:fldCharType="begin"/>
        </w:r>
        <w:r w:rsidR="00373B03">
          <w:rPr>
            <w:noProof/>
            <w:webHidden/>
          </w:rPr>
          <w:instrText xml:space="preserve"> PAGEREF _Toc416431792 \h </w:instrText>
        </w:r>
        <w:r w:rsidR="00373B03">
          <w:rPr>
            <w:noProof/>
            <w:webHidden/>
          </w:rPr>
        </w:r>
        <w:r w:rsidR="00373B03">
          <w:rPr>
            <w:noProof/>
            <w:webHidden/>
          </w:rPr>
          <w:fldChar w:fldCharType="separate"/>
        </w:r>
        <w:r w:rsidR="004A0637">
          <w:rPr>
            <w:noProof/>
            <w:webHidden/>
          </w:rPr>
          <w:t>14</w:t>
        </w:r>
        <w:r w:rsidR="00373B03">
          <w:rPr>
            <w:noProof/>
            <w:webHidden/>
          </w:rPr>
          <w:fldChar w:fldCharType="end"/>
        </w:r>
      </w:hyperlink>
    </w:p>
    <w:p w:rsidR="00373B03" w:rsidRDefault="0095318B" w:rsidP="00373B03">
      <w:pPr>
        <w:pStyle w:val="Obsah1"/>
        <w:tabs>
          <w:tab w:val="clear" w:pos="1540"/>
          <w:tab w:val="left" w:pos="1276"/>
        </w:tabs>
        <w:rPr>
          <w:rFonts w:asciiTheme="minorHAnsi" w:eastAsiaTheme="minorEastAsia" w:hAnsiTheme="minorHAnsi" w:cstheme="minorBidi"/>
          <w:noProof/>
          <w:sz w:val="22"/>
          <w:szCs w:val="22"/>
        </w:rPr>
      </w:pPr>
      <w:hyperlink w:anchor="_Toc416431793" w:history="1">
        <w:r w:rsidR="00373B03" w:rsidRPr="000B1C50">
          <w:rPr>
            <w:rStyle w:val="Hypertextovodkaz"/>
            <w:noProof/>
          </w:rPr>
          <w:t>Tabulka č. 5 -</w:t>
        </w:r>
        <w:r w:rsidR="00373B03">
          <w:rPr>
            <w:rFonts w:asciiTheme="minorHAnsi" w:eastAsiaTheme="minorEastAsia" w:hAnsiTheme="minorHAnsi" w:cstheme="minorBidi"/>
            <w:noProof/>
            <w:sz w:val="22"/>
            <w:szCs w:val="22"/>
          </w:rPr>
          <w:tab/>
        </w:r>
        <w:r w:rsidR="00373B03" w:rsidRPr="000B1C50">
          <w:rPr>
            <w:rStyle w:val="Hypertextovodkaz"/>
            <w:noProof/>
          </w:rPr>
          <w:t>Vazba IOP na NPR</w:t>
        </w:r>
        <w:r w:rsidR="00373B03">
          <w:rPr>
            <w:noProof/>
            <w:webHidden/>
          </w:rPr>
          <w:tab/>
        </w:r>
        <w:r w:rsidR="00373B03">
          <w:rPr>
            <w:noProof/>
            <w:webHidden/>
          </w:rPr>
          <w:fldChar w:fldCharType="begin"/>
        </w:r>
        <w:r w:rsidR="00373B03">
          <w:rPr>
            <w:noProof/>
            <w:webHidden/>
          </w:rPr>
          <w:instrText xml:space="preserve"> PAGEREF _Toc416431793 \h </w:instrText>
        </w:r>
        <w:r w:rsidR="00373B03">
          <w:rPr>
            <w:noProof/>
            <w:webHidden/>
          </w:rPr>
        </w:r>
        <w:r w:rsidR="00373B03">
          <w:rPr>
            <w:noProof/>
            <w:webHidden/>
          </w:rPr>
          <w:fldChar w:fldCharType="separate"/>
        </w:r>
        <w:r w:rsidR="004A0637">
          <w:rPr>
            <w:noProof/>
            <w:webHidden/>
          </w:rPr>
          <w:t>15</w:t>
        </w:r>
        <w:r w:rsidR="00373B03">
          <w:rPr>
            <w:noProof/>
            <w:webHidden/>
          </w:rPr>
          <w:fldChar w:fldCharType="end"/>
        </w:r>
      </w:hyperlink>
    </w:p>
    <w:p w:rsidR="00373B03" w:rsidRDefault="0095318B" w:rsidP="00373B03">
      <w:pPr>
        <w:pStyle w:val="Obsah1"/>
        <w:tabs>
          <w:tab w:val="clear" w:pos="1540"/>
          <w:tab w:val="left" w:pos="1276"/>
        </w:tabs>
        <w:rPr>
          <w:rFonts w:asciiTheme="minorHAnsi" w:eastAsiaTheme="minorEastAsia" w:hAnsiTheme="minorHAnsi" w:cstheme="minorBidi"/>
          <w:noProof/>
          <w:sz w:val="22"/>
          <w:szCs w:val="22"/>
        </w:rPr>
      </w:pPr>
      <w:hyperlink w:anchor="_Toc416431794" w:history="1">
        <w:r w:rsidR="00373B03" w:rsidRPr="000B1C50">
          <w:rPr>
            <w:rStyle w:val="Hypertextovodkaz"/>
            <w:noProof/>
          </w:rPr>
          <w:t>Tabulka č. 6 -</w:t>
        </w:r>
        <w:r w:rsidR="00373B03">
          <w:rPr>
            <w:rFonts w:asciiTheme="minorHAnsi" w:eastAsiaTheme="minorEastAsia" w:hAnsiTheme="minorHAnsi" w:cstheme="minorBidi"/>
            <w:noProof/>
            <w:sz w:val="22"/>
            <w:szCs w:val="22"/>
          </w:rPr>
          <w:tab/>
        </w:r>
        <w:r w:rsidR="00373B03" w:rsidRPr="000B1C50">
          <w:rPr>
            <w:rStyle w:val="Hypertextovodkaz"/>
            <w:noProof/>
          </w:rPr>
          <w:t>Vazba IOP na SOZS</w:t>
        </w:r>
        <w:r w:rsidR="00373B03">
          <w:rPr>
            <w:noProof/>
            <w:webHidden/>
          </w:rPr>
          <w:tab/>
        </w:r>
        <w:r w:rsidR="00373B03">
          <w:rPr>
            <w:noProof/>
            <w:webHidden/>
          </w:rPr>
          <w:fldChar w:fldCharType="begin"/>
        </w:r>
        <w:r w:rsidR="00373B03">
          <w:rPr>
            <w:noProof/>
            <w:webHidden/>
          </w:rPr>
          <w:instrText xml:space="preserve"> PAGEREF _Toc416431794 \h </w:instrText>
        </w:r>
        <w:r w:rsidR="00373B03">
          <w:rPr>
            <w:noProof/>
            <w:webHidden/>
          </w:rPr>
        </w:r>
        <w:r w:rsidR="00373B03">
          <w:rPr>
            <w:noProof/>
            <w:webHidden/>
          </w:rPr>
          <w:fldChar w:fldCharType="separate"/>
        </w:r>
        <w:r w:rsidR="004A0637">
          <w:rPr>
            <w:noProof/>
            <w:webHidden/>
          </w:rPr>
          <w:t>15</w:t>
        </w:r>
        <w:r w:rsidR="00373B03">
          <w:rPr>
            <w:noProof/>
            <w:webHidden/>
          </w:rPr>
          <w:fldChar w:fldCharType="end"/>
        </w:r>
      </w:hyperlink>
    </w:p>
    <w:p w:rsidR="00373B03" w:rsidRDefault="0095318B" w:rsidP="00373B03">
      <w:pPr>
        <w:pStyle w:val="Obsah1"/>
        <w:tabs>
          <w:tab w:val="clear" w:pos="1540"/>
          <w:tab w:val="left" w:pos="1276"/>
        </w:tabs>
        <w:rPr>
          <w:rFonts w:asciiTheme="minorHAnsi" w:eastAsiaTheme="minorEastAsia" w:hAnsiTheme="minorHAnsi" w:cstheme="minorBidi"/>
          <w:noProof/>
          <w:sz w:val="22"/>
          <w:szCs w:val="22"/>
        </w:rPr>
      </w:pPr>
      <w:hyperlink w:anchor="_Toc416431795" w:history="1">
        <w:r w:rsidR="00373B03" w:rsidRPr="000B1C50">
          <w:rPr>
            <w:rStyle w:val="Hypertextovodkaz"/>
            <w:noProof/>
          </w:rPr>
          <w:t>Tabulka č. 7 -</w:t>
        </w:r>
        <w:r w:rsidR="00373B03">
          <w:rPr>
            <w:rFonts w:asciiTheme="minorHAnsi" w:eastAsiaTheme="minorEastAsia" w:hAnsiTheme="minorHAnsi" w:cstheme="minorBidi"/>
            <w:noProof/>
            <w:sz w:val="22"/>
            <w:szCs w:val="22"/>
          </w:rPr>
          <w:tab/>
        </w:r>
        <w:r w:rsidR="00373B03" w:rsidRPr="000B1C50">
          <w:rPr>
            <w:rStyle w:val="Hypertextovodkaz"/>
            <w:noProof/>
          </w:rPr>
          <w:t>Vazba IOP na NSRR</w:t>
        </w:r>
        <w:r w:rsidR="00373B03">
          <w:rPr>
            <w:noProof/>
            <w:webHidden/>
          </w:rPr>
          <w:tab/>
        </w:r>
        <w:r w:rsidR="00373B03">
          <w:rPr>
            <w:noProof/>
            <w:webHidden/>
          </w:rPr>
          <w:fldChar w:fldCharType="begin"/>
        </w:r>
        <w:r w:rsidR="00373B03">
          <w:rPr>
            <w:noProof/>
            <w:webHidden/>
          </w:rPr>
          <w:instrText xml:space="preserve"> PAGEREF _Toc416431795 \h </w:instrText>
        </w:r>
        <w:r w:rsidR="00373B03">
          <w:rPr>
            <w:noProof/>
            <w:webHidden/>
          </w:rPr>
        </w:r>
        <w:r w:rsidR="00373B03">
          <w:rPr>
            <w:noProof/>
            <w:webHidden/>
          </w:rPr>
          <w:fldChar w:fldCharType="separate"/>
        </w:r>
        <w:r w:rsidR="004A0637">
          <w:rPr>
            <w:noProof/>
            <w:webHidden/>
          </w:rPr>
          <w:t>16</w:t>
        </w:r>
        <w:r w:rsidR="00373B03">
          <w:rPr>
            <w:noProof/>
            <w:webHidden/>
          </w:rPr>
          <w:fldChar w:fldCharType="end"/>
        </w:r>
      </w:hyperlink>
    </w:p>
    <w:p w:rsidR="00373B03" w:rsidRDefault="0095318B" w:rsidP="00373B03">
      <w:pPr>
        <w:pStyle w:val="Obsah1"/>
        <w:tabs>
          <w:tab w:val="clear" w:pos="1540"/>
          <w:tab w:val="left" w:pos="1276"/>
        </w:tabs>
        <w:rPr>
          <w:rFonts w:asciiTheme="minorHAnsi" w:eastAsiaTheme="minorEastAsia" w:hAnsiTheme="minorHAnsi" w:cstheme="minorBidi"/>
          <w:noProof/>
          <w:sz w:val="22"/>
          <w:szCs w:val="22"/>
        </w:rPr>
      </w:pPr>
      <w:hyperlink w:anchor="_Toc416431796" w:history="1">
        <w:r w:rsidR="00373B03" w:rsidRPr="000B1C50">
          <w:rPr>
            <w:rStyle w:val="Hypertextovodkaz"/>
            <w:noProof/>
          </w:rPr>
          <w:t>Tabulka č. 8 -</w:t>
        </w:r>
        <w:r w:rsidR="00373B03">
          <w:rPr>
            <w:rFonts w:asciiTheme="minorHAnsi" w:eastAsiaTheme="minorEastAsia" w:hAnsiTheme="minorHAnsi" w:cstheme="minorBidi"/>
            <w:noProof/>
            <w:sz w:val="22"/>
            <w:szCs w:val="22"/>
          </w:rPr>
          <w:tab/>
        </w:r>
        <w:r w:rsidR="00373B03" w:rsidRPr="000B1C50">
          <w:rPr>
            <w:rStyle w:val="Hypertextovodkaz"/>
            <w:noProof/>
          </w:rPr>
          <w:t xml:space="preserve">Kontextové indikátory k 31.12.2014 </w:t>
        </w:r>
        <w:r w:rsidR="00373B03" w:rsidRPr="000B1C50">
          <w:rPr>
            <w:rStyle w:val="Hypertextovodkaz"/>
            <w:noProof/>
            <w:vertAlign w:val="superscript"/>
          </w:rPr>
          <w:t>,</w:t>
        </w:r>
        <w:r w:rsidR="00373B03">
          <w:rPr>
            <w:noProof/>
            <w:webHidden/>
          </w:rPr>
          <w:tab/>
        </w:r>
        <w:r w:rsidR="00373B03">
          <w:rPr>
            <w:noProof/>
            <w:webHidden/>
          </w:rPr>
          <w:fldChar w:fldCharType="begin"/>
        </w:r>
        <w:r w:rsidR="00373B03">
          <w:rPr>
            <w:noProof/>
            <w:webHidden/>
          </w:rPr>
          <w:instrText xml:space="preserve"> PAGEREF _Toc416431796 \h </w:instrText>
        </w:r>
        <w:r w:rsidR="00373B03">
          <w:rPr>
            <w:noProof/>
            <w:webHidden/>
          </w:rPr>
        </w:r>
        <w:r w:rsidR="00373B03">
          <w:rPr>
            <w:noProof/>
            <w:webHidden/>
          </w:rPr>
          <w:fldChar w:fldCharType="separate"/>
        </w:r>
        <w:r w:rsidR="004A0637">
          <w:rPr>
            <w:noProof/>
            <w:webHidden/>
          </w:rPr>
          <w:t>21</w:t>
        </w:r>
        <w:r w:rsidR="00373B03">
          <w:rPr>
            <w:noProof/>
            <w:webHidden/>
          </w:rPr>
          <w:fldChar w:fldCharType="end"/>
        </w:r>
      </w:hyperlink>
    </w:p>
    <w:p w:rsidR="00373B03" w:rsidRDefault="0095318B" w:rsidP="00373B03">
      <w:pPr>
        <w:pStyle w:val="Obsah1"/>
        <w:tabs>
          <w:tab w:val="clear" w:pos="1540"/>
          <w:tab w:val="left" w:pos="1276"/>
        </w:tabs>
        <w:rPr>
          <w:rFonts w:asciiTheme="minorHAnsi" w:eastAsiaTheme="minorEastAsia" w:hAnsiTheme="minorHAnsi" w:cstheme="minorBidi"/>
          <w:noProof/>
          <w:sz w:val="22"/>
          <w:szCs w:val="22"/>
        </w:rPr>
      </w:pPr>
      <w:hyperlink w:anchor="_Toc416431797" w:history="1">
        <w:r w:rsidR="00373B03" w:rsidRPr="000B1C50">
          <w:rPr>
            <w:rStyle w:val="Hypertextovodkaz"/>
            <w:noProof/>
          </w:rPr>
          <w:t>Tabulka č. 9 -</w:t>
        </w:r>
        <w:r w:rsidR="00373B03">
          <w:rPr>
            <w:rFonts w:asciiTheme="minorHAnsi" w:eastAsiaTheme="minorEastAsia" w:hAnsiTheme="minorHAnsi" w:cstheme="minorBidi"/>
            <w:noProof/>
            <w:sz w:val="22"/>
            <w:szCs w:val="22"/>
          </w:rPr>
          <w:tab/>
        </w:r>
        <w:r w:rsidR="00373B03" w:rsidRPr="000B1C50">
          <w:rPr>
            <w:rStyle w:val="Hypertextovodkaz"/>
            <w:noProof/>
          </w:rPr>
          <w:t>Indikátory dopadu k 31.12.2014</w:t>
        </w:r>
        <w:r w:rsidR="00373B03">
          <w:rPr>
            <w:noProof/>
            <w:webHidden/>
          </w:rPr>
          <w:tab/>
        </w:r>
        <w:r w:rsidR="00373B03">
          <w:rPr>
            <w:noProof/>
            <w:webHidden/>
          </w:rPr>
          <w:fldChar w:fldCharType="begin"/>
        </w:r>
        <w:r w:rsidR="00373B03">
          <w:rPr>
            <w:noProof/>
            <w:webHidden/>
          </w:rPr>
          <w:instrText xml:space="preserve"> PAGEREF _Toc416431797 \h </w:instrText>
        </w:r>
        <w:r w:rsidR="00373B03">
          <w:rPr>
            <w:noProof/>
            <w:webHidden/>
          </w:rPr>
        </w:r>
        <w:r w:rsidR="00373B03">
          <w:rPr>
            <w:noProof/>
            <w:webHidden/>
          </w:rPr>
          <w:fldChar w:fldCharType="separate"/>
        </w:r>
        <w:r w:rsidR="004A0637">
          <w:rPr>
            <w:noProof/>
            <w:webHidden/>
          </w:rPr>
          <w:t>22</w:t>
        </w:r>
        <w:r w:rsidR="00373B03">
          <w:rPr>
            <w:noProof/>
            <w:webHidden/>
          </w:rPr>
          <w:fldChar w:fldCharType="end"/>
        </w:r>
      </w:hyperlink>
    </w:p>
    <w:p w:rsidR="00373B03" w:rsidRDefault="0095318B" w:rsidP="00373B03">
      <w:pPr>
        <w:pStyle w:val="Obsah1"/>
        <w:tabs>
          <w:tab w:val="clear" w:pos="1540"/>
          <w:tab w:val="left" w:pos="1276"/>
        </w:tabs>
        <w:rPr>
          <w:rFonts w:asciiTheme="minorHAnsi" w:eastAsiaTheme="minorEastAsia" w:hAnsiTheme="minorHAnsi" w:cstheme="minorBidi"/>
          <w:noProof/>
          <w:sz w:val="22"/>
          <w:szCs w:val="22"/>
        </w:rPr>
      </w:pPr>
      <w:hyperlink w:anchor="_Toc416431798" w:history="1">
        <w:r w:rsidR="00373B03" w:rsidRPr="000B1C50">
          <w:rPr>
            <w:rStyle w:val="Hypertextovodkaz"/>
            <w:noProof/>
          </w:rPr>
          <w:t>Tabulka č. 10 -</w:t>
        </w:r>
        <w:r w:rsidR="00373B03">
          <w:rPr>
            <w:rFonts w:asciiTheme="minorHAnsi" w:eastAsiaTheme="minorEastAsia" w:hAnsiTheme="minorHAnsi" w:cstheme="minorBidi"/>
            <w:noProof/>
            <w:sz w:val="22"/>
            <w:szCs w:val="22"/>
          </w:rPr>
          <w:tab/>
        </w:r>
        <w:r w:rsidR="00373B03" w:rsidRPr="000B1C50">
          <w:rPr>
            <w:rStyle w:val="Hypertextovodkaz"/>
            <w:noProof/>
          </w:rPr>
          <w:t>Finanční údaje (v EUR)</w:t>
        </w:r>
        <w:r w:rsidR="00373B03">
          <w:rPr>
            <w:noProof/>
            <w:webHidden/>
          </w:rPr>
          <w:tab/>
        </w:r>
        <w:r w:rsidR="00373B03">
          <w:rPr>
            <w:noProof/>
            <w:webHidden/>
          </w:rPr>
          <w:fldChar w:fldCharType="begin"/>
        </w:r>
        <w:r w:rsidR="00373B03">
          <w:rPr>
            <w:noProof/>
            <w:webHidden/>
          </w:rPr>
          <w:instrText xml:space="preserve"> PAGEREF _Toc416431798 \h </w:instrText>
        </w:r>
        <w:r w:rsidR="00373B03">
          <w:rPr>
            <w:noProof/>
            <w:webHidden/>
          </w:rPr>
        </w:r>
        <w:r w:rsidR="00373B03">
          <w:rPr>
            <w:noProof/>
            <w:webHidden/>
          </w:rPr>
          <w:fldChar w:fldCharType="separate"/>
        </w:r>
        <w:r w:rsidR="004A0637">
          <w:rPr>
            <w:noProof/>
            <w:webHidden/>
          </w:rPr>
          <w:t>23</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799" w:history="1">
        <w:r w:rsidR="00373B03" w:rsidRPr="000B1C50">
          <w:rPr>
            <w:rStyle w:val="Hypertextovodkaz"/>
            <w:noProof/>
          </w:rPr>
          <w:t>Tabulka č. 11 -</w:t>
        </w:r>
        <w:r w:rsidR="00373B03">
          <w:rPr>
            <w:rFonts w:asciiTheme="minorHAnsi" w:eastAsiaTheme="minorEastAsia" w:hAnsiTheme="minorHAnsi" w:cstheme="minorBidi"/>
            <w:noProof/>
            <w:sz w:val="22"/>
            <w:szCs w:val="22"/>
          </w:rPr>
          <w:tab/>
        </w:r>
        <w:r w:rsidR="00373B03" w:rsidRPr="000B1C50">
          <w:rPr>
            <w:rStyle w:val="Hypertextovodkaz"/>
            <w:noProof/>
          </w:rPr>
          <w:t>Finanční plán IOP</w:t>
        </w:r>
        <w:r w:rsidR="00373B03">
          <w:rPr>
            <w:noProof/>
            <w:webHidden/>
          </w:rPr>
          <w:tab/>
        </w:r>
        <w:r w:rsidR="00373B03">
          <w:rPr>
            <w:noProof/>
            <w:webHidden/>
          </w:rPr>
          <w:fldChar w:fldCharType="begin"/>
        </w:r>
        <w:r w:rsidR="00373B03">
          <w:rPr>
            <w:noProof/>
            <w:webHidden/>
          </w:rPr>
          <w:instrText xml:space="preserve"> PAGEREF _Toc416431799 \h </w:instrText>
        </w:r>
        <w:r w:rsidR="00373B03">
          <w:rPr>
            <w:noProof/>
            <w:webHidden/>
          </w:rPr>
        </w:r>
        <w:r w:rsidR="00373B03">
          <w:rPr>
            <w:noProof/>
            <w:webHidden/>
          </w:rPr>
          <w:fldChar w:fldCharType="separate"/>
        </w:r>
        <w:r w:rsidR="004A0637">
          <w:rPr>
            <w:noProof/>
            <w:webHidden/>
          </w:rPr>
          <w:t>24</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00" w:history="1">
        <w:r w:rsidR="00373B03" w:rsidRPr="000B1C50">
          <w:rPr>
            <w:rStyle w:val="Hypertextovodkaz"/>
            <w:noProof/>
          </w:rPr>
          <w:t>Tabulka č. 12 -</w:t>
        </w:r>
        <w:r w:rsidR="00373B03">
          <w:rPr>
            <w:rFonts w:asciiTheme="minorHAnsi" w:eastAsiaTheme="minorEastAsia" w:hAnsiTheme="minorHAnsi" w:cstheme="minorBidi"/>
            <w:noProof/>
            <w:sz w:val="22"/>
            <w:szCs w:val="22"/>
          </w:rPr>
          <w:tab/>
        </w:r>
        <w:r w:rsidR="00373B03" w:rsidRPr="000B1C50">
          <w:rPr>
            <w:rStyle w:val="Hypertextovodkaz"/>
            <w:noProof/>
          </w:rPr>
          <w:t>Přehled obdržených zálohových a průběžných plateb (v EUR)</w:t>
        </w:r>
        <w:r w:rsidR="00373B03">
          <w:rPr>
            <w:noProof/>
            <w:webHidden/>
          </w:rPr>
          <w:tab/>
        </w:r>
        <w:r w:rsidR="00373B03">
          <w:rPr>
            <w:noProof/>
            <w:webHidden/>
          </w:rPr>
          <w:fldChar w:fldCharType="begin"/>
        </w:r>
        <w:r w:rsidR="00373B03">
          <w:rPr>
            <w:noProof/>
            <w:webHidden/>
          </w:rPr>
          <w:instrText xml:space="preserve"> PAGEREF _Toc416431800 \h </w:instrText>
        </w:r>
        <w:r w:rsidR="00373B03">
          <w:rPr>
            <w:noProof/>
            <w:webHidden/>
          </w:rPr>
        </w:r>
        <w:r w:rsidR="00373B03">
          <w:rPr>
            <w:noProof/>
            <w:webHidden/>
          </w:rPr>
          <w:fldChar w:fldCharType="separate"/>
        </w:r>
        <w:r w:rsidR="004A0637">
          <w:rPr>
            <w:noProof/>
            <w:webHidden/>
          </w:rPr>
          <w:t>26</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01" w:history="1">
        <w:r w:rsidR="00373B03" w:rsidRPr="000B1C50">
          <w:rPr>
            <w:rStyle w:val="Hypertextovodkaz"/>
            <w:noProof/>
          </w:rPr>
          <w:t>Tabulka č. 13 -</w:t>
        </w:r>
        <w:r w:rsidR="00373B03">
          <w:rPr>
            <w:rFonts w:asciiTheme="minorHAnsi" w:eastAsiaTheme="minorEastAsia" w:hAnsiTheme="minorHAnsi" w:cstheme="minorBidi"/>
            <w:noProof/>
            <w:sz w:val="22"/>
            <w:szCs w:val="22"/>
          </w:rPr>
          <w:tab/>
        </w:r>
        <w:r w:rsidR="00373B03" w:rsidRPr="000B1C50">
          <w:rPr>
            <w:rStyle w:val="Hypertextovodkaz"/>
            <w:noProof/>
          </w:rPr>
          <w:t>Přehled naplňování pravidla n+3/n+2 pro cíl KONV (v EUR)</w:t>
        </w:r>
        <w:r w:rsidR="00373B03">
          <w:rPr>
            <w:noProof/>
            <w:webHidden/>
          </w:rPr>
          <w:tab/>
        </w:r>
        <w:r w:rsidR="00373B03">
          <w:rPr>
            <w:noProof/>
            <w:webHidden/>
          </w:rPr>
          <w:fldChar w:fldCharType="begin"/>
        </w:r>
        <w:r w:rsidR="00373B03">
          <w:rPr>
            <w:noProof/>
            <w:webHidden/>
          </w:rPr>
          <w:instrText xml:space="preserve"> PAGEREF _Toc416431801 \h </w:instrText>
        </w:r>
        <w:r w:rsidR="00373B03">
          <w:rPr>
            <w:noProof/>
            <w:webHidden/>
          </w:rPr>
        </w:r>
        <w:r w:rsidR="00373B03">
          <w:rPr>
            <w:noProof/>
            <w:webHidden/>
          </w:rPr>
          <w:fldChar w:fldCharType="separate"/>
        </w:r>
        <w:r w:rsidR="004A0637">
          <w:rPr>
            <w:noProof/>
            <w:webHidden/>
          </w:rPr>
          <w:t>27</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02" w:history="1">
        <w:r w:rsidR="00373B03" w:rsidRPr="000B1C50">
          <w:rPr>
            <w:rStyle w:val="Hypertextovodkaz"/>
            <w:noProof/>
          </w:rPr>
          <w:t>Tabulka č. 14 -</w:t>
        </w:r>
        <w:r w:rsidR="00373B03">
          <w:rPr>
            <w:rFonts w:asciiTheme="minorHAnsi" w:eastAsiaTheme="minorEastAsia" w:hAnsiTheme="minorHAnsi" w:cstheme="minorBidi"/>
            <w:noProof/>
            <w:sz w:val="22"/>
            <w:szCs w:val="22"/>
          </w:rPr>
          <w:tab/>
        </w:r>
        <w:r w:rsidR="00373B03" w:rsidRPr="000B1C50">
          <w:rPr>
            <w:rStyle w:val="Hypertextovodkaz"/>
            <w:noProof/>
          </w:rPr>
          <w:t>Přehled naplňování pravidla n+3/n+2 pro cíl RKaZ (v EUR)</w:t>
        </w:r>
        <w:r w:rsidR="00373B03">
          <w:rPr>
            <w:noProof/>
            <w:webHidden/>
          </w:rPr>
          <w:tab/>
        </w:r>
        <w:r w:rsidR="00373B03">
          <w:rPr>
            <w:noProof/>
            <w:webHidden/>
          </w:rPr>
          <w:fldChar w:fldCharType="begin"/>
        </w:r>
        <w:r w:rsidR="00373B03">
          <w:rPr>
            <w:noProof/>
            <w:webHidden/>
          </w:rPr>
          <w:instrText xml:space="preserve"> PAGEREF _Toc416431802 \h </w:instrText>
        </w:r>
        <w:r w:rsidR="00373B03">
          <w:rPr>
            <w:noProof/>
            <w:webHidden/>
          </w:rPr>
        </w:r>
        <w:r w:rsidR="00373B03">
          <w:rPr>
            <w:noProof/>
            <w:webHidden/>
          </w:rPr>
          <w:fldChar w:fldCharType="separate"/>
        </w:r>
        <w:r w:rsidR="004A0637">
          <w:rPr>
            <w:noProof/>
            <w:webHidden/>
          </w:rPr>
          <w:t>28</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03" w:history="1">
        <w:r w:rsidR="00373B03" w:rsidRPr="000B1C50">
          <w:rPr>
            <w:rStyle w:val="Hypertextovodkaz"/>
            <w:noProof/>
          </w:rPr>
          <w:t>Tabulka č. 15 -</w:t>
        </w:r>
        <w:r w:rsidR="00373B03">
          <w:rPr>
            <w:rFonts w:asciiTheme="minorHAnsi" w:eastAsiaTheme="minorEastAsia" w:hAnsiTheme="minorHAnsi" w:cstheme="minorBidi"/>
            <w:noProof/>
            <w:sz w:val="22"/>
            <w:szCs w:val="22"/>
          </w:rPr>
          <w:tab/>
        </w:r>
        <w:r w:rsidR="00373B03" w:rsidRPr="000B1C50">
          <w:rPr>
            <w:rStyle w:val="Hypertextovodkaz"/>
            <w:noProof/>
          </w:rPr>
          <w:t>Přehled využívání křížového financování</w:t>
        </w:r>
        <w:r w:rsidR="00373B03">
          <w:rPr>
            <w:noProof/>
            <w:webHidden/>
          </w:rPr>
          <w:tab/>
        </w:r>
        <w:r w:rsidR="00373B03">
          <w:rPr>
            <w:noProof/>
            <w:webHidden/>
          </w:rPr>
          <w:fldChar w:fldCharType="begin"/>
        </w:r>
        <w:r w:rsidR="00373B03">
          <w:rPr>
            <w:noProof/>
            <w:webHidden/>
          </w:rPr>
          <w:instrText xml:space="preserve"> PAGEREF _Toc416431803 \h </w:instrText>
        </w:r>
        <w:r w:rsidR="00373B03">
          <w:rPr>
            <w:noProof/>
            <w:webHidden/>
          </w:rPr>
        </w:r>
        <w:r w:rsidR="00373B03">
          <w:rPr>
            <w:noProof/>
            <w:webHidden/>
          </w:rPr>
          <w:fldChar w:fldCharType="separate"/>
        </w:r>
        <w:r w:rsidR="004A0637">
          <w:rPr>
            <w:noProof/>
            <w:webHidden/>
          </w:rPr>
          <w:t>31</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04" w:history="1">
        <w:r w:rsidR="00373B03" w:rsidRPr="000B1C50">
          <w:rPr>
            <w:rStyle w:val="Hypertextovodkaz"/>
            <w:noProof/>
          </w:rPr>
          <w:t>Tabulka č. 16 -</w:t>
        </w:r>
        <w:r w:rsidR="00373B03">
          <w:rPr>
            <w:rFonts w:asciiTheme="minorHAnsi" w:eastAsiaTheme="minorEastAsia" w:hAnsiTheme="minorHAnsi" w:cstheme="minorBidi"/>
            <w:noProof/>
            <w:sz w:val="22"/>
            <w:szCs w:val="22"/>
          </w:rPr>
          <w:tab/>
        </w:r>
        <w:r w:rsidR="00373B03" w:rsidRPr="000B1C50">
          <w:rPr>
            <w:rStyle w:val="Hypertextovodkaz"/>
            <w:noProof/>
          </w:rPr>
          <w:t>Nesrovnalosti zaevidované v r. 2014 v rozdělení dle OI</w:t>
        </w:r>
        <w:r w:rsidR="00373B03">
          <w:rPr>
            <w:noProof/>
            <w:webHidden/>
          </w:rPr>
          <w:tab/>
        </w:r>
        <w:r w:rsidR="00373B03">
          <w:rPr>
            <w:noProof/>
            <w:webHidden/>
          </w:rPr>
          <w:fldChar w:fldCharType="begin"/>
        </w:r>
        <w:r w:rsidR="00373B03">
          <w:rPr>
            <w:noProof/>
            <w:webHidden/>
          </w:rPr>
          <w:instrText xml:space="preserve"> PAGEREF _Toc416431804 \h </w:instrText>
        </w:r>
        <w:r w:rsidR="00373B03">
          <w:rPr>
            <w:noProof/>
            <w:webHidden/>
          </w:rPr>
        </w:r>
        <w:r w:rsidR="00373B03">
          <w:rPr>
            <w:noProof/>
            <w:webHidden/>
          </w:rPr>
          <w:fldChar w:fldCharType="separate"/>
        </w:r>
        <w:r w:rsidR="004A0637">
          <w:rPr>
            <w:noProof/>
            <w:webHidden/>
          </w:rPr>
          <w:t>34</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05" w:history="1">
        <w:r w:rsidR="00373B03" w:rsidRPr="000B1C50">
          <w:rPr>
            <w:rStyle w:val="Hypertextovodkaz"/>
            <w:noProof/>
          </w:rPr>
          <w:t>Tabulka č. 17 -</w:t>
        </w:r>
        <w:r w:rsidR="00373B03">
          <w:rPr>
            <w:rFonts w:asciiTheme="minorHAnsi" w:eastAsiaTheme="minorEastAsia" w:hAnsiTheme="minorHAnsi" w:cstheme="minorBidi"/>
            <w:noProof/>
            <w:sz w:val="22"/>
            <w:szCs w:val="22"/>
          </w:rPr>
          <w:tab/>
        </w:r>
        <w:r w:rsidR="00373B03" w:rsidRPr="000B1C50">
          <w:rPr>
            <w:rStyle w:val="Hypertextovodkaz"/>
            <w:noProof/>
          </w:rPr>
          <w:t>Finanční stav IOP v roce 2014 (EU)</w:t>
        </w:r>
        <w:r w:rsidR="00373B03">
          <w:rPr>
            <w:noProof/>
            <w:webHidden/>
          </w:rPr>
          <w:tab/>
        </w:r>
        <w:r w:rsidR="00373B03">
          <w:rPr>
            <w:noProof/>
            <w:webHidden/>
          </w:rPr>
          <w:fldChar w:fldCharType="begin"/>
        </w:r>
        <w:r w:rsidR="00373B03">
          <w:rPr>
            <w:noProof/>
            <w:webHidden/>
          </w:rPr>
          <w:instrText xml:space="preserve"> PAGEREF _Toc416431805 \h </w:instrText>
        </w:r>
        <w:r w:rsidR="00373B03">
          <w:rPr>
            <w:noProof/>
            <w:webHidden/>
          </w:rPr>
        </w:r>
        <w:r w:rsidR="00373B03">
          <w:rPr>
            <w:noProof/>
            <w:webHidden/>
          </w:rPr>
          <w:fldChar w:fldCharType="separate"/>
        </w:r>
        <w:r w:rsidR="004A0637">
          <w:rPr>
            <w:noProof/>
            <w:webHidden/>
          </w:rPr>
          <w:t>35</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06" w:history="1">
        <w:r w:rsidR="00373B03" w:rsidRPr="000B1C50">
          <w:rPr>
            <w:rStyle w:val="Hypertextovodkaz"/>
            <w:noProof/>
          </w:rPr>
          <w:t>Tabulka č. 18 -</w:t>
        </w:r>
        <w:r w:rsidR="00373B03">
          <w:rPr>
            <w:rFonts w:asciiTheme="minorHAnsi" w:eastAsiaTheme="minorEastAsia" w:hAnsiTheme="minorHAnsi" w:cstheme="minorBidi"/>
            <w:noProof/>
            <w:sz w:val="22"/>
            <w:szCs w:val="22"/>
          </w:rPr>
          <w:tab/>
        </w:r>
        <w:r w:rsidR="00373B03" w:rsidRPr="000B1C50">
          <w:rPr>
            <w:rStyle w:val="Hypertextovodkaz"/>
            <w:noProof/>
          </w:rPr>
          <w:t>Finanční stav IOP v roce 2014 (podíl CZV)</w:t>
        </w:r>
        <w:r w:rsidR="00373B03">
          <w:rPr>
            <w:noProof/>
            <w:webHidden/>
          </w:rPr>
          <w:tab/>
        </w:r>
        <w:r w:rsidR="00373B03">
          <w:rPr>
            <w:noProof/>
            <w:webHidden/>
          </w:rPr>
          <w:fldChar w:fldCharType="begin"/>
        </w:r>
        <w:r w:rsidR="00373B03">
          <w:rPr>
            <w:noProof/>
            <w:webHidden/>
          </w:rPr>
          <w:instrText xml:space="preserve"> PAGEREF _Toc416431806 \h </w:instrText>
        </w:r>
        <w:r w:rsidR="00373B03">
          <w:rPr>
            <w:noProof/>
            <w:webHidden/>
          </w:rPr>
        </w:r>
        <w:r w:rsidR="00373B03">
          <w:rPr>
            <w:noProof/>
            <w:webHidden/>
          </w:rPr>
          <w:fldChar w:fldCharType="separate"/>
        </w:r>
        <w:r w:rsidR="004A0637">
          <w:rPr>
            <w:noProof/>
            <w:webHidden/>
          </w:rPr>
          <w:t>36</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07" w:history="1">
        <w:r w:rsidR="00373B03" w:rsidRPr="000B1C50">
          <w:rPr>
            <w:rStyle w:val="Hypertextovodkaz"/>
            <w:noProof/>
          </w:rPr>
          <w:t>Tabulka č. 19 -</w:t>
        </w:r>
        <w:r w:rsidR="00373B03">
          <w:rPr>
            <w:rFonts w:asciiTheme="minorHAnsi" w:eastAsiaTheme="minorEastAsia" w:hAnsiTheme="minorHAnsi" w:cstheme="minorBidi"/>
            <w:noProof/>
            <w:sz w:val="22"/>
            <w:szCs w:val="22"/>
          </w:rPr>
          <w:tab/>
        </w:r>
        <w:r w:rsidR="00373B03" w:rsidRPr="000B1C50">
          <w:rPr>
            <w:rStyle w:val="Hypertextovodkaz"/>
            <w:noProof/>
          </w:rPr>
          <w:t>Přehled objemu vydaných rozhodnutí (EU podíl)</w:t>
        </w:r>
        <w:r w:rsidR="00373B03">
          <w:rPr>
            <w:noProof/>
            <w:webHidden/>
          </w:rPr>
          <w:tab/>
        </w:r>
        <w:r w:rsidR="00373B03">
          <w:rPr>
            <w:noProof/>
            <w:webHidden/>
          </w:rPr>
          <w:fldChar w:fldCharType="begin"/>
        </w:r>
        <w:r w:rsidR="00373B03">
          <w:rPr>
            <w:noProof/>
            <w:webHidden/>
          </w:rPr>
          <w:instrText xml:space="preserve"> PAGEREF _Toc416431807 \h </w:instrText>
        </w:r>
        <w:r w:rsidR="00373B03">
          <w:rPr>
            <w:noProof/>
            <w:webHidden/>
          </w:rPr>
        </w:r>
        <w:r w:rsidR="00373B03">
          <w:rPr>
            <w:noProof/>
            <w:webHidden/>
          </w:rPr>
          <w:fldChar w:fldCharType="separate"/>
        </w:r>
        <w:r w:rsidR="004A0637">
          <w:rPr>
            <w:noProof/>
            <w:webHidden/>
          </w:rPr>
          <w:t>37</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08" w:history="1">
        <w:r w:rsidR="00373B03" w:rsidRPr="000B1C50">
          <w:rPr>
            <w:rStyle w:val="Hypertextovodkaz"/>
            <w:noProof/>
          </w:rPr>
          <w:t>Tabulka č. 20 -</w:t>
        </w:r>
        <w:r w:rsidR="00373B03">
          <w:rPr>
            <w:rFonts w:asciiTheme="minorHAnsi" w:eastAsiaTheme="minorEastAsia" w:hAnsiTheme="minorHAnsi" w:cstheme="minorBidi"/>
            <w:noProof/>
            <w:sz w:val="22"/>
            <w:szCs w:val="22"/>
          </w:rPr>
          <w:tab/>
        </w:r>
        <w:r w:rsidR="00373B03" w:rsidRPr="000B1C50">
          <w:rPr>
            <w:rStyle w:val="Hypertextovodkaz"/>
            <w:noProof/>
          </w:rPr>
          <w:t>Rovné příležitosti v IOP</w:t>
        </w:r>
        <w:r w:rsidR="00373B03">
          <w:rPr>
            <w:noProof/>
            <w:webHidden/>
          </w:rPr>
          <w:tab/>
        </w:r>
        <w:r w:rsidR="00373B03">
          <w:rPr>
            <w:noProof/>
            <w:webHidden/>
          </w:rPr>
          <w:fldChar w:fldCharType="begin"/>
        </w:r>
        <w:r w:rsidR="00373B03">
          <w:rPr>
            <w:noProof/>
            <w:webHidden/>
          </w:rPr>
          <w:instrText xml:space="preserve"> PAGEREF _Toc416431808 \h </w:instrText>
        </w:r>
        <w:r w:rsidR="00373B03">
          <w:rPr>
            <w:noProof/>
            <w:webHidden/>
          </w:rPr>
        </w:r>
        <w:r w:rsidR="00373B03">
          <w:rPr>
            <w:noProof/>
            <w:webHidden/>
          </w:rPr>
          <w:fldChar w:fldCharType="separate"/>
        </w:r>
        <w:r w:rsidR="004A0637">
          <w:rPr>
            <w:noProof/>
            <w:webHidden/>
          </w:rPr>
          <w:t>42</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09" w:history="1">
        <w:r w:rsidR="00373B03" w:rsidRPr="000B1C50">
          <w:rPr>
            <w:rStyle w:val="Hypertextovodkaz"/>
            <w:noProof/>
          </w:rPr>
          <w:t>Tabulka č. 21 -</w:t>
        </w:r>
        <w:r w:rsidR="00373B03">
          <w:rPr>
            <w:rFonts w:asciiTheme="minorHAnsi" w:eastAsiaTheme="minorEastAsia" w:hAnsiTheme="minorHAnsi" w:cstheme="minorBidi"/>
            <w:noProof/>
            <w:sz w:val="22"/>
            <w:szCs w:val="22"/>
          </w:rPr>
          <w:tab/>
        </w:r>
        <w:r w:rsidR="00373B03" w:rsidRPr="000B1C50">
          <w:rPr>
            <w:rStyle w:val="Hypertextovodkaz"/>
            <w:noProof/>
          </w:rPr>
          <w:t>Udržitelný rozvoj v IOP*</w:t>
        </w:r>
        <w:r w:rsidR="00373B03">
          <w:rPr>
            <w:noProof/>
            <w:webHidden/>
          </w:rPr>
          <w:tab/>
        </w:r>
        <w:r w:rsidR="00373B03">
          <w:rPr>
            <w:noProof/>
            <w:webHidden/>
          </w:rPr>
          <w:fldChar w:fldCharType="begin"/>
        </w:r>
        <w:r w:rsidR="00373B03">
          <w:rPr>
            <w:noProof/>
            <w:webHidden/>
          </w:rPr>
          <w:instrText xml:space="preserve"> PAGEREF _Toc416431809 \h </w:instrText>
        </w:r>
        <w:r w:rsidR="00373B03">
          <w:rPr>
            <w:noProof/>
            <w:webHidden/>
          </w:rPr>
        </w:r>
        <w:r w:rsidR="00373B03">
          <w:rPr>
            <w:noProof/>
            <w:webHidden/>
          </w:rPr>
          <w:fldChar w:fldCharType="separate"/>
        </w:r>
        <w:r w:rsidR="004A0637">
          <w:rPr>
            <w:noProof/>
            <w:webHidden/>
          </w:rPr>
          <w:t>42</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10" w:history="1">
        <w:r w:rsidR="00373B03" w:rsidRPr="000B1C50">
          <w:rPr>
            <w:rStyle w:val="Hypertextovodkaz"/>
            <w:noProof/>
          </w:rPr>
          <w:t>Tabulka č. 22 -</w:t>
        </w:r>
        <w:r w:rsidR="00373B03">
          <w:rPr>
            <w:rFonts w:asciiTheme="minorHAnsi" w:eastAsiaTheme="minorEastAsia" w:hAnsiTheme="minorHAnsi" w:cstheme="minorBidi"/>
            <w:noProof/>
            <w:sz w:val="22"/>
            <w:szCs w:val="22"/>
          </w:rPr>
          <w:tab/>
        </w:r>
        <w:r w:rsidR="00373B03" w:rsidRPr="000B1C50">
          <w:rPr>
            <w:rStyle w:val="Hypertextovodkaz"/>
            <w:noProof/>
          </w:rPr>
          <w:t>Podíl priorit Lisabonské strategie na prioritách IOP</w:t>
        </w:r>
        <w:r w:rsidR="00373B03">
          <w:rPr>
            <w:noProof/>
            <w:webHidden/>
          </w:rPr>
          <w:tab/>
        </w:r>
        <w:r w:rsidR="00373B03">
          <w:rPr>
            <w:noProof/>
            <w:webHidden/>
          </w:rPr>
          <w:fldChar w:fldCharType="begin"/>
        </w:r>
        <w:r w:rsidR="00373B03">
          <w:rPr>
            <w:noProof/>
            <w:webHidden/>
          </w:rPr>
          <w:instrText xml:space="preserve"> PAGEREF _Toc416431810 \h </w:instrText>
        </w:r>
        <w:r w:rsidR="00373B03">
          <w:rPr>
            <w:noProof/>
            <w:webHidden/>
          </w:rPr>
        </w:r>
        <w:r w:rsidR="00373B03">
          <w:rPr>
            <w:noProof/>
            <w:webHidden/>
          </w:rPr>
          <w:fldChar w:fldCharType="separate"/>
        </w:r>
        <w:r w:rsidR="004A0637">
          <w:rPr>
            <w:noProof/>
            <w:webHidden/>
          </w:rPr>
          <w:t>43</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11" w:history="1">
        <w:r w:rsidR="00373B03" w:rsidRPr="000B1C50">
          <w:rPr>
            <w:rStyle w:val="Hypertextovodkaz"/>
            <w:noProof/>
          </w:rPr>
          <w:t>Tabulka č. 23 -</w:t>
        </w:r>
        <w:r w:rsidR="00373B03">
          <w:rPr>
            <w:rFonts w:asciiTheme="minorHAnsi" w:eastAsiaTheme="minorEastAsia" w:hAnsiTheme="minorHAnsi" w:cstheme="minorBidi"/>
            <w:noProof/>
            <w:sz w:val="22"/>
            <w:szCs w:val="22"/>
          </w:rPr>
          <w:tab/>
        </w:r>
        <w:r w:rsidR="00373B03" w:rsidRPr="000B1C50">
          <w:rPr>
            <w:rStyle w:val="Hypertextovodkaz"/>
            <w:noProof/>
          </w:rPr>
          <w:t>Vazba oblastí intervence IOP na tematické cíle strategie Evropa 2020</w:t>
        </w:r>
        <w:r w:rsidR="00373B03">
          <w:rPr>
            <w:noProof/>
            <w:webHidden/>
          </w:rPr>
          <w:tab/>
        </w:r>
        <w:r w:rsidR="00373B03">
          <w:rPr>
            <w:noProof/>
            <w:webHidden/>
          </w:rPr>
          <w:fldChar w:fldCharType="begin"/>
        </w:r>
        <w:r w:rsidR="00373B03">
          <w:rPr>
            <w:noProof/>
            <w:webHidden/>
          </w:rPr>
          <w:instrText xml:space="preserve"> PAGEREF _Toc416431811 \h </w:instrText>
        </w:r>
        <w:r w:rsidR="00373B03">
          <w:rPr>
            <w:noProof/>
            <w:webHidden/>
          </w:rPr>
        </w:r>
        <w:r w:rsidR="00373B03">
          <w:rPr>
            <w:noProof/>
            <w:webHidden/>
          </w:rPr>
          <w:fldChar w:fldCharType="separate"/>
        </w:r>
        <w:r w:rsidR="004A0637">
          <w:rPr>
            <w:noProof/>
            <w:webHidden/>
          </w:rPr>
          <w:t>45</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12" w:history="1">
        <w:r w:rsidR="00373B03" w:rsidRPr="000B1C50">
          <w:rPr>
            <w:rStyle w:val="Hypertextovodkaz"/>
            <w:noProof/>
          </w:rPr>
          <w:t>Tabulka č. 24 -</w:t>
        </w:r>
        <w:r w:rsidR="00373B03">
          <w:rPr>
            <w:rFonts w:asciiTheme="minorHAnsi" w:eastAsiaTheme="minorEastAsia" w:hAnsiTheme="minorHAnsi" w:cstheme="minorBidi"/>
            <w:noProof/>
            <w:sz w:val="22"/>
            <w:szCs w:val="22"/>
          </w:rPr>
          <w:tab/>
        </w:r>
        <w:r w:rsidR="00373B03" w:rsidRPr="000B1C50">
          <w:rPr>
            <w:rStyle w:val="Hypertextovodkaz"/>
            <w:noProof/>
          </w:rPr>
          <w:t>Přehled výzev v IOP, umožňujících předložit projekt generující příjmy</w:t>
        </w:r>
        <w:r w:rsidR="00373B03">
          <w:rPr>
            <w:noProof/>
            <w:webHidden/>
          </w:rPr>
          <w:tab/>
        </w:r>
        <w:r w:rsidR="00373B03">
          <w:rPr>
            <w:noProof/>
            <w:webHidden/>
          </w:rPr>
          <w:fldChar w:fldCharType="begin"/>
        </w:r>
        <w:r w:rsidR="00373B03">
          <w:rPr>
            <w:noProof/>
            <w:webHidden/>
          </w:rPr>
          <w:instrText xml:space="preserve"> PAGEREF _Toc416431812 \h </w:instrText>
        </w:r>
        <w:r w:rsidR="00373B03">
          <w:rPr>
            <w:noProof/>
            <w:webHidden/>
          </w:rPr>
        </w:r>
        <w:r w:rsidR="00373B03">
          <w:rPr>
            <w:noProof/>
            <w:webHidden/>
          </w:rPr>
          <w:fldChar w:fldCharType="separate"/>
        </w:r>
        <w:r w:rsidR="004A0637">
          <w:rPr>
            <w:noProof/>
            <w:webHidden/>
          </w:rPr>
          <w:t>50</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13" w:history="1">
        <w:r w:rsidR="00373B03" w:rsidRPr="000B1C50">
          <w:rPr>
            <w:rStyle w:val="Hypertextovodkaz"/>
            <w:noProof/>
          </w:rPr>
          <w:t>Tabulka č. 25 -</w:t>
        </w:r>
        <w:r w:rsidR="00373B03">
          <w:rPr>
            <w:rFonts w:asciiTheme="minorHAnsi" w:eastAsiaTheme="minorEastAsia" w:hAnsiTheme="minorHAnsi" w:cstheme="minorBidi"/>
            <w:noProof/>
            <w:sz w:val="22"/>
            <w:szCs w:val="22"/>
          </w:rPr>
          <w:tab/>
        </w:r>
        <w:r w:rsidR="00373B03" w:rsidRPr="000B1C50">
          <w:rPr>
            <w:rStyle w:val="Hypertextovodkaz"/>
            <w:noProof/>
          </w:rPr>
          <w:t>Zajištění administrativní kapacity podle ZS</w:t>
        </w:r>
        <w:r w:rsidR="00373B03">
          <w:rPr>
            <w:noProof/>
            <w:webHidden/>
          </w:rPr>
          <w:tab/>
        </w:r>
        <w:r w:rsidR="00373B03">
          <w:rPr>
            <w:noProof/>
            <w:webHidden/>
          </w:rPr>
          <w:fldChar w:fldCharType="begin"/>
        </w:r>
        <w:r w:rsidR="00373B03">
          <w:rPr>
            <w:noProof/>
            <w:webHidden/>
          </w:rPr>
          <w:instrText xml:space="preserve"> PAGEREF _Toc416431813 \h </w:instrText>
        </w:r>
        <w:r w:rsidR="00373B03">
          <w:rPr>
            <w:noProof/>
            <w:webHidden/>
          </w:rPr>
        </w:r>
        <w:r w:rsidR="00373B03">
          <w:rPr>
            <w:noProof/>
            <w:webHidden/>
          </w:rPr>
          <w:fldChar w:fldCharType="separate"/>
        </w:r>
        <w:r w:rsidR="004A0637">
          <w:rPr>
            <w:noProof/>
            <w:webHidden/>
          </w:rPr>
          <w:t>62</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14" w:history="1">
        <w:r w:rsidR="00373B03" w:rsidRPr="000B1C50">
          <w:rPr>
            <w:rStyle w:val="Hypertextovodkaz"/>
            <w:noProof/>
          </w:rPr>
          <w:t>Tabulka č. 26 -</w:t>
        </w:r>
        <w:r w:rsidR="00373B03">
          <w:rPr>
            <w:rFonts w:asciiTheme="minorHAnsi" w:eastAsiaTheme="minorEastAsia" w:hAnsiTheme="minorHAnsi" w:cstheme="minorBidi"/>
            <w:noProof/>
            <w:sz w:val="22"/>
            <w:szCs w:val="22"/>
          </w:rPr>
          <w:tab/>
        </w:r>
        <w:r w:rsidR="00373B03" w:rsidRPr="000B1C50">
          <w:rPr>
            <w:rStyle w:val="Hypertextovodkaz"/>
            <w:noProof/>
          </w:rPr>
          <w:t>Přehled spících a vysoce rizikových projektů</w:t>
        </w:r>
        <w:r w:rsidR="00373B03">
          <w:rPr>
            <w:noProof/>
            <w:webHidden/>
          </w:rPr>
          <w:tab/>
        </w:r>
        <w:r w:rsidR="00373B03">
          <w:rPr>
            <w:noProof/>
            <w:webHidden/>
          </w:rPr>
          <w:fldChar w:fldCharType="begin"/>
        </w:r>
        <w:r w:rsidR="00373B03">
          <w:rPr>
            <w:noProof/>
            <w:webHidden/>
          </w:rPr>
          <w:instrText xml:space="preserve"> PAGEREF _Toc416431814 \h </w:instrText>
        </w:r>
        <w:r w:rsidR="00373B03">
          <w:rPr>
            <w:noProof/>
            <w:webHidden/>
          </w:rPr>
        </w:r>
        <w:r w:rsidR="00373B03">
          <w:rPr>
            <w:noProof/>
            <w:webHidden/>
          </w:rPr>
          <w:fldChar w:fldCharType="separate"/>
        </w:r>
        <w:r w:rsidR="004A0637">
          <w:rPr>
            <w:noProof/>
            <w:webHidden/>
          </w:rPr>
          <w:t>64</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15" w:history="1">
        <w:r w:rsidR="00373B03" w:rsidRPr="000B1C50">
          <w:rPr>
            <w:rStyle w:val="Hypertextovodkaz"/>
            <w:noProof/>
          </w:rPr>
          <w:t>Tabulka č. 27 -</w:t>
        </w:r>
        <w:r w:rsidR="00373B03">
          <w:rPr>
            <w:rFonts w:asciiTheme="minorHAnsi" w:eastAsiaTheme="minorEastAsia" w:hAnsiTheme="minorHAnsi" w:cstheme="minorBidi"/>
            <w:noProof/>
            <w:sz w:val="22"/>
            <w:szCs w:val="22"/>
          </w:rPr>
          <w:tab/>
        </w:r>
        <w:r w:rsidR="00373B03" w:rsidRPr="000B1C50">
          <w:rPr>
            <w:rStyle w:val="Hypertextovodkaz"/>
            <w:noProof/>
          </w:rPr>
          <w:t>Přehled počtu opatření podle jednotlivých subjektů implementace IOP</w:t>
        </w:r>
        <w:r w:rsidR="00373B03">
          <w:rPr>
            <w:noProof/>
            <w:webHidden/>
          </w:rPr>
          <w:tab/>
        </w:r>
        <w:r w:rsidR="00373B03">
          <w:rPr>
            <w:noProof/>
            <w:webHidden/>
          </w:rPr>
          <w:fldChar w:fldCharType="begin"/>
        </w:r>
        <w:r w:rsidR="00373B03">
          <w:rPr>
            <w:noProof/>
            <w:webHidden/>
          </w:rPr>
          <w:instrText xml:space="preserve"> PAGEREF _Toc416431815 \h </w:instrText>
        </w:r>
        <w:r w:rsidR="00373B03">
          <w:rPr>
            <w:noProof/>
            <w:webHidden/>
          </w:rPr>
        </w:r>
        <w:r w:rsidR="00373B03">
          <w:rPr>
            <w:noProof/>
            <w:webHidden/>
          </w:rPr>
          <w:fldChar w:fldCharType="separate"/>
        </w:r>
        <w:r w:rsidR="004A0637">
          <w:rPr>
            <w:noProof/>
            <w:webHidden/>
          </w:rPr>
          <w:t>65</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16" w:history="1">
        <w:r w:rsidR="00373B03" w:rsidRPr="000B1C50">
          <w:rPr>
            <w:rStyle w:val="Hypertextovodkaz"/>
            <w:noProof/>
          </w:rPr>
          <w:t>Tabulka č. 28 -</w:t>
        </w:r>
        <w:r w:rsidR="00373B03">
          <w:rPr>
            <w:rFonts w:asciiTheme="minorHAnsi" w:eastAsiaTheme="minorEastAsia" w:hAnsiTheme="minorHAnsi" w:cstheme="minorBidi"/>
            <w:noProof/>
            <w:sz w:val="22"/>
            <w:szCs w:val="22"/>
          </w:rPr>
          <w:tab/>
        </w:r>
        <w:r w:rsidR="00373B03" w:rsidRPr="000B1C50">
          <w:rPr>
            <w:rStyle w:val="Hypertextovodkaz"/>
            <w:noProof/>
          </w:rPr>
          <w:t>Vývoj kurzu CZK/EUR v letech 2007-2014</w:t>
        </w:r>
        <w:r w:rsidR="00373B03">
          <w:rPr>
            <w:noProof/>
            <w:webHidden/>
          </w:rPr>
          <w:tab/>
        </w:r>
        <w:r w:rsidR="00373B03">
          <w:rPr>
            <w:noProof/>
            <w:webHidden/>
          </w:rPr>
          <w:fldChar w:fldCharType="begin"/>
        </w:r>
        <w:r w:rsidR="00373B03">
          <w:rPr>
            <w:noProof/>
            <w:webHidden/>
          </w:rPr>
          <w:instrText xml:space="preserve"> PAGEREF _Toc416431816 \h </w:instrText>
        </w:r>
        <w:r w:rsidR="00373B03">
          <w:rPr>
            <w:noProof/>
            <w:webHidden/>
          </w:rPr>
        </w:r>
        <w:r w:rsidR="00373B03">
          <w:rPr>
            <w:noProof/>
            <w:webHidden/>
          </w:rPr>
          <w:fldChar w:fldCharType="separate"/>
        </w:r>
        <w:r w:rsidR="004A0637">
          <w:rPr>
            <w:noProof/>
            <w:webHidden/>
          </w:rPr>
          <w:t>66</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17" w:history="1">
        <w:r w:rsidR="00373B03" w:rsidRPr="000B1C50">
          <w:rPr>
            <w:rStyle w:val="Hypertextovodkaz"/>
            <w:noProof/>
          </w:rPr>
          <w:t>Tabulka č. 29 -</w:t>
        </w:r>
        <w:r w:rsidR="00373B03">
          <w:rPr>
            <w:rFonts w:asciiTheme="minorHAnsi" w:eastAsiaTheme="minorEastAsia" w:hAnsiTheme="minorHAnsi" w:cstheme="minorBidi"/>
            <w:noProof/>
            <w:sz w:val="22"/>
            <w:szCs w:val="22"/>
          </w:rPr>
          <w:tab/>
        </w:r>
        <w:r w:rsidR="00373B03" w:rsidRPr="000B1C50">
          <w:rPr>
            <w:rStyle w:val="Hypertextovodkaz"/>
            <w:noProof/>
          </w:rPr>
          <w:t>Data z uzavřených Dohod o zabezpečené realizace IPRM</w:t>
        </w:r>
        <w:r w:rsidR="00373B03">
          <w:rPr>
            <w:noProof/>
            <w:webHidden/>
          </w:rPr>
          <w:tab/>
        </w:r>
        <w:r w:rsidR="00373B03">
          <w:rPr>
            <w:noProof/>
            <w:webHidden/>
          </w:rPr>
          <w:fldChar w:fldCharType="begin"/>
        </w:r>
        <w:r w:rsidR="00373B03">
          <w:rPr>
            <w:noProof/>
            <w:webHidden/>
          </w:rPr>
          <w:instrText xml:space="preserve"> PAGEREF _Toc416431817 \h </w:instrText>
        </w:r>
        <w:r w:rsidR="00373B03">
          <w:rPr>
            <w:noProof/>
            <w:webHidden/>
          </w:rPr>
        </w:r>
        <w:r w:rsidR="00373B03">
          <w:rPr>
            <w:noProof/>
            <w:webHidden/>
          </w:rPr>
          <w:fldChar w:fldCharType="separate"/>
        </w:r>
        <w:r w:rsidR="004A0637">
          <w:rPr>
            <w:noProof/>
            <w:webHidden/>
          </w:rPr>
          <w:t>72</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18" w:history="1">
        <w:r w:rsidR="00373B03" w:rsidRPr="000B1C50">
          <w:rPr>
            <w:rStyle w:val="Hypertextovodkaz"/>
            <w:noProof/>
          </w:rPr>
          <w:t>Tabulka č. 30 -</w:t>
        </w:r>
        <w:r w:rsidR="00373B03">
          <w:rPr>
            <w:rFonts w:asciiTheme="minorHAnsi" w:eastAsiaTheme="minorEastAsia" w:hAnsiTheme="minorHAnsi" w:cstheme="minorBidi"/>
            <w:noProof/>
            <w:sz w:val="22"/>
            <w:szCs w:val="22"/>
          </w:rPr>
          <w:tab/>
        </w:r>
        <w:r w:rsidR="00373B03" w:rsidRPr="000B1C50">
          <w:rPr>
            <w:rStyle w:val="Hypertextovodkaz"/>
            <w:noProof/>
          </w:rPr>
          <w:t>Informace o aktuálním stavu realizace IPRM v roce 2014</w:t>
        </w:r>
        <w:r w:rsidR="00373B03">
          <w:rPr>
            <w:noProof/>
            <w:webHidden/>
          </w:rPr>
          <w:tab/>
        </w:r>
        <w:r w:rsidR="00373B03">
          <w:rPr>
            <w:noProof/>
            <w:webHidden/>
          </w:rPr>
          <w:fldChar w:fldCharType="begin"/>
        </w:r>
        <w:r w:rsidR="00373B03">
          <w:rPr>
            <w:noProof/>
            <w:webHidden/>
          </w:rPr>
          <w:instrText xml:space="preserve"> PAGEREF _Toc416431818 \h </w:instrText>
        </w:r>
        <w:r w:rsidR="00373B03">
          <w:rPr>
            <w:noProof/>
            <w:webHidden/>
          </w:rPr>
        </w:r>
        <w:r w:rsidR="00373B03">
          <w:rPr>
            <w:noProof/>
            <w:webHidden/>
          </w:rPr>
          <w:fldChar w:fldCharType="separate"/>
        </w:r>
        <w:r w:rsidR="004A0637">
          <w:rPr>
            <w:noProof/>
            <w:webHidden/>
          </w:rPr>
          <w:t>73</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19" w:history="1">
        <w:r w:rsidR="00373B03" w:rsidRPr="000B1C50">
          <w:rPr>
            <w:rStyle w:val="Hypertextovodkaz"/>
            <w:noProof/>
          </w:rPr>
          <w:t>Tabulka č. 31 -</w:t>
        </w:r>
        <w:r w:rsidR="00373B03">
          <w:rPr>
            <w:rFonts w:asciiTheme="minorHAnsi" w:eastAsiaTheme="minorEastAsia" w:hAnsiTheme="minorHAnsi" w:cstheme="minorBidi"/>
            <w:noProof/>
            <w:sz w:val="22"/>
            <w:szCs w:val="22"/>
          </w:rPr>
          <w:tab/>
        </w:r>
        <w:r w:rsidR="00373B03" w:rsidRPr="000B1C50">
          <w:rPr>
            <w:rStyle w:val="Hypertextovodkaz"/>
            <w:noProof/>
          </w:rPr>
          <w:t>Přehled vyhlášených a probíhajících výzev v PO 1a a 1b v roce 2014</w:t>
        </w:r>
        <w:r w:rsidR="00373B03">
          <w:rPr>
            <w:noProof/>
            <w:webHidden/>
          </w:rPr>
          <w:tab/>
        </w:r>
        <w:r w:rsidR="00373B03">
          <w:rPr>
            <w:noProof/>
            <w:webHidden/>
          </w:rPr>
          <w:fldChar w:fldCharType="begin"/>
        </w:r>
        <w:r w:rsidR="00373B03">
          <w:rPr>
            <w:noProof/>
            <w:webHidden/>
          </w:rPr>
          <w:instrText xml:space="preserve"> PAGEREF _Toc416431819 \h </w:instrText>
        </w:r>
        <w:r w:rsidR="00373B03">
          <w:rPr>
            <w:noProof/>
            <w:webHidden/>
          </w:rPr>
        </w:r>
        <w:r w:rsidR="00373B03">
          <w:rPr>
            <w:noProof/>
            <w:webHidden/>
          </w:rPr>
          <w:fldChar w:fldCharType="separate"/>
        </w:r>
        <w:r w:rsidR="004A0637">
          <w:rPr>
            <w:noProof/>
            <w:webHidden/>
          </w:rPr>
          <w:t>81</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20" w:history="1">
        <w:r w:rsidR="00373B03" w:rsidRPr="000B1C50">
          <w:rPr>
            <w:rStyle w:val="Hypertextovodkaz"/>
            <w:noProof/>
          </w:rPr>
          <w:t>Tabulka č. 32 -</w:t>
        </w:r>
        <w:r w:rsidR="00373B03">
          <w:rPr>
            <w:rFonts w:asciiTheme="minorHAnsi" w:eastAsiaTheme="minorEastAsia" w:hAnsiTheme="minorHAnsi" w:cstheme="minorBidi"/>
            <w:noProof/>
            <w:sz w:val="22"/>
            <w:szCs w:val="22"/>
          </w:rPr>
          <w:tab/>
        </w:r>
        <w:r w:rsidR="00373B03" w:rsidRPr="000B1C50">
          <w:rPr>
            <w:rStyle w:val="Hypertextovodkaz"/>
            <w:noProof/>
          </w:rPr>
          <w:t>Indikátory výstupu v PO 1</w:t>
        </w:r>
        <w:r w:rsidR="00373B03">
          <w:rPr>
            <w:noProof/>
            <w:webHidden/>
          </w:rPr>
          <w:tab/>
        </w:r>
        <w:r w:rsidR="00373B03">
          <w:rPr>
            <w:noProof/>
            <w:webHidden/>
          </w:rPr>
          <w:fldChar w:fldCharType="begin"/>
        </w:r>
        <w:r w:rsidR="00373B03">
          <w:rPr>
            <w:noProof/>
            <w:webHidden/>
          </w:rPr>
          <w:instrText xml:space="preserve"> PAGEREF _Toc416431820 \h </w:instrText>
        </w:r>
        <w:r w:rsidR="00373B03">
          <w:rPr>
            <w:noProof/>
            <w:webHidden/>
          </w:rPr>
        </w:r>
        <w:r w:rsidR="00373B03">
          <w:rPr>
            <w:noProof/>
            <w:webHidden/>
          </w:rPr>
          <w:fldChar w:fldCharType="separate"/>
        </w:r>
        <w:r w:rsidR="004A0637">
          <w:rPr>
            <w:noProof/>
            <w:webHidden/>
          </w:rPr>
          <w:t>84</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21" w:history="1">
        <w:r w:rsidR="00373B03" w:rsidRPr="000B1C50">
          <w:rPr>
            <w:rStyle w:val="Hypertextovodkaz"/>
            <w:noProof/>
          </w:rPr>
          <w:t>Tabulka č. 33 -</w:t>
        </w:r>
        <w:r w:rsidR="00373B03">
          <w:rPr>
            <w:rFonts w:asciiTheme="minorHAnsi" w:eastAsiaTheme="minorEastAsia" w:hAnsiTheme="minorHAnsi" w:cstheme="minorBidi"/>
            <w:noProof/>
            <w:sz w:val="22"/>
            <w:szCs w:val="22"/>
          </w:rPr>
          <w:tab/>
        </w:r>
        <w:r w:rsidR="00373B03" w:rsidRPr="000B1C50">
          <w:rPr>
            <w:rStyle w:val="Hypertextovodkaz"/>
            <w:noProof/>
          </w:rPr>
          <w:t>Indikátory výsledku v PO 1</w:t>
        </w:r>
        <w:r w:rsidR="00373B03">
          <w:rPr>
            <w:noProof/>
            <w:webHidden/>
          </w:rPr>
          <w:tab/>
        </w:r>
        <w:r w:rsidR="00373B03">
          <w:rPr>
            <w:noProof/>
            <w:webHidden/>
          </w:rPr>
          <w:fldChar w:fldCharType="begin"/>
        </w:r>
        <w:r w:rsidR="00373B03">
          <w:rPr>
            <w:noProof/>
            <w:webHidden/>
          </w:rPr>
          <w:instrText xml:space="preserve"> PAGEREF _Toc416431821 \h </w:instrText>
        </w:r>
        <w:r w:rsidR="00373B03">
          <w:rPr>
            <w:noProof/>
            <w:webHidden/>
          </w:rPr>
        </w:r>
        <w:r w:rsidR="00373B03">
          <w:rPr>
            <w:noProof/>
            <w:webHidden/>
          </w:rPr>
          <w:fldChar w:fldCharType="separate"/>
        </w:r>
        <w:r w:rsidR="004A0637">
          <w:rPr>
            <w:noProof/>
            <w:webHidden/>
          </w:rPr>
          <w:t>85</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22" w:history="1">
        <w:r w:rsidR="00373B03" w:rsidRPr="000B1C50">
          <w:rPr>
            <w:rStyle w:val="Hypertextovodkaz"/>
            <w:noProof/>
          </w:rPr>
          <w:t>Tabulka č. 34 -</w:t>
        </w:r>
        <w:r w:rsidR="00373B03">
          <w:rPr>
            <w:rFonts w:asciiTheme="minorHAnsi" w:eastAsiaTheme="minorEastAsia" w:hAnsiTheme="minorHAnsi" w:cstheme="minorBidi"/>
            <w:noProof/>
            <w:sz w:val="22"/>
            <w:szCs w:val="22"/>
          </w:rPr>
          <w:tab/>
        </w:r>
        <w:r w:rsidR="00373B03" w:rsidRPr="000B1C50">
          <w:rPr>
            <w:rStyle w:val="Hypertextovodkaz"/>
            <w:noProof/>
          </w:rPr>
          <w:t>Finanční stav PO 1a a 1b k 31.12.2014</w:t>
        </w:r>
        <w:r w:rsidR="00373B03">
          <w:rPr>
            <w:noProof/>
            <w:webHidden/>
          </w:rPr>
          <w:tab/>
        </w:r>
        <w:r w:rsidR="00373B03">
          <w:rPr>
            <w:noProof/>
            <w:webHidden/>
          </w:rPr>
          <w:fldChar w:fldCharType="begin"/>
        </w:r>
        <w:r w:rsidR="00373B03">
          <w:rPr>
            <w:noProof/>
            <w:webHidden/>
          </w:rPr>
          <w:instrText xml:space="preserve"> PAGEREF _Toc416431822 \h </w:instrText>
        </w:r>
        <w:r w:rsidR="00373B03">
          <w:rPr>
            <w:noProof/>
            <w:webHidden/>
          </w:rPr>
        </w:r>
        <w:r w:rsidR="00373B03">
          <w:rPr>
            <w:noProof/>
            <w:webHidden/>
          </w:rPr>
          <w:fldChar w:fldCharType="separate"/>
        </w:r>
        <w:r w:rsidR="004A0637">
          <w:rPr>
            <w:noProof/>
            <w:webHidden/>
          </w:rPr>
          <w:t>86</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23" w:history="1">
        <w:r w:rsidR="00373B03" w:rsidRPr="000B1C50">
          <w:rPr>
            <w:rStyle w:val="Hypertextovodkaz"/>
            <w:noProof/>
          </w:rPr>
          <w:t>Tabulka č. 35 -</w:t>
        </w:r>
        <w:r w:rsidR="00373B03">
          <w:rPr>
            <w:rFonts w:asciiTheme="minorHAnsi" w:eastAsiaTheme="minorEastAsia" w:hAnsiTheme="minorHAnsi" w:cstheme="minorBidi"/>
            <w:noProof/>
            <w:sz w:val="22"/>
            <w:szCs w:val="22"/>
          </w:rPr>
          <w:tab/>
        </w:r>
        <w:r w:rsidR="00373B03" w:rsidRPr="000B1C50">
          <w:rPr>
            <w:rStyle w:val="Hypertextovodkaz"/>
            <w:noProof/>
          </w:rPr>
          <w:t>Finanční pokrok PO 1a a 1b k 31.12.2014</w:t>
        </w:r>
        <w:r w:rsidR="00373B03">
          <w:rPr>
            <w:noProof/>
            <w:webHidden/>
          </w:rPr>
          <w:tab/>
        </w:r>
        <w:r w:rsidR="00373B03">
          <w:rPr>
            <w:noProof/>
            <w:webHidden/>
          </w:rPr>
          <w:fldChar w:fldCharType="begin"/>
        </w:r>
        <w:r w:rsidR="00373B03">
          <w:rPr>
            <w:noProof/>
            <w:webHidden/>
          </w:rPr>
          <w:instrText xml:space="preserve"> PAGEREF _Toc416431823 \h </w:instrText>
        </w:r>
        <w:r w:rsidR="00373B03">
          <w:rPr>
            <w:noProof/>
            <w:webHidden/>
          </w:rPr>
        </w:r>
        <w:r w:rsidR="00373B03">
          <w:rPr>
            <w:noProof/>
            <w:webHidden/>
          </w:rPr>
          <w:fldChar w:fldCharType="separate"/>
        </w:r>
        <w:r w:rsidR="004A0637">
          <w:rPr>
            <w:noProof/>
            <w:webHidden/>
          </w:rPr>
          <w:t>86</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24" w:history="1">
        <w:r w:rsidR="00373B03" w:rsidRPr="000B1C50">
          <w:rPr>
            <w:rStyle w:val="Hypertextovodkaz"/>
            <w:noProof/>
          </w:rPr>
          <w:t>Tabulka č. 36 -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1.1</w:t>
        </w:r>
        <w:r w:rsidR="00373B03">
          <w:rPr>
            <w:noProof/>
            <w:webHidden/>
          </w:rPr>
          <w:tab/>
        </w:r>
        <w:r w:rsidR="00373B03">
          <w:rPr>
            <w:noProof/>
            <w:webHidden/>
          </w:rPr>
          <w:fldChar w:fldCharType="begin"/>
        </w:r>
        <w:r w:rsidR="00373B03">
          <w:rPr>
            <w:noProof/>
            <w:webHidden/>
          </w:rPr>
          <w:instrText xml:space="preserve"> PAGEREF _Toc416431824 \h </w:instrText>
        </w:r>
        <w:r w:rsidR="00373B03">
          <w:rPr>
            <w:noProof/>
            <w:webHidden/>
          </w:rPr>
        </w:r>
        <w:r w:rsidR="00373B03">
          <w:rPr>
            <w:noProof/>
            <w:webHidden/>
          </w:rPr>
          <w:fldChar w:fldCharType="separate"/>
        </w:r>
        <w:r w:rsidR="004A0637">
          <w:rPr>
            <w:noProof/>
            <w:webHidden/>
          </w:rPr>
          <w:t>87</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25" w:history="1">
        <w:r w:rsidR="00373B03" w:rsidRPr="000B1C50">
          <w:rPr>
            <w:rStyle w:val="Hypertextovodkaz"/>
            <w:noProof/>
          </w:rPr>
          <w:t>Tabulka č. 37 -</w:t>
        </w:r>
        <w:r w:rsidR="00373B03">
          <w:rPr>
            <w:rFonts w:asciiTheme="minorHAnsi" w:eastAsiaTheme="minorEastAsia" w:hAnsiTheme="minorHAnsi" w:cstheme="minorBidi"/>
            <w:noProof/>
            <w:sz w:val="22"/>
            <w:szCs w:val="22"/>
          </w:rPr>
          <w:tab/>
        </w:r>
        <w:r w:rsidR="00373B03" w:rsidRPr="000B1C50">
          <w:rPr>
            <w:rStyle w:val="Hypertextovodkaz"/>
            <w:noProof/>
          </w:rPr>
          <w:t>Rovné příležitosti v prioritní ose 1</w:t>
        </w:r>
        <w:r w:rsidR="00373B03">
          <w:rPr>
            <w:noProof/>
            <w:webHidden/>
          </w:rPr>
          <w:tab/>
        </w:r>
        <w:r w:rsidR="00373B03">
          <w:rPr>
            <w:noProof/>
            <w:webHidden/>
          </w:rPr>
          <w:fldChar w:fldCharType="begin"/>
        </w:r>
        <w:r w:rsidR="00373B03">
          <w:rPr>
            <w:noProof/>
            <w:webHidden/>
          </w:rPr>
          <w:instrText xml:space="preserve"> PAGEREF _Toc416431825 \h </w:instrText>
        </w:r>
        <w:r w:rsidR="00373B03">
          <w:rPr>
            <w:noProof/>
            <w:webHidden/>
          </w:rPr>
        </w:r>
        <w:r w:rsidR="00373B03">
          <w:rPr>
            <w:noProof/>
            <w:webHidden/>
          </w:rPr>
          <w:fldChar w:fldCharType="separate"/>
        </w:r>
        <w:r w:rsidR="004A0637">
          <w:rPr>
            <w:noProof/>
            <w:webHidden/>
          </w:rPr>
          <w:t>87</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26" w:history="1">
        <w:r w:rsidR="00373B03" w:rsidRPr="000B1C50">
          <w:rPr>
            <w:rStyle w:val="Hypertextovodkaz"/>
            <w:noProof/>
          </w:rPr>
          <w:t>Tabulka č. 38 -</w:t>
        </w:r>
        <w:r w:rsidR="00373B03">
          <w:rPr>
            <w:rFonts w:asciiTheme="minorHAnsi" w:eastAsiaTheme="minorEastAsia" w:hAnsiTheme="minorHAnsi" w:cstheme="minorBidi"/>
            <w:noProof/>
            <w:sz w:val="22"/>
            <w:szCs w:val="22"/>
          </w:rPr>
          <w:tab/>
        </w:r>
        <w:r w:rsidR="00373B03" w:rsidRPr="000B1C50">
          <w:rPr>
            <w:rStyle w:val="Hypertextovodkaz"/>
            <w:noProof/>
          </w:rPr>
          <w:t>Udržitelný rozvoj v prioritní ose 1</w:t>
        </w:r>
        <w:r w:rsidR="00373B03">
          <w:rPr>
            <w:noProof/>
            <w:webHidden/>
          </w:rPr>
          <w:tab/>
        </w:r>
        <w:r w:rsidR="00373B03">
          <w:rPr>
            <w:noProof/>
            <w:webHidden/>
          </w:rPr>
          <w:fldChar w:fldCharType="begin"/>
        </w:r>
        <w:r w:rsidR="00373B03">
          <w:rPr>
            <w:noProof/>
            <w:webHidden/>
          </w:rPr>
          <w:instrText xml:space="preserve"> PAGEREF _Toc416431826 \h </w:instrText>
        </w:r>
        <w:r w:rsidR="00373B03">
          <w:rPr>
            <w:noProof/>
            <w:webHidden/>
          </w:rPr>
        </w:r>
        <w:r w:rsidR="00373B03">
          <w:rPr>
            <w:noProof/>
            <w:webHidden/>
          </w:rPr>
          <w:fldChar w:fldCharType="separate"/>
        </w:r>
        <w:r w:rsidR="004A0637">
          <w:rPr>
            <w:noProof/>
            <w:webHidden/>
          </w:rPr>
          <w:t>88</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27" w:history="1">
        <w:r w:rsidR="00373B03" w:rsidRPr="000B1C50">
          <w:rPr>
            <w:rStyle w:val="Hypertextovodkaz"/>
            <w:noProof/>
          </w:rPr>
          <w:t>Tabulka č. 39 -</w:t>
        </w:r>
        <w:r w:rsidR="00373B03">
          <w:rPr>
            <w:rFonts w:asciiTheme="minorHAnsi" w:eastAsiaTheme="minorEastAsia" w:hAnsiTheme="minorHAnsi" w:cstheme="minorBidi"/>
            <w:noProof/>
            <w:sz w:val="22"/>
            <w:szCs w:val="22"/>
          </w:rPr>
          <w:tab/>
        </w:r>
        <w:r w:rsidR="00373B03" w:rsidRPr="000B1C50">
          <w:rPr>
            <w:rStyle w:val="Hypertextovodkaz"/>
            <w:noProof/>
          </w:rPr>
          <w:t>Přehled vyhlášených a probíhajících výzev v PO 2 v roce 2014</w:t>
        </w:r>
        <w:r w:rsidR="00373B03">
          <w:rPr>
            <w:noProof/>
            <w:webHidden/>
          </w:rPr>
          <w:tab/>
        </w:r>
        <w:r w:rsidR="00373B03">
          <w:rPr>
            <w:noProof/>
            <w:webHidden/>
          </w:rPr>
          <w:fldChar w:fldCharType="begin"/>
        </w:r>
        <w:r w:rsidR="00373B03">
          <w:rPr>
            <w:noProof/>
            <w:webHidden/>
          </w:rPr>
          <w:instrText xml:space="preserve"> PAGEREF _Toc416431827 \h </w:instrText>
        </w:r>
        <w:r w:rsidR="00373B03">
          <w:rPr>
            <w:noProof/>
            <w:webHidden/>
          </w:rPr>
        </w:r>
        <w:r w:rsidR="00373B03">
          <w:rPr>
            <w:noProof/>
            <w:webHidden/>
          </w:rPr>
          <w:fldChar w:fldCharType="separate"/>
        </w:r>
        <w:r w:rsidR="004A0637">
          <w:rPr>
            <w:noProof/>
            <w:webHidden/>
          </w:rPr>
          <w:t>89</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28" w:history="1">
        <w:r w:rsidR="00373B03" w:rsidRPr="000B1C50">
          <w:rPr>
            <w:rStyle w:val="Hypertextovodkaz"/>
            <w:noProof/>
          </w:rPr>
          <w:t>Tabulka č. 40 -</w:t>
        </w:r>
        <w:r w:rsidR="00373B03">
          <w:rPr>
            <w:rFonts w:asciiTheme="minorHAnsi" w:eastAsiaTheme="minorEastAsia" w:hAnsiTheme="minorHAnsi" w:cstheme="minorBidi"/>
            <w:noProof/>
            <w:sz w:val="22"/>
            <w:szCs w:val="22"/>
          </w:rPr>
          <w:tab/>
        </w:r>
        <w:r w:rsidR="00373B03" w:rsidRPr="000B1C50">
          <w:rPr>
            <w:rStyle w:val="Hypertextovodkaz"/>
            <w:noProof/>
          </w:rPr>
          <w:t>Indikátory výstupu v PO 2</w:t>
        </w:r>
        <w:r w:rsidR="00373B03">
          <w:rPr>
            <w:noProof/>
            <w:webHidden/>
          </w:rPr>
          <w:tab/>
        </w:r>
        <w:r w:rsidR="00373B03">
          <w:rPr>
            <w:noProof/>
            <w:webHidden/>
          </w:rPr>
          <w:fldChar w:fldCharType="begin"/>
        </w:r>
        <w:r w:rsidR="00373B03">
          <w:rPr>
            <w:noProof/>
            <w:webHidden/>
          </w:rPr>
          <w:instrText xml:space="preserve"> PAGEREF _Toc416431828 \h </w:instrText>
        </w:r>
        <w:r w:rsidR="00373B03">
          <w:rPr>
            <w:noProof/>
            <w:webHidden/>
          </w:rPr>
        </w:r>
        <w:r w:rsidR="00373B03">
          <w:rPr>
            <w:noProof/>
            <w:webHidden/>
          </w:rPr>
          <w:fldChar w:fldCharType="separate"/>
        </w:r>
        <w:r w:rsidR="004A0637">
          <w:rPr>
            <w:noProof/>
            <w:webHidden/>
          </w:rPr>
          <w:t>90</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29" w:history="1">
        <w:r w:rsidR="00373B03" w:rsidRPr="000B1C50">
          <w:rPr>
            <w:rStyle w:val="Hypertextovodkaz"/>
            <w:noProof/>
          </w:rPr>
          <w:t>Tabulka č. 41 -</w:t>
        </w:r>
        <w:r w:rsidR="00373B03">
          <w:rPr>
            <w:rFonts w:asciiTheme="minorHAnsi" w:eastAsiaTheme="minorEastAsia" w:hAnsiTheme="minorHAnsi" w:cstheme="minorBidi"/>
            <w:noProof/>
            <w:sz w:val="22"/>
            <w:szCs w:val="22"/>
          </w:rPr>
          <w:tab/>
        </w:r>
        <w:r w:rsidR="00373B03" w:rsidRPr="000B1C50">
          <w:rPr>
            <w:rStyle w:val="Hypertextovodkaz"/>
            <w:noProof/>
          </w:rPr>
          <w:t>Indikátory výsledku v PO 2</w:t>
        </w:r>
        <w:r w:rsidR="00373B03">
          <w:rPr>
            <w:noProof/>
            <w:webHidden/>
          </w:rPr>
          <w:tab/>
        </w:r>
        <w:r w:rsidR="00373B03">
          <w:rPr>
            <w:noProof/>
            <w:webHidden/>
          </w:rPr>
          <w:fldChar w:fldCharType="begin"/>
        </w:r>
        <w:r w:rsidR="00373B03">
          <w:rPr>
            <w:noProof/>
            <w:webHidden/>
          </w:rPr>
          <w:instrText xml:space="preserve"> PAGEREF _Toc416431829 \h </w:instrText>
        </w:r>
        <w:r w:rsidR="00373B03">
          <w:rPr>
            <w:noProof/>
            <w:webHidden/>
          </w:rPr>
        </w:r>
        <w:r w:rsidR="00373B03">
          <w:rPr>
            <w:noProof/>
            <w:webHidden/>
          </w:rPr>
          <w:fldChar w:fldCharType="separate"/>
        </w:r>
        <w:r w:rsidR="004A0637">
          <w:rPr>
            <w:noProof/>
            <w:webHidden/>
          </w:rPr>
          <w:t>91</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30" w:history="1">
        <w:r w:rsidR="00373B03" w:rsidRPr="000B1C50">
          <w:rPr>
            <w:rStyle w:val="Hypertextovodkaz"/>
            <w:noProof/>
          </w:rPr>
          <w:t>Tabulka č. 42 -</w:t>
        </w:r>
        <w:r w:rsidR="00373B03">
          <w:rPr>
            <w:rFonts w:asciiTheme="minorHAnsi" w:eastAsiaTheme="minorEastAsia" w:hAnsiTheme="minorHAnsi" w:cstheme="minorBidi"/>
            <w:noProof/>
            <w:sz w:val="22"/>
            <w:szCs w:val="22"/>
          </w:rPr>
          <w:tab/>
        </w:r>
        <w:r w:rsidR="00373B03" w:rsidRPr="000B1C50">
          <w:rPr>
            <w:rStyle w:val="Hypertextovodkaz"/>
            <w:noProof/>
          </w:rPr>
          <w:t>Finanční stav PO 2 k 31.12.2014</w:t>
        </w:r>
        <w:r w:rsidR="00373B03">
          <w:rPr>
            <w:noProof/>
            <w:webHidden/>
          </w:rPr>
          <w:tab/>
        </w:r>
        <w:r w:rsidR="00373B03">
          <w:rPr>
            <w:noProof/>
            <w:webHidden/>
          </w:rPr>
          <w:fldChar w:fldCharType="begin"/>
        </w:r>
        <w:r w:rsidR="00373B03">
          <w:rPr>
            <w:noProof/>
            <w:webHidden/>
          </w:rPr>
          <w:instrText xml:space="preserve"> PAGEREF _Toc416431830 \h </w:instrText>
        </w:r>
        <w:r w:rsidR="00373B03">
          <w:rPr>
            <w:noProof/>
            <w:webHidden/>
          </w:rPr>
        </w:r>
        <w:r w:rsidR="00373B03">
          <w:rPr>
            <w:noProof/>
            <w:webHidden/>
          </w:rPr>
          <w:fldChar w:fldCharType="separate"/>
        </w:r>
        <w:r w:rsidR="004A0637">
          <w:rPr>
            <w:noProof/>
            <w:webHidden/>
          </w:rPr>
          <w:t>92</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31" w:history="1">
        <w:r w:rsidR="00373B03" w:rsidRPr="000B1C50">
          <w:rPr>
            <w:rStyle w:val="Hypertextovodkaz"/>
            <w:noProof/>
          </w:rPr>
          <w:t>Tabulka č. 43 -</w:t>
        </w:r>
        <w:r w:rsidR="00373B03">
          <w:rPr>
            <w:rFonts w:asciiTheme="minorHAnsi" w:eastAsiaTheme="minorEastAsia" w:hAnsiTheme="minorHAnsi" w:cstheme="minorBidi"/>
            <w:noProof/>
            <w:sz w:val="22"/>
            <w:szCs w:val="22"/>
          </w:rPr>
          <w:tab/>
        </w:r>
        <w:r w:rsidR="00373B03" w:rsidRPr="000B1C50">
          <w:rPr>
            <w:rStyle w:val="Hypertextovodkaz"/>
            <w:noProof/>
          </w:rPr>
          <w:t>Finanční pokrok PO 2 k 31.12.2014</w:t>
        </w:r>
        <w:r w:rsidR="00373B03">
          <w:rPr>
            <w:noProof/>
            <w:webHidden/>
          </w:rPr>
          <w:tab/>
        </w:r>
        <w:r w:rsidR="00373B03">
          <w:rPr>
            <w:noProof/>
            <w:webHidden/>
          </w:rPr>
          <w:fldChar w:fldCharType="begin"/>
        </w:r>
        <w:r w:rsidR="00373B03">
          <w:rPr>
            <w:noProof/>
            <w:webHidden/>
          </w:rPr>
          <w:instrText xml:space="preserve"> PAGEREF _Toc416431831 \h </w:instrText>
        </w:r>
        <w:r w:rsidR="00373B03">
          <w:rPr>
            <w:noProof/>
            <w:webHidden/>
          </w:rPr>
        </w:r>
        <w:r w:rsidR="00373B03">
          <w:rPr>
            <w:noProof/>
            <w:webHidden/>
          </w:rPr>
          <w:fldChar w:fldCharType="separate"/>
        </w:r>
        <w:r w:rsidR="004A0637">
          <w:rPr>
            <w:noProof/>
            <w:webHidden/>
          </w:rPr>
          <w:t>92</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32" w:history="1">
        <w:r w:rsidR="00373B03" w:rsidRPr="000B1C50">
          <w:rPr>
            <w:rStyle w:val="Hypertextovodkaz"/>
            <w:noProof/>
          </w:rPr>
          <w:t>Tabulka č. 44 -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2.1</w:t>
        </w:r>
        <w:r w:rsidR="00373B03">
          <w:rPr>
            <w:noProof/>
            <w:webHidden/>
          </w:rPr>
          <w:tab/>
        </w:r>
        <w:r w:rsidR="00373B03">
          <w:rPr>
            <w:noProof/>
            <w:webHidden/>
          </w:rPr>
          <w:fldChar w:fldCharType="begin"/>
        </w:r>
        <w:r w:rsidR="00373B03">
          <w:rPr>
            <w:noProof/>
            <w:webHidden/>
          </w:rPr>
          <w:instrText xml:space="preserve"> PAGEREF _Toc416431832 \h </w:instrText>
        </w:r>
        <w:r w:rsidR="00373B03">
          <w:rPr>
            <w:noProof/>
            <w:webHidden/>
          </w:rPr>
        </w:r>
        <w:r w:rsidR="00373B03">
          <w:rPr>
            <w:noProof/>
            <w:webHidden/>
          </w:rPr>
          <w:fldChar w:fldCharType="separate"/>
        </w:r>
        <w:r w:rsidR="004A0637">
          <w:rPr>
            <w:noProof/>
            <w:webHidden/>
          </w:rPr>
          <w:t>93</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33" w:history="1">
        <w:r w:rsidR="00373B03" w:rsidRPr="000B1C50">
          <w:rPr>
            <w:rStyle w:val="Hypertextovodkaz"/>
            <w:noProof/>
          </w:rPr>
          <w:t>Tabulka č. 45 -</w:t>
        </w:r>
        <w:r w:rsidR="00373B03">
          <w:rPr>
            <w:rFonts w:asciiTheme="minorHAnsi" w:eastAsiaTheme="minorEastAsia" w:hAnsiTheme="minorHAnsi" w:cstheme="minorBidi"/>
            <w:noProof/>
            <w:sz w:val="22"/>
            <w:szCs w:val="22"/>
          </w:rPr>
          <w:tab/>
        </w:r>
        <w:r w:rsidR="00373B03" w:rsidRPr="000B1C50">
          <w:rPr>
            <w:rStyle w:val="Hypertextovodkaz"/>
            <w:noProof/>
          </w:rPr>
          <w:t>Rovné příležitosti v prioritní ose 2</w:t>
        </w:r>
        <w:r w:rsidR="00373B03">
          <w:rPr>
            <w:noProof/>
            <w:webHidden/>
          </w:rPr>
          <w:tab/>
        </w:r>
        <w:r w:rsidR="00373B03">
          <w:rPr>
            <w:noProof/>
            <w:webHidden/>
          </w:rPr>
          <w:fldChar w:fldCharType="begin"/>
        </w:r>
        <w:r w:rsidR="00373B03">
          <w:rPr>
            <w:noProof/>
            <w:webHidden/>
          </w:rPr>
          <w:instrText xml:space="preserve"> PAGEREF _Toc416431833 \h </w:instrText>
        </w:r>
        <w:r w:rsidR="00373B03">
          <w:rPr>
            <w:noProof/>
            <w:webHidden/>
          </w:rPr>
        </w:r>
        <w:r w:rsidR="00373B03">
          <w:rPr>
            <w:noProof/>
            <w:webHidden/>
          </w:rPr>
          <w:fldChar w:fldCharType="separate"/>
        </w:r>
        <w:r w:rsidR="004A0637">
          <w:rPr>
            <w:noProof/>
            <w:webHidden/>
          </w:rPr>
          <w:t>93</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34" w:history="1">
        <w:r w:rsidR="00373B03" w:rsidRPr="000B1C50">
          <w:rPr>
            <w:rStyle w:val="Hypertextovodkaz"/>
            <w:noProof/>
          </w:rPr>
          <w:t>Tabulka č. 46 -</w:t>
        </w:r>
        <w:r w:rsidR="00373B03">
          <w:rPr>
            <w:rFonts w:asciiTheme="minorHAnsi" w:eastAsiaTheme="minorEastAsia" w:hAnsiTheme="minorHAnsi" w:cstheme="minorBidi"/>
            <w:noProof/>
            <w:sz w:val="22"/>
            <w:szCs w:val="22"/>
          </w:rPr>
          <w:tab/>
        </w:r>
        <w:r w:rsidR="00373B03" w:rsidRPr="000B1C50">
          <w:rPr>
            <w:rStyle w:val="Hypertextovodkaz"/>
            <w:noProof/>
          </w:rPr>
          <w:t>Udržitelný rozvoj v prioritní ose 2</w:t>
        </w:r>
        <w:r w:rsidR="00373B03">
          <w:rPr>
            <w:noProof/>
            <w:webHidden/>
          </w:rPr>
          <w:tab/>
        </w:r>
        <w:r w:rsidR="00373B03">
          <w:rPr>
            <w:noProof/>
            <w:webHidden/>
          </w:rPr>
          <w:fldChar w:fldCharType="begin"/>
        </w:r>
        <w:r w:rsidR="00373B03">
          <w:rPr>
            <w:noProof/>
            <w:webHidden/>
          </w:rPr>
          <w:instrText xml:space="preserve"> PAGEREF _Toc416431834 \h </w:instrText>
        </w:r>
        <w:r w:rsidR="00373B03">
          <w:rPr>
            <w:noProof/>
            <w:webHidden/>
          </w:rPr>
        </w:r>
        <w:r w:rsidR="00373B03">
          <w:rPr>
            <w:noProof/>
            <w:webHidden/>
          </w:rPr>
          <w:fldChar w:fldCharType="separate"/>
        </w:r>
        <w:r w:rsidR="004A0637">
          <w:rPr>
            <w:noProof/>
            <w:webHidden/>
          </w:rPr>
          <w:t>93</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35" w:history="1">
        <w:r w:rsidR="00373B03" w:rsidRPr="000B1C50">
          <w:rPr>
            <w:rStyle w:val="Hypertextovodkaz"/>
            <w:noProof/>
          </w:rPr>
          <w:t>Tabulka č. 47 -</w:t>
        </w:r>
        <w:r w:rsidR="00373B03">
          <w:rPr>
            <w:rFonts w:asciiTheme="minorHAnsi" w:eastAsiaTheme="minorEastAsia" w:hAnsiTheme="minorHAnsi" w:cstheme="minorBidi"/>
            <w:noProof/>
            <w:sz w:val="22"/>
            <w:szCs w:val="22"/>
          </w:rPr>
          <w:tab/>
        </w:r>
        <w:r w:rsidR="00373B03" w:rsidRPr="000B1C50">
          <w:rPr>
            <w:rStyle w:val="Hypertextovodkaz"/>
            <w:noProof/>
          </w:rPr>
          <w:t>Přehled vyhlášených a probíhajících výzev v PO 3 v roce 2014</w:t>
        </w:r>
        <w:r w:rsidR="00373B03">
          <w:rPr>
            <w:noProof/>
            <w:webHidden/>
          </w:rPr>
          <w:tab/>
        </w:r>
        <w:r w:rsidR="00373B03">
          <w:rPr>
            <w:noProof/>
            <w:webHidden/>
          </w:rPr>
          <w:fldChar w:fldCharType="begin"/>
        </w:r>
        <w:r w:rsidR="00373B03">
          <w:rPr>
            <w:noProof/>
            <w:webHidden/>
          </w:rPr>
          <w:instrText xml:space="preserve"> PAGEREF _Toc416431835 \h </w:instrText>
        </w:r>
        <w:r w:rsidR="00373B03">
          <w:rPr>
            <w:noProof/>
            <w:webHidden/>
          </w:rPr>
        </w:r>
        <w:r w:rsidR="00373B03">
          <w:rPr>
            <w:noProof/>
            <w:webHidden/>
          </w:rPr>
          <w:fldChar w:fldCharType="separate"/>
        </w:r>
        <w:r w:rsidR="004A0637">
          <w:rPr>
            <w:noProof/>
            <w:webHidden/>
          </w:rPr>
          <w:t>96</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36" w:history="1">
        <w:r w:rsidR="00373B03" w:rsidRPr="000B1C50">
          <w:rPr>
            <w:rStyle w:val="Hypertextovodkaz"/>
            <w:noProof/>
          </w:rPr>
          <w:t>Tabulka č. 48 -</w:t>
        </w:r>
        <w:r w:rsidR="00373B03">
          <w:rPr>
            <w:rFonts w:asciiTheme="minorHAnsi" w:eastAsiaTheme="minorEastAsia" w:hAnsiTheme="minorHAnsi" w:cstheme="minorBidi"/>
            <w:noProof/>
            <w:sz w:val="22"/>
            <w:szCs w:val="22"/>
          </w:rPr>
          <w:tab/>
        </w:r>
        <w:r w:rsidR="00373B03" w:rsidRPr="000B1C50">
          <w:rPr>
            <w:rStyle w:val="Hypertextovodkaz"/>
            <w:noProof/>
          </w:rPr>
          <w:t>Indikátory výstupu v PO 3</w:t>
        </w:r>
        <w:r w:rsidR="00373B03">
          <w:rPr>
            <w:noProof/>
            <w:webHidden/>
          </w:rPr>
          <w:tab/>
        </w:r>
        <w:r w:rsidR="00373B03">
          <w:rPr>
            <w:noProof/>
            <w:webHidden/>
          </w:rPr>
          <w:fldChar w:fldCharType="begin"/>
        </w:r>
        <w:r w:rsidR="00373B03">
          <w:rPr>
            <w:noProof/>
            <w:webHidden/>
          </w:rPr>
          <w:instrText xml:space="preserve"> PAGEREF _Toc416431836 \h </w:instrText>
        </w:r>
        <w:r w:rsidR="00373B03">
          <w:rPr>
            <w:noProof/>
            <w:webHidden/>
          </w:rPr>
        </w:r>
        <w:r w:rsidR="00373B03">
          <w:rPr>
            <w:noProof/>
            <w:webHidden/>
          </w:rPr>
          <w:fldChar w:fldCharType="separate"/>
        </w:r>
        <w:r w:rsidR="004A0637">
          <w:rPr>
            <w:noProof/>
            <w:webHidden/>
          </w:rPr>
          <w:t>101</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37" w:history="1">
        <w:r w:rsidR="00373B03" w:rsidRPr="000B1C50">
          <w:rPr>
            <w:rStyle w:val="Hypertextovodkaz"/>
            <w:noProof/>
          </w:rPr>
          <w:t>Tabulka č. 49 -</w:t>
        </w:r>
        <w:r w:rsidR="00373B03">
          <w:rPr>
            <w:rFonts w:asciiTheme="minorHAnsi" w:eastAsiaTheme="minorEastAsia" w:hAnsiTheme="minorHAnsi" w:cstheme="minorBidi"/>
            <w:noProof/>
            <w:sz w:val="22"/>
            <w:szCs w:val="22"/>
          </w:rPr>
          <w:tab/>
        </w:r>
        <w:r w:rsidR="00373B03" w:rsidRPr="000B1C50">
          <w:rPr>
            <w:rStyle w:val="Hypertextovodkaz"/>
            <w:noProof/>
          </w:rPr>
          <w:t>Indikátory výsledku v PO 3</w:t>
        </w:r>
        <w:r w:rsidR="00373B03">
          <w:rPr>
            <w:noProof/>
            <w:webHidden/>
          </w:rPr>
          <w:tab/>
        </w:r>
        <w:r w:rsidR="00373B03">
          <w:rPr>
            <w:noProof/>
            <w:webHidden/>
          </w:rPr>
          <w:fldChar w:fldCharType="begin"/>
        </w:r>
        <w:r w:rsidR="00373B03">
          <w:rPr>
            <w:noProof/>
            <w:webHidden/>
          </w:rPr>
          <w:instrText xml:space="preserve"> PAGEREF _Toc416431837 \h </w:instrText>
        </w:r>
        <w:r w:rsidR="00373B03">
          <w:rPr>
            <w:noProof/>
            <w:webHidden/>
          </w:rPr>
        </w:r>
        <w:r w:rsidR="00373B03">
          <w:rPr>
            <w:noProof/>
            <w:webHidden/>
          </w:rPr>
          <w:fldChar w:fldCharType="separate"/>
        </w:r>
        <w:r w:rsidR="004A0637">
          <w:rPr>
            <w:noProof/>
            <w:webHidden/>
          </w:rPr>
          <w:t>103</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38" w:history="1">
        <w:r w:rsidR="00373B03" w:rsidRPr="000B1C50">
          <w:rPr>
            <w:rStyle w:val="Hypertextovodkaz"/>
            <w:noProof/>
          </w:rPr>
          <w:t>Tabulka č. 50 -</w:t>
        </w:r>
        <w:r w:rsidR="00373B03">
          <w:rPr>
            <w:rFonts w:asciiTheme="minorHAnsi" w:eastAsiaTheme="minorEastAsia" w:hAnsiTheme="minorHAnsi" w:cstheme="minorBidi"/>
            <w:noProof/>
            <w:sz w:val="22"/>
            <w:szCs w:val="22"/>
          </w:rPr>
          <w:tab/>
        </w:r>
        <w:r w:rsidR="00373B03" w:rsidRPr="000B1C50">
          <w:rPr>
            <w:rStyle w:val="Hypertextovodkaz"/>
            <w:noProof/>
          </w:rPr>
          <w:t>Finanční stav PO 3 k 31.12.2014</w:t>
        </w:r>
        <w:r w:rsidR="00373B03">
          <w:rPr>
            <w:noProof/>
            <w:webHidden/>
          </w:rPr>
          <w:tab/>
        </w:r>
        <w:r w:rsidR="00373B03">
          <w:rPr>
            <w:noProof/>
            <w:webHidden/>
          </w:rPr>
          <w:fldChar w:fldCharType="begin"/>
        </w:r>
        <w:r w:rsidR="00373B03">
          <w:rPr>
            <w:noProof/>
            <w:webHidden/>
          </w:rPr>
          <w:instrText xml:space="preserve"> PAGEREF _Toc416431838 \h </w:instrText>
        </w:r>
        <w:r w:rsidR="00373B03">
          <w:rPr>
            <w:noProof/>
            <w:webHidden/>
          </w:rPr>
        </w:r>
        <w:r w:rsidR="00373B03">
          <w:rPr>
            <w:noProof/>
            <w:webHidden/>
          </w:rPr>
          <w:fldChar w:fldCharType="separate"/>
        </w:r>
        <w:r w:rsidR="004A0637">
          <w:rPr>
            <w:noProof/>
            <w:webHidden/>
          </w:rPr>
          <w:t>105</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39" w:history="1">
        <w:r w:rsidR="00373B03" w:rsidRPr="000B1C50">
          <w:rPr>
            <w:rStyle w:val="Hypertextovodkaz"/>
            <w:noProof/>
          </w:rPr>
          <w:t>Tabulka č. 51 -</w:t>
        </w:r>
        <w:r w:rsidR="00373B03">
          <w:rPr>
            <w:rFonts w:asciiTheme="minorHAnsi" w:eastAsiaTheme="minorEastAsia" w:hAnsiTheme="minorHAnsi" w:cstheme="minorBidi"/>
            <w:noProof/>
            <w:sz w:val="22"/>
            <w:szCs w:val="22"/>
          </w:rPr>
          <w:tab/>
        </w:r>
        <w:r w:rsidR="00373B03" w:rsidRPr="000B1C50">
          <w:rPr>
            <w:rStyle w:val="Hypertextovodkaz"/>
            <w:noProof/>
          </w:rPr>
          <w:t>Finanční pokrok PO 3 k 31.12.2014</w:t>
        </w:r>
        <w:r w:rsidR="00373B03">
          <w:rPr>
            <w:noProof/>
            <w:webHidden/>
          </w:rPr>
          <w:tab/>
        </w:r>
        <w:r w:rsidR="00373B03">
          <w:rPr>
            <w:noProof/>
            <w:webHidden/>
          </w:rPr>
          <w:fldChar w:fldCharType="begin"/>
        </w:r>
        <w:r w:rsidR="00373B03">
          <w:rPr>
            <w:noProof/>
            <w:webHidden/>
          </w:rPr>
          <w:instrText xml:space="preserve"> PAGEREF _Toc416431839 \h </w:instrText>
        </w:r>
        <w:r w:rsidR="00373B03">
          <w:rPr>
            <w:noProof/>
            <w:webHidden/>
          </w:rPr>
        </w:r>
        <w:r w:rsidR="00373B03">
          <w:rPr>
            <w:noProof/>
            <w:webHidden/>
          </w:rPr>
          <w:fldChar w:fldCharType="separate"/>
        </w:r>
        <w:r w:rsidR="004A0637">
          <w:rPr>
            <w:noProof/>
            <w:webHidden/>
          </w:rPr>
          <w:t>106</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40" w:history="1">
        <w:r w:rsidR="00373B03" w:rsidRPr="000B1C50">
          <w:rPr>
            <w:rStyle w:val="Hypertextovodkaz"/>
            <w:noProof/>
          </w:rPr>
          <w:t>Tabulka č. 52 -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3.1</w:t>
        </w:r>
        <w:r w:rsidR="00373B03">
          <w:rPr>
            <w:noProof/>
            <w:webHidden/>
          </w:rPr>
          <w:tab/>
        </w:r>
        <w:r w:rsidR="00373B03">
          <w:rPr>
            <w:noProof/>
            <w:webHidden/>
          </w:rPr>
          <w:fldChar w:fldCharType="begin"/>
        </w:r>
        <w:r w:rsidR="00373B03">
          <w:rPr>
            <w:noProof/>
            <w:webHidden/>
          </w:rPr>
          <w:instrText xml:space="preserve"> PAGEREF _Toc416431840 \h </w:instrText>
        </w:r>
        <w:r w:rsidR="00373B03">
          <w:rPr>
            <w:noProof/>
            <w:webHidden/>
          </w:rPr>
        </w:r>
        <w:r w:rsidR="00373B03">
          <w:rPr>
            <w:noProof/>
            <w:webHidden/>
          </w:rPr>
          <w:fldChar w:fldCharType="separate"/>
        </w:r>
        <w:r w:rsidR="004A0637">
          <w:rPr>
            <w:noProof/>
            <w:webHidden/>
          </w:rPr>
          <w:t>106</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41" w:history="1">
        <w:r w:rsidR="00373B03" w:rsidRPr="000B1C50">
          <w:rPr>
            <w:rStyle w:val="Hypertextovodkaz"/>
            <w:noProof/>
          </w:rPr>
          <w:t>Tabulka č. 53 -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3.2</w:t>
        </w:r>
        <w:r w:rsidR="00373B03">
          <w:rPr>
            <w:noProof/>
            <w:webHidden/>
          </w:rPr>
          <w:tab/>
        </w:r>
        <w:r w:rsidR="00373B03">
          <w:rPr>
            <w:noProof/>
            <w:webHidden/>
          </w:rPr>
          <w:fldChar w:fldCharType="begin"/>
        </w:r>
        <w:r w:rsidR="00373B03">
          <w:rPr>
            <w:noProof/>
            <w:webHidden/>
          </w:rPr>
          <w:instrText xml:space="preserve"> PAGEREF _Toc416431841 \h </w:instrText>
        </w:r>
        <w:r w:rsidR="00373B03">
          <w:rPr>
            <w:noProof/>
            <w:webHidden/>
          </w:rPr>
        </w:r>
        <w:r w:rsidR="00373B03">
          <w:rPr>
            <w:noProof/>
            <w:webHidden/>
          </w:rPr>
          <w:fldChar w:fldCharType="separate"/>
        </w:r>
        <w:r w:rsidR="004A0637">
          <w:rPr>
            <w:noProof/>
            <w:webHidden/>
          </w:rPr>
          <w:t>107</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42" w:history="1">
        <w:r w:rsidR="00373B03" w:rsidRPr="000B1C50">
          <w:rPr>
            <w:rStyle w:val="Hypertextovodkaz"/>
            <w:noProof/>
          </w:rPr>
          <w:t>Tabulka č. 54 -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3.3</w:t>
        </w:r>
        <w:r w:rsidR="00373B03">
          <w:rPr>
            <w:noProof/>
            <w:webHidden/>
          </w:rPr>
          <w:tab/>
        </w:r>
        <w:r w:rsidR="00373B03">
          <w:rPr>
            <w:noProof/>
            <w:webHidden/>
          </w:rPr>
          <w:fldChar w:fldCharType="begin"/>
        </w:r>
        <w:r w:rsidR="00373B03">
          <w:rPr>
            <w:noProof/>
            <w:webHidden/>
          </w:rPr>
          <w:instrText xml:space="preserve"> PAGEREF _Toc416431842 \h </w:instrText>
        </w:r>
        <w:r w:rsidR="00373B03">
          <w:rPr>
            <w:noProof/>
            <w:webHidden/>
          </w:rPr>
        </w:r>
        <w:r w:rsidR="00373B03">
          <w:rPr>
            <w:noProof/>
            <w:webHidden/>
          </w:rPr>
          <w:fldChar w:fldCharType="separate"/>
        </w:r>
        <w:r w:rsidR="004A0637">
          <w:rPr>
            <w:noProof/>
            <w:webHidden/>
          </w:rPr>
          <w:t>108</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43" w:history="1">
        <w:r w:rsidR="00373B03" w:rsidRPr="000B1C50">
          <w:rPr>
            <w:rStyle w:val="Hypertextovodkaz"/>
            <w:noProof/>
          </w:rPr>
          <w:t>Tabulka č. 55 -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3.4</w:t>
        </w:r>
        <w:r w:rsidR="00373B03">
          <w:rPr>
            <w:noProof/>
            <w:webHidden/>
          </w:rPr>
          <w:tab/>
        </w:r>
        <w:r w:rsidR="00373B03">
          <w:rPr>
            <w:noProof/>
            <w:webHidden/>
          </w:rPr>
          <w:fldChar w:fldCharType="begin"/>
        </w:r>
        <w:r w:rsidR="00373B03">
          <w:rPr>
            <w:noProof/>
            <w:webHidden/>
          </w:rPr>
          <w:instrText xml:space="preserve"> PAGEREF _Toc416431843 \h </w:instrText>
        </w:r>
        <w:r w:rsidR="00373B03">
          <w:rPr>
            <w:noProof/>
            <w:webHidden/>
          </w:rPr>
        </w:r>
        <w:r w:rsidR="00373B03">
          <w:rPr>
            <w:noProof/>
            <w:webHidden/>
          </w:rPr>
          <w:fldChar w:fldCharType="separate"/>
        </w:r>
        <w:r w:rsidR="004A0637">
          <w:rPr>
            <w:noProof/>
            <w:webHidden/>
          </w:rPr>
          <w:t>108</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44" w:history="1">
        <w:r w:rsidR="00373B03" w:rsidRPr="000B1C50">
          <w:rPr>
            <w:rStyle w:val="Hypertextovodkaz"/>
            <w:noProof/>
          </w:rPr>
          <w:t>Tabulka č. 56 -</w:t>
        </w:r>
        <w:r w:rsidR="00373B03">
          <w:rPr>
            <w:rFonts w:asciiTheme="minorHAnsi" w:eastAsiaTheme="minorEastAsia" w:hAnsiTheme="minorHAnsi" w:cstheme="minorBidi"/>
            <w:noProof/>
            <w:sz w:val="22"/>
            <w:szCs w:val="22"/>
          </w:rPr>
          <w:tab/>
        </w:r>
        <w:r w:rsidR="00373B03" w:rsidRPr="000B1C50">
          <w:rPr>
            <w:rStyle w:val="Hypertextovodkaz"/>
            <w:noProof/>
          </w:rPr>
          <w:t>Rovné příležitosti v prioritní ose 3</w:t>
        </w:r>
        <w:r w:rsidR="00373B03">
          <w:rPr>
            <w:noProof/>
            <w:webHidden/>
          </w:rPr>
          <w:tab/>
        </w:r>
        <w:r w:rsidR="00373B03">
          <w:rPr>
            <w:noProof/>
            <w:webHidden/>
          </w:rPr>
          <w:fldChar w:fldCharType="begin"/>
        </w:r>
        <w:r w:rsidR="00373B03">
          <w:rPr>
            <w:noProof/>
            <w:webHidden/>
          </w:rPr>
          <w:instrText xml:space="preserve"> PAGEREF _Toc416431844 \h </w:instrText>
        </w:r>
        <w:r w:rsidR="00373B03">
          <w:rPr>
            <w:noProof/>
            <w:webHidden/>
          </w:rPr>
        </w:r>
        <w:r w:rsidR="00373B03">
          <w:rPr>
            <w:noProof/>
            <w:webHidden/>
          </w:rPr>
          <w:fldChar w:fldCharType="separate"/>
        </w:r>
        <w:r w:rsidR="004A0637">
          <w:rPr>
            <w:noProof/>
            <w:webHidden/>
          </w:rPr>
          <w:t>109</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45" w:history="1">
        <w:r w:rsidR="00373B03" w:rsidRPr="000B1C50">
          <w:rPr>
            <w:rStyle w:val="Hypertextovodkaz"/>
            <w:noProof/>
          </w:rPr>
          <w:t>Tabulka č. 57 -</w:t>
        </w:r>
        <w:r w:rsidR="00373B03">
          <w:rPr>
            <w:rFonts w:asciiTheme="minorHAnsi" w:eastAsiaTheme="minorEastAsia" w:hAnsiTheme="minorHAnsi" w:cstheme="minorBidi"/>
            <w:noProof/>
            <w:sz w:val="22"/>
            <w:szCs w:val="22"/>
          </w:rPr>
          <w:tab/>
        </w:r>
        <w:r w:rsidR="00373B03" w:rsidRPr="000B1C50">
          <w:rPr>
            <w:rStyle w:val="Hypertextovodkaz"/>
            <w:noProof/>
          </w:rPr>
          <w:t>Udržitelný rozvoj v prioritní ose 3</w:t>
        </w:r>
        <w:r w:rsidR="00373B03">
          <w:rPr>
            <w:noProof/>
            <w:webHidden/>
          </w:rPr>
          <w:tab/>
        </w:r>
        <w:r w:rsidR="00373B03">
          <w:rPr>
            <w:noProof/>
            <w:webHidden/>
          </w:rPr>
          <w:fldChar w:fldCharType="begin"/>
        </w:r>
        <w:r w:rsidR="00373B03">
          <w:rPr>
            <w:noProof/>
            <w:webHidden/>
          </w:rPr>
          <w:instrText xml:space="preserve"> PAGEREF _Toc416431845 \h </w:instrText>
        </w:r>
        <w:r w:rsidR="00373B03">
          <w:rPr>
            <w:noProof/>
            <w:webHidden/>
          </w:rPr>
        </w:r>
        <w:r w:rsidR="00373B03">
          <w:rPr>
            <w:noProof/>
            <w:webHidden/>
          </w:rPr>
          <w:fldChar w:fldCharType="separate"/>
        </w:r>
        <w:r w:rsidR="004A0637">
          <w:rPr>
            <w:noProof/>
            <w:webHidden/>
          </w:rPr>
          <w:t>109</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46" w:history="1">
        <w:r w:rsidR="00373B03" w:rsidRPr="000B1C50">
          <w:rPr>
            <w:rStyle w:val="Hypertextovodkaz"/>
            <w:noProof/>
          </w:rPr>
          <w:t>Tabulka č. 58 -</w:t>
        </w:r>
        <w:r w:rsidR="00373B03">
          <w:rPr>
            <w:rFonts w:asciiTheme="minorHAnsi" w:eastAsiaTheme="minorEastAsia" w:hAnsiTheme="minorHAnsi" w:cstheme="minorBidi"/>
            <w:noProof/>
            <w:sz w:val="22"/>
            <w:szCs w:val="22"/>
          </w:rPr>
          <w:tab/>
        </w:r>
        <w:r w:rsidR="00373B03" w:rsidRPr="000B1C50">
          <w:rPr>
            <w:rStyle w:val="Hypertextovodkaz"/>
            <w:noProof/>
          </w:rPr>
          <w:t>Přehled vyhlášených a probíhajících výzev v PO 4 v roce 2014</w:t>
        </w:r>
        <w:r w:rsidR="00373B03">
          <w:rPr>
            <w:noProof/>
            <w:webHidden/>
          </w:rPr>
          <w:tab/>
        </w:r>
        <w:r w:rsidR="00373B03">
          <w:rPr>
            <w:noProof/>
            <w:webHidden/>
          </w:rPr>
          <w:fldChar w:fldCharType="begin"/>
        </w:r>
        <w:r w:rsidR="00373B03">
          <w:rPr>
            <w:noProof/>
            <w:webHidden/>
          </w:rPr>
          <w:instrText xml:space="preserve"> PAGEREF _Toc416431846 \h </w:instrText>
        </w:r>
        <w:r w:rsidR="00373B03">
          <w:rPr>
            <w:noProof/>
            <w:webHidden/>
          </w:rPr>
        </w:r>
        <w:r w:rsidR="00373B03">
          <w:rPr>
            <w:noProof/>
            <w:webHidden/>
          </w:rPr>
          <w:fldChar w:fldCharType="separate"/>
        </w:r>
        <w:r w:rsidR="004A0637">
          <w:rPr>
            <w:noProof/>
            <w:webHidden/>
          </w:rPr>
          <w:t>115</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47" w:history="1">
        <w:r w:rsidR="00373B03" w:rsidRPr="000B1C50">
          <w:rPr>
            <w:rStyle w:val="Hypertextovodkaz"/>
            <w:noProof/>
          </w:rPr>
          <w:t>Tabulka č. 59 -</w:t>
        </w:r>
        <w:r w:rsidR="00373B03">
          <w:rPr>
            <w:rFonts w:asciiTheme="minorHAnsi" w:eastAsiaTheme="minorEastAsia" w:hAnsiTheme="minorHAnsi" w:cstheme="minorBidi"/>
            <w:noProof/>
            <w:sz w:val="22"/>
            <w:szCs w:val="22"/>
          </w:rPr>
          <w:tab/>
        </w:r>
        <w:r w:rsidR="00373B03" w:rsidRPr="000B1C50">
          <w:rPr>
            <w:rStyle w:val="Hypertextovodkaz"/>
            <w:noProof/>
          </w:rPr>
          <w:t>Indikátory výstupu v PO 4</w:t>
        </w:r>
        <w:r w:rsidR="00373B03">
          <w:rPr>
            <w:noProof/>
            <w:webHidden/>
          </w:rPr>
          <w:tab/>
        </w:r>
        <w:r w:rsidR="00373B03">
          <w:rPr>
            <w:noProof/>
            <w:webHidden/>
          </w:rPr>
          <w:fldChar w:fldCharType="begin"/>
        </w:r>
        <w:r w:rsidR="00373B03">
          <w:rPr>
            <w:noProof/>
            <w:webHidden/>
          </w:rPr>
          <w:instrText xml:space="preserve"> PAGEREF _Toc416431847 \h </w:instrText>
        </w:r>
        <w:r w:rsidR="00373B03">
          <w:rPr>
            <w:noProof/>
            <w:webHidden/>
          </w:rPr>
        </w:r>
        <w:r w:rsidR="00373B03">
          <w:rPr>
            <w:noProof/>
            <w:webHidden/>
          </w:rPr>
          <w:fldChar w:fldCharType="separate"/>
        </w:r>
        <w:r w:rsidR="004A0637">
          <w:rPr>
            <w:noProof/>
            <w:webHidden/>
          </w:rPr>
          <w:t>117</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48" w:history="1">
        <w:r w:rsidR="00373B03" w:rsidRPr="000B1C50">
          <w:rPr>
            <w:rStyle w:val="Hypertextovodkaz"/>
            <w:noProof/>
          </w:rPr>
          <w:t>Tabulka č. 60 -</w:t>
        </w:r>
        <w:r w:rsidR="00373B03">
          <w:rPr>
            <w:rFonts w:asciiTheme="minorHAnsi" w:eastAsiaTheme="minorEastAsia" w:hAnsiTheme="minorHAnsi" w:cstheme="minorBidi"/>
            <w:noProof/>
            <w:sz w:val="22"/>
            <w:szCs w:val="22"/>
          </w:rPr>
          <w:tab/>
        </w:r>
        <w:r w:rsidR="00373B03" w:rsidRPr="000B1C50">
          <w:rPr>
            <w:rStyle w:val="Hypertextovodkaz"/>
            <w:noProof/>
          </w:rPr>
          <w:t>Indikátory výsledku v PO 4</w:t>
        </w:r>
        <w:r w:rsidR="00373B03">
          <w:rPr>
            <w:noProof/>
            <w:webHidden/>
          </w:rPr>
          <w:tab/>
        </w:r>
        <w:r w:rsidR="00373B03">
          <w:rPr>
            <w:noProof/>
            <w:webHidden/>
          </w:rPr>
          <w:fldChar w:fldCharType="begin"/>
        </w:r>
        <w:r w:rsidR="00373B03">
          <w:rPr>
            <w:noProof/>
            <w:webHidden/>
          </w:rPr>
          <w:instrText xml:space="preserve"> PAGEREF _Toc416431848 \h </w:instrText>
        </w:r>
        <w:r w:rsidR="00373B03">
          <w:rPr>
            <w:noProof/>
            <w:webHidden/>
          </w:rPr>
        </w:r>
        <w:r w:rsidR="00373B03">
          <w:rPr>
            <w:noProof/>
            <w:webHidden/>
          </w:rPr>
          <w:fldChar w:fldCharType="separate"/>
        </w:r>
        <w:r w:rsidR="004A0637">
          <w:rPr>
            <w:noProof/>
            <w:webHidden/>
          </w:rPr>
          <w:t>117</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49" w:history="1">
        <w:r w:rsidR="00373B03" w:rsidRPr="000B1C50">
          <w:rPr>
            <w:rStyle w:val="Hypertextovodkaz"/>
            <w:noProof/>
          </w:rPr>
          <w:t>Tabulka č. 61 -</w:t>
        </w:r>
        <w:r w:rsidR="00373B03">
          <w:rPr>
            <w:rFonts w:asciiTheme="minorHAnsi" w:eastAsiaTheme="minorEastAsia" w:hAnsiTheme="minorHAnsi" w:cstheme="minorBidi"/>
            <w:noProof/>
            <w:sz w:val="22"/>
            <w:szCs w:val="22"/>
          </w:rPr>
          <w:tab/>
        </w:r>
        <w:r w:rsidR="00373B03" w:rsidRPr="000B1C50">
          <w:rPr>
            <w:rStyle w:val="Hypertextovodkaz"/>
            <w:noProof/>
          </w:rPr>
          <w:t>Finanční stav PO 4 k 31.12.2014 (CZV)</w:t>
        </w:r>
        <w:r w:rsidR="00373B03">
          <w:rPr>
            <w:noProof/>
            <w:webHidden/>
          </w:rPr>
          <w:tab/>
        </w:r>
        <w:r w:rsidR="00373B03">
          <w:rPr>
            <w:noProof/>
            <w:webHidden/>
          </w:rPr>
          <w:fldChar w:fldCharType="begin"/>
        </w:r>
        <w:r w:rsidR="00373B03">
          <w:rPr>
            <w:noProof/>
            <w:webHidden/>
          </w:rPr>
          <w:instrText xml:space="preserve"> PAGEREF _Toc416431849 \h </w:instrText>
        </w:r>
        <w:r w:rsidR="00373B03">
          <w:rPr>
            <w:noProof/>
            <w:webHidden/>
          </w:rPr>
        </w:r>
        <w:r w:rsidR="00373B03">
          <w:rPr>
            <w:noProof/>
            <w:webHidden/>
          </w:rPr>
          <w:fldChar w:fldCharType="separate"/>
        </w:r>
        <w:r w:rsidR="004A0637">
          <w:rPr>
            <w:noProof/>
            <w:webHidden/>
          </w:rPr>
          <w:t>119</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50" w:history="1">
        <w:r w:rsidR="00373B03" w:rsidRPr="000B1C50">
          <w:rPr>
            <w:rStyle w:val="Hypertextovodkaz"/>
            <w:noProof/>
          </w:rPr>
          <w:t>Tabulka č. 62 -</w:t>
        </w:r>
        <w:r w:rsidR="00373B03">
          <w:rPr>
            <w:rFonts w:asciiTheme="minorHAnsi" w:eastAsiaTheme="minorEastAsia" w:hAnsiTheme="minorHAnsi" w:cstheme="minorBidi"/>
            <w:noProof/>
            <w:sz w:val="22"/>
            <w:szCs w:val="22"/>
          </w:rPr>
          <w:tab/>
        </w:r>
        <w:r w:rsidR="00373B03" w:rsidRPr="000B1C50">
          <w:rPr>
            <w:rStyle w:val="Hypertextovodkaz"/>
            <w:noProof/>
          </w:rPr>
          <w:t>Finanční pokrok PO 4 k 31.12.2014 (EU podíl)</w:t>
        </w:r>
        <w:r w:rsidR="00373B03">
          <w:rPr>
            <w:noProof/>
            <w:webHidden/>
          </w:rPr>
          <w:tab/>
        </w:r>
        <w:r w:rsidR="00373B03">
          <w:rPr>
            <w:noProof/>
            <w:webHidden/>
          </w:rPr>
          <w:fldChar w:fldCharType="begin"/>
        </w:r>
        <w:r w:rsidR="00373B03">
          <w:rPr>
            <w:noProof/>
            <w:webHidden/>
          </w:rPr>
          <w:instrText xml:space="preserve"> PAGEREF _Toc416431850 \h </w:instrText>
        </w:r>
        <w:r w:rsidR="00373B03">
          <w:rPr>
            <w:noProof/>
            <w:webHidden/>
          </w:rPr>
        </w:r>
        <w:r w:rsidR="00373B03">
          <w:rPr>
            <w:noProof/>
            <w:webHidden/>
          </w:rPr>
          <w:fldChar w:fldCharType="separate"/>
        </w:r>
        <w:r w:rsidR="004A0637">
          <w:rPr>
            <w:noProof/>
            <w:webHidden/>
          </w:rPr>
          <w:t>120</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51" w:history="1">
        <w:r w:rsidR="00373B03" w:rsidRPr="000B1C50">
          <w:rPr>
            <w:rStyle w:val="Hypertextovodkaz"/>
            <w:noProof/>
          </w:rPr>
          <w:t>Tabulka č. 63 -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4.1</w:t>
        </w:r>
        <w:r w:rsidR="00373B03">
          <w:rPr>
            <w:noProof/>
            <w:webHidden/>
          </w:rPr>
          <w:tab/>
        </w:r>
        <w:r w:rsidR="00373B03">
          <w:rPr>
            <w:noProof/>
            <w:webHidden/>
          </w:rPr>
          <w:fldChar w:fldCharType="begin"/>
        </w:r>
        <w:r w:rsidR="00373B03">
          <w:rPr>
            <w:noProof/>
            <w:webHidden/>
          </w:rPr>
          <w:instrText xml:space="preserve"> PAGEREF _Toc416431851 \h </w:instrText>
        </w:r>
        <w:r w:rsidR="00373B03">
          <w:rPr>
            <w:noProof/>
            <w:webHidden/>
          </w:rPr>
        </w:r>
        <w:r w:rsidR="00373B03">
          <w:rPr>
            <w:noProof/>
            <w:webHidden/>
          </w:rPr>
          <w:fldChar w:fldCharType="separate"/>
        </w:r>
        <w:r w:rsidR="004A0637">
          <w:rPr>
            <w:noProof/>
            <w:webHidden/>
          </w:rPr>
          <w:t>120</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52" w:history="1">
        <w:r w:rsidR="00373B03" w:rsidRPr="000B1C50">
          <w:rPr>
            <w:rStyle w:val="Hypertextovodkaz"/>
            <w:noProof/>
          </w:rPr>
          <w:t>Tabulka č. 64 -</w:t>
        </w:r>
        <w:r w:rsidR="00373B03">
          <w:rPr>
            <w:rFonts w:asciiTheme="minorHAnsi" w:eastAsiaTheme="minorEastAsia" w:hAnsiTheme="minorHAnsi" w:cstheme="minorBidi"/>
            <w:noProof/>
            <w:sz w:val="22"/>
            <w:szCs w:val="22"/>
          </w:rPr>
          <w:tab/>
        </w:r>
        <w:r w:rsidR="00373B03" w:rsidRPr="000B1C50">
          <w:rPr>
            <w:rStyle w:val="Hypertextovodkaz"/>
            <w:noProof/>
          </w:rPr>
          <w:t>Rovné příležitosti v prioritní ose 4</w:t>
        </w:r>
        <w:r w:rsidR="00373B03">
          <w:rPr>
            <w:noProof/>
            <w:webHidden/>
          </w:rPr>
          <w:tab/>
        </w:r>
        <w:r w:rsidR="00373B03">
          <w:rPr>
            <w:noProof/>
            <w:webHidden/>
          </w:rPr>
          <w:fldChar w:fldCharType="begin"/>
        </w:r>
        <w:r w:rsidR="00373B03">
          <w:rPr>
            <w:noProof/>
            <w:webHidden/>
          </w:rPr>
          <w:instrText xml:space="preserve"> PAGEREF _Toc416431852 \h </w:instrText>
        </w:r>
        <w:r w:rsidR="00373B03">
          <w:rPr>
            <w:noProof/>
            <w:webHidden/>
          </w:rPr>
        </w:r>
        <w:r w:rsidR="00373B03">
          <w:rPr>
            <w:noProof/>
            <w:webHidden/>
          </w:rPr>
          <w:fldChar w:fldCharType="separate"/>
        </w:r>
        <w:r w:rsidR="004A0637">
          <w:rPr>
            <w:noProof/>
            <w:webHidden/>
          </w:rPr>
          <w:t>121</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53" w:history="1">
        <w:r w:rsidR="00373B03" w:rsidRPr="000B1C50">
          <w:rPr>
            <w:rStyle w:val="Hypertextovodkaz"/>
            <w:noProof/>
          </w:rPr>
          <w:t>Tabulka č. 65 -</w:t>
        </w:r>
        <w:r w:rsidR="00373B03">
          <w:rPr>
            <w:rFonts w:asciiTheme="minorHAnsi" w:eastAsiaTheme="minorEastAsia" w:hAnsiTheme="minorHAnsi" w:cstheme="minorBidi"/>
            <w:noProof/>
            <w:sz w:val="22"/>
            <w:szCs w:val="22"/>
          </w:rPr>
          <w:tab/>
        </w:r>
        <w:r w:rsidR="00373B03" w:rsidRPr="000B1C50">
          <w:rPr>
            <w:rStyle w:val="Hypertextovodkaz"/>
            <w:noProof/>
          </w:rPr>
          <w:t>Udržitelný rozvoj v prioritní ose 4</w:t>
        </w:r>
        <w:r w:rsidR="00373B03">
          <w:rPr>
            <w:noProof/>
            <w:webHidden/>
          </w:rPr>
          <w:tab/>
        </w:r>
        <w:r w:rsidR="00373B03">
          <w:rPr>
            <w:noProof/>
            <w:webHidden/>
          </w:rPr>
          <w:fldChar w:fldCharType="begin"/>
        </w:r>
        <w:r w:rsidR="00373B03">
          <w:rPr>
            <w:noProof/>
            <w:webHidden/>
          </w:rPr>
          <w:instrText xml:space="preserve"> PAGEREF _Toc416431853 \h </w:instrText>
        </w:r>
        <w:r w:rsidR="00373B03">
          <w:rPr>
            <w:noProof/>
            <w:webHidden/>
          </w:rPr>
        </w:r>
        <w:r w:rsidR="00373B03">
          <w:rPr>
            <w:noProof/>
            <w:webHidden/>
          </w:rPr>
          <w:fldChar w:fldCharType="separate"/>
        </w:r>
        <w:r w:rsidR="004A0637">
          <w:rPr>
            <w:noProof/>
            <w:webHidden/>
          </w:rPr>
          <w:t>121</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54" w:history="1">
        <w:r w:rsidR="00373B03" w:rsidRPr="000B1C50">
          <w:rPr>
            <w:rStyle w:val="Hypertextovodkaz"/>
            <w:noProof/>
          </w:rPr>
          <w:t>Tabulka č. 66 -</w:t>
        </w:r>
        <w:r w:rsidR="00373B03">
          <w:rPr>
            <w:rFonts w:asciiTheme="minorHAnsi" w:eastAsiaTheme="minorEastAsia" w:hAnsiTheme="minorHAnsi" w:cstheme="minorBidi"/>
            <w:noProof/>
            <w:sz w:val="22"/>
            <w:szCs w:val="22"/>
          </w:rPr>
          <w:tab/>
        </w:r>
        <w:r w:rsidR="00373B03" w:rsidRPr="000B1C50">
          <w:rPr>
            <w:rStyle w:val="Hypertextovodkaz"/>
            <w:noProof/>
          </w:rPr>
          <w:t>Přehled vyhlášených a probíhajících výzev v PO 5 v roce 2014</w:t>
        </w:r>
        <w:r w:rsidR="00373B03">
          <w:rPr>
            <w:noProof/>
            <w:webHidden/>
          </w:rPr>
          <w:tab/>
        </w:r>
        <w:r w:rsidR="00373B03">
          <w:rPr>
            <w:noProof/>
            <w:webHidden/>
          </w:rPr>
          <w:fldChar w:fldCharType="begin"/>
        </w:r>
        <w:r w:rsidR="00373B03">
          <w:rPr>
            <w:noProof/>
            <w:webHidden/>
          </w:rPr>
          <w:instrText xml:space="preserve"> PAGEREF _Toc416431854 \h </w:instrText>
        </w:r>
        <w:r w:rsidR="00373B03">
          <w:rPr>
            <w:noProof/>
            <w:webHidden/>
          </w:rPr>
        </w:r>
        <w:r w:rsidR="00373B03">
          <w:rPr>
            <w:noProof/>
            <w:webHidden/>
          </w:rPr>
          <w:fldChar w:fldCharType="separate"/>
        </w:r>
        <w:r w:rsidR="004A0637">
          <w:rPr>
            <w:noProof/>
            <w:webHidden/>
          </w:rPr>
          <w:t>124</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55" w:history="1">
        <w:r w:rsidR="00373B03" w:rsidRPr="000B1C50">
          <w:rPr>
            <w:rStyle w:val="Hypertextovodkaz"/>
            <w:noProof/>
          </w:rPr>
          <w:t>Tabulka č. 67 -</w:t>
        </w:r>
        <w:r w:rsidR="00373B03">
          <w:rPr>
            <w:rFonts w:asciiTheme="minorHAnsi" w:eastAsiaTheme="minorEastAsia" w:hAnsiTheme="minorHAnsi" w:cstheme="minorBidi"/>
            <w:noProof/>
            <w:sz w:val="22"/>
            <w:szCs w:val="22"/>
          </w:rPr>
          <w:tab/>
        </w:r>
        <w:r w:rsidR="00373B03" w:rsidRPr="000B1C50">
          <w:rPr>
            <w:rStyle w:val="Hypertextovodkaz"/>
            <w:noProof/>
          </w:rPr>
          <w:t>Indikátory výstupu v PO 5</w:t>
        </w:r>
        <w:r w:rsidR="00373B03">
          <w:rPr>
            <w:noProof/>
            <w:webHidden/>
          </w:rPr>
          <w:tab/>
        </w:r>
        <w:r w:rsidR="00373B03">
          <w:rPr>
            <w:noProof/>
            <w:webHidden/>
          </w:rPr>
          <w:fldChar w:fldCharType="begin"/>
        </w:r>
        <w:r w:rsidR="00373B03">
          <w:rPr>
            <w:noProof/>
            <w:webHidden/>
          </w:rPr>
          <w:instrText xml:space="preserve"> PAGEREF _Toc416431855 \h </w:instrText>
        </w:r>
        <w:r w:rsidR="00373B03">
          <w:rPr>
            <w:noProof/>
            <w:webHidden/>
          </w:rPr>
        </w:r>
        <w:r w:rsidR="00373B03">
          <w:rPr>
            <w:noProof/>
            <w:webHidden/>
          </w:rPr>
          <w:fldChar w:fldCharType="separate"/>
        </w:r>
        <w:r w:rsidR="004A0637">
          <w:rPr>
            <w:noProof/>
            <w:webHidden/>
          </w:rPr>
          <w:t>126</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56" w:history="1">
        <w:r w:rsidR="00373B03" w:rsidRPr="000B1C50">
          <w:rPr>
            <w:rStyle w:val="Hypertextovodkaz"/>
            <w:noProof/>
          </w:rPr>
          <w:t>Tabulka č. 68 -</w:t>
        </w:r>
        <w:r w:rsidR="00373B03">
          <w:rPr>
            <w:rFonts w:asciiTheme="minorHAnsi" w:eastAsiaTheme="minorEastAsia" w:hAnsiTheme="minorHAnsi" w:cstheme="minorBidi"/>
            <w:noProof/>
            <w:sz w:val="22"/>
            <w:szCs w:val="22"/>
          </w:rPr>
          <w:tab/>
        </w:r>
        <w:r w:rsidR="00373B03" w:rsidRPr="000B1C50">
          <w:rPr>
            <w:rStyle w:val="Hypertextovodkaz"/>
            <w:noProof/>
          </w:rPr>
          <w:t>Indikátory výsledku v PO 5</w:t>
        </w:r>
        <w:r w:rsidR="00373B03">
          <w:rPr>
            <w:noProof/>
            <w:webHidden/>
          </w:rPr>
          <w:tab/>
        </w:r>
        <w:r w:rsidR="00373B03">
          <w:rPr>
            <w:noProof/>
            <w:webHidden/>
          </w:rPr>
          <w:fldChar w:fldCharType="begin"/>
        </w:r>
        <w:r w:rsidR="00373B03">
          <w:rPr>
            <w:noProof/>
            <w:webHidden/>
          </w:rPr>
          <w:instrText xml:space="preserve"> PAGEREF _Toc416431856 \h </w:instrText>
        </w:r>
        <w:r w:rsidR="00373B03">
          <w:rPr>
            <w:noProof/>
            <w:webHidden/>
          </w:rPr>
        </w:r>
        <w:r w:rsidR="00373B03">
          <w:rPr>
            <w:noProof/>
            <w:webHidden/>
          </w:rPr>
          <w:fldChar w:fldCharType="separate"/>
        </w:r>
        <w:r w:rsidR="004A0637">
          <w:rPr>
            <w:noProof/>
            <w:webHidden/>
          </w:rPr>
          <w:t>127</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57" w:history="1">
        <w:r w:rsidR="00373B03" w:rsidRPr="000B1C50">
          <w:rPr>
            <w:rStyle w:val="Hypertextovodkaz"/>
            <w:noProof/>
          </w:rPr>
          <w:t>Tabulka č. 69 -</w:t>
        </w:r>
        <w:r w:rsidR="00373B03">
          <w:rPr>
            <w:rFonts w:asciiTheme="minorHAnsi" w:eastAsiaTheme="minorEastAsia" w:hAnsiTheme="minorHAnsi" w:cstheme="minorBidi"/>
            <w:noProof/>
            <w:sz w:val="22"/>
            <w:szCs w:val="22"/>
          </w:rPr>
          <w:tab/>
        </w:r>
        <w:r w:rsidR="00373B03" w:rsidRPr="000B1C50">
          <w:rPr>
            <w:rStyle w:val="Hypertextovodkaz"/>
            <w:noProof/>
          </w:rPr>
          <w:t>Finanční stav PO 5 k 31.12.2014 (CZV)</w:t>
        </w:r>
        <w:r w:rsidR="00373B03">
          <w:rPr>
            <w:noProof/>
            <w:webHidden/>
          </w:rPr>
          <w:tab/>
        </w:r>
        <w:r w:rsidR="00373B03">
          <w:rPr>
            <w:noProof/>
            <w:webHidden/>
          </w:rPr>
          <w:fldChar w:fldCharType="begin"/>
        </w:r>
        <w:r w:rsidR="00373B03">
          <w:rPr>
            <w:noProof/>
            <w:webHidden/>
          </w:rPr>
          <w:instrText xml:space="preserve"> PAGEREF _Toc416431857 \h </w:instrText>
        </w:r>
        <w:r w:rsidR="00373B03">
          <w:rPr>
            <w:noProof/>
            <w:webHidden/>
          </w:rPr>
        </w:r>
        <w:r w:rsidR="00373B03">
          <w:rPr>
            <w:noProof/>
            <w:webHidden/>
          </w:rPr>
          <w:fldChar w:fldCharType="separate"/>
        </w:r>
        <w:r w:rsidR="004A0637">
          <w:rPr>
            <w:noProof/>
            <w:webHidden/>
          </w:rPr>
          <w:t>129</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58" w:history="1">
        <w:r w:rsidR="00373B03" w:rsidRPr="000B1C50">
          <w:rPr>
            <w:rStyle w:val="Hypertextovodkaz"/>
            <w:noProof/>
          </w:rPr>
          <w:t>Tabulka č. 70 -</w:t>
        </w:r>
        <w:r w:rsidR="00373B03">
          <w:rPr>
            <w:rFonts w:asciiTheme="minorHAnsi" w:eastAsiaTheme="minorEastAsia" w:hAnsiTheme="minorHAnsi" w:cstheme="minorBidi"/>
            <w:noProof/>
            <w:sz w:val="22"/>
            <w:szCs w:val="22"/>
          </w:rPr>
          <w:tab/>
        </w:r>
        <w:r w:rsidR="00373B03" w:rsidRPr="000B1C50">
          <w:rPr>
            <w:rStyle w:val="Hypertextovodkaz"/>
            <w:noProof/>
          </w:rPr>
          <w:t>Finanční pokrok PO 5 k 31.12.2014 (podíl EU)</w:t>
        </w:r>
        <w:r w:rsidR="00373B03">
          <w:rPr>
            <w:noProof/>
            <w:webHidden/>
          </w:rPr>
          <w:tab/>
        </w:r>
        <w:r w:rsidR="00373B03">
          <w:rPr>
            <w:noProof/>
            <w:webHidden/>
          </w:rPr>
          <w:fldChar w:fldCharType="begin"/>
        </w:r>
        <w:r w:rsidR="00373B03">
          <w:rPr>
            <w:noProof/>
            <w:webHidden/>
          </w:rPr>
          <w:instrText xml:space="preserve"> PAGEREF _Toc416431858 \h </w:instrText>
        </w:r>
        <w:r w:rsidR="00373B03">
          <w:rPr>
            <w:noProof/>
            <w:webHidden/>
          </w:rPr>
        </w:r>
        <w:r w:rsidR="00373B03">
          <w:rPr>
            <w:noProof/>
            <w:webHidden/>
          </w:rPr>
          <w:fldChar w:fldCharType="separate"/>
        </w:r>
        <w:r w:rsidR="004A0637">
          <w:rPr>
            <w:noProof/>
            <w:webHidden/>
          </w:rPr>
          <w:t>129</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59" w:history="1">
        <w:r w:rsidR="00373B03" w:rsidRPr="000B1C50">
          <w:rPr>
            <w:rStyle w:val="Hypertextovodkaz"/>
            <w:noProof/>
          </w:rPr>
          <w:t>Tabulka č. 71 -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5.1</w:t>
        </w:r>
        <w:r w:rsidR="00373B03">
          <w:rPr>
            <w:noProof/>
            <w:webHidden/>
          </w:rPr>
          <w:tab/>
        </w:r>
        <w:r w:rsidR="00373B03">
          <w:rPr>
            <w:noProof/>
            <w:webHidden/>
          </w:rPr>
          <w:fldChar w:fldCharType="begin"/>
        </w:r>
        <w:r w:rsidR="00373B03">
          <w:rPr>
            <w:noProof/>
            <w:webHidden/>
          </w:rPr>
          <w:instrText xml:space="preserve"> PAGEREF _Toc416431859 \h </w:instrText>
        </w:r>
        <w:r w:rsidR="00373B03">
          <w:rPr>
            <w:noProof/>
            <w:webHidden/>
          </w:rPr>
        </w:r>
        <w:r w:rsidR="00373B03">
          <w:rPr>
            <w:noProof/>
            <w:webHidden/>
          </w:rPr>
          <w:fldChar w:fldCharType="separate"/>
        </w:r>
        <w:r w:rsidR="004A0637">
          <w:rPr>
            <w:noProof/>
            <w:webHidden/>
          </w:rPr>
          <w:t>130</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60" w:history="1">
        <w:r w:rsidR="00373B03" w:rsidRPr="000B1C50">
          <w:rPr>
            <w:rStyle w:val="Hypertextovodkaz"/>
            <w:noProof/>
          </w:rPr>
          <w:t>Tabulka č. 72 -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5.2</w:t>
        </w:r>
        <w:r w:rsidR="00373B03">
          <w:rPr>
            <w:noProof/>
            <w:webHidden/>
          </w:rPr>
          <w:tab/>
        </w:r>
        <w:r w:rsidR="00373B03">
          <w:rPr>
            <w:noProof/>
            <w:webHidden/>
          </w:rPr>
          <w:fldChar w:fldCharType="begin"/>
        </w:r>
        <w:r w:rsidR="00373B03">
          <w:rPr>
            <w:noProof/>
            <w:webHidden/>
          </w:rPr>
          <w:instrText xml:space="preserve"> PAGEREF _Toc416431860 \h </w:instrText>
        </w:r>
        <w:r w:rsidR="00373B03">
          <w:rPr>
            <w:noProof/>
            <w:webHidden/>
          </w:rPr>
        </w:r>
        <w:r w:rsidR="00373B03">
          <w:rPr>
            <w:noProof/>
            <w:webHidden/>
          </w:rPr>
          <w:fldChar w:fldCharType="separate"/>
        </w:r>
        <w:r w:rsidR="004A0637">
          <w:rPr>
            <w:noProof/>
            <w:webHidden/>
          </w:rPr>
          <w:t>130</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61" w:history="1">
        <w:r w:rsidR="00373B03" w:rsidRPr="000B1C50">
          <w:rPr>
            <w:rStyle w:val="Hypertextovodkaz"/>
            <w:noProof/>
          </w:rPr>
          <w:t>Tabulka č. 73 -</w:t>
        </w:r>
        <w:r w:rsidR="00373B03">
          <w:rPr>
            <w:rFonts w:asciiTheme="minorHAnsi" w:eastAsiaTheme="minorEastAsia" w:hAnsiTheme="minorHAnsi" w:cstheme="minorBidi"/>
            <w:noProof/>
            <w:sz w:val="22"/>
            <w:szCs w:val="22"/>
          </w:rPr>
          <w:tab/>
        </w:r>
        <w:r w:rsidR="00373B03" w:rsidRPr="000B1C50">
          <w:rPr>
            <w:rStyle w:val="Hypertextovodkaz"/>
            <w:noProof/>
          </w:rPr>
          <w:t>Tabulka vyřazených projektů v oblasti intervence 5.3</w:t>
        </w:r>
        <w:r w:rsidR="00373B03">
          <w:rPr>
            <w:noProof/>
            <w:webHidden/>
          </w:rPr>
          <w:tab/>
        </w:r>
        <w:r w:rsidR="00373B03">
          <w:rPr>
            <w:noProof/>
            <w:webHidden/>
          </w:rPr>
          <w:fldChar w:fldCharType="begin"/>
        </w:r>
        <w:r w:rsidR="00373B03">
          <w:rPr>
            <w:noProof/>
            <w:webHidden/>
          </w:rPr>
          <w:instrText xml:space="preserve"> PAGEREF _Toc416431861 \h </w:instrText>
        </w:r>
        <w:r w:rsidR="00373B03">
          <w:rPr>
            <w:noProof/>
            <w:webHidden/>
          </w:rPr>
        </w:r>
        <w:r w:rsidR="00373B03">
          <w:rPr>
            <w:noProof/>
            <w:webHidden/>
          </w:rPr>
          <w:fldChar w:fldCharType="separate"/>
        </w:r>
        <w:r w:rsidR="004A0637">
          <w:rPr>
            <w:noProof/>
            <w:webHidden/>
          </w:rPr>
          <w:t>131</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62" w:history="1">
        <w:r w:rsidR="00373B03" w:rsidRPr="000B1C50">
          <w:rPr>
            <w:rStyle w:val="Hypertextovodkaz"/>
            <w:noProof/>
          </w:rPr>
          <w:t>Tabulka č. 74 -</w:t>
        </w:r>
        <w:r w:rsidR="00373B03">
          <w:rPr>
            <w:rFonts w:asciiTheme="minorHAnsi" w:eastAsiaTheme="minorEastAsia" w:hAnsiTheme="minorHAnsi" w:cstheme="minorBidi"/>
            <w:noProof/>
            <w:sz w:val="22"/>
            <w:szCs w:val="22"/>
          </w:rPr>
          <w:tab/>
        </w:r>
        <w:r w:rsidR="00373B03" w:rsidRPr="000B1C50">
          <w:rPr>
            <w:rStyle w:val="Hypertextovodkaz"/>
            <w:noProof/>
          </w:rPr>
          <w:t>Rovné příležitosti v prioritní ose 5</w:t>
        </w:r>
        <w:r w:rsidR="00373B03">
          <w:rPr>
            <w:noProof/>
            <w:webHidden/>
          </w:rPr>
          <w:tab/>
        </w:r>
        <w:r w:rsidR="00373B03">
          <w:rPr>
            <w:noProof/>
            <w:webHidden/>
          </w:rPr>
          <w:fldChar w:fldCharType="begin"/>
        </w:r>
        <w:r w:rsidR="00373B03">
          <w:rPr>
            <w:noProof/>
            <w:webHidden/>
          </w:rPr>
          <w:instrText xml:space="preserve"> PAGEREF _Toc416431862 \h </w:instrText>
        </w:r>
        <w:r w:rsidR="00373B03">
          <w:rPr>
            <w:noProof/>
            <w:webHidden/>
          </w:rPr>
        </w:r>
        <w:r w:rsidR="00373B03">
          <w:rPr>
            <w:noProof/>
            <w:webHidden/>
          </w:rPr>
          <w:fldChar w:fldCharType="separate"/>
        </w:r>
        <w:r w:rsidR="004A0637">
          <w:rPr>
            <w:noProof/>
            <w:webHidden/>
          </w:rPr>
          <w:t>131</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63" w:history="1">
        <w:r w:rsidR="00373B03" w:rsidRPr="000B1C50">
          <w:rPr>
            <w:rStyle w:val="Hypertextovodkaz"/>
            <w:noProof/>
          </w:rPr>
          <w:t>Tabulka č. 75 -</w:t>
        </w:r>
        <w:r w:rsidR="00373B03">
          <w:rPr>
            <w:rFonts w:asciiTheme="minorHAnsi" w:eastAsiaTheme="minorEastAsia" w:hAnsiTheme="minorHAnsi" w:cstheme="minorBidi"/>
            <w:noProof/>
            <w:sz w:val="22"/>
            <w:szCs w:val="22"/>
          </w:rPr>
          <w:tab/>
        </w:r>
        <w:r w:rsidR="00373B03" w:rsidRPr="000B1C50">
          <w:rPr>
            <w:rStyle w:val="Hypertextovodkaz"/>
            <w:noProof/>
          </w:rPr>
          <w:t>Udržitelný rozvoj v prioritní ose 5</w:t>
        </w:r>
        <w:r w:rsidR="00373B03">
          <w:rPr>
            <w:noProof/>
            <w:webHidden/>
          </w:rPr>
          <w:tab/>
        </w:r>
        <w:r w:rsidR="00373B03">
          <w:rPr>
            <w:noProof/>
            <w:webHidden/>
          </w:rPr>
          <w:fldChar w:fldCharType="begin"/>
        </w:r>
        <w:r w:rsidR="00373B03">
          <w:rPr>
            <w:noProof/>
            <w:webHidden/>
          </w:rPr>
          <w:instrText xml:space="preserve"> PAGEREF _Toc416431863 \h </w:instrText>
        </w:r>
        <w:r w:rsidR="00373B03">
          <w:rPr>
            <w:noProof/>
            <w:webHidden/>
          </w:rPr>
        </w:r>
        <w:r w:rsidR="00373B03">
          <w:rPr>
            <w:noProof/>
            <w:webHidden/>
          </w:rPr>
          <w:fldChar w:fldCharType="separate"/>
        </w:r>
        <w:r w:rsidR="004A0637">
          <w:rPr>
            <w:noProof/>
            <w:webHidden/>
          </w:rPr>
          <w:t>132</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64" w:history="1">
        <w:r w:rsidR="00373B03" w:rsidRPr="000B1C50">
          <w:rPr>
            <w:rStyle w:val="Hypertextovodkaz"/>
            <w:noProof/>
          </w:rPr>
          <w:t>Tabulka č. 76 -</w:t>
        </w:r>
        <w:r w:rsidR="00373B03">
          <w:rPr>
            <w:rFonts w:asciiTheme="minorHAnsi" w:eastAsiaTheme="minorEastAsia" w:hAnsiTheme="minorHAnsi" w:cstheme="minorBidi"/>
            <w:noProof/>
            <w:sz w:val="22"/>
            <w:szCs w:val="22"/>
          </w:rPr>
          <w:tab/>
        </w:r>
        <w:r w:rsidR="00373B03" w:rsidRPr="000B1C50">
          <w:rPr>
            <w:rStyle w:val="Hypertextovodkaz"/>
            <w:noProof/>
          </w:rPr>
          <w:t>Přehled vyhlášených a probíhajících výzev v PO 6 v roce 2014</w:t>
        </w:r>
        <w:r w:rsidR="00373B03">
          <w:rPr>
            <w:noProof/>
            <w:webHidden/>
          </w:rPr>
          <w:tab/>
        </w:r>
        <w:r w:rsidR="00373B03">
          <w:rPr>
            <w:noProof/>
            <w:webHidden/>
          </w:rPr>
          <w:fldChar w:fldCharType="begin"/>
        </w:r>
        <w:r w:rsidR="00373B03">
          <w:rPr>
            <w:noProof/>
            <w:webHidden/>
          </w:rPr>
          <w:instrText xml:space="preserve"> PAGEREF _Toc416431864 \h </w:instrText>
        </w:r>
        <w:r w:rsidR="00373B03">
          <w:rPr>
            <w:noProof/>
            <w:webHidden/>
          </w:rPr>
        </w:r>
        <w:r w:rsidR="00373B03">
          <w:rPr>
            <w:noProof/>
            <w:webHidden/>
          </w:rPr>
          <w:fldChar w:fldCharType="separate"/>
        </w:r>
        <w:r w:rsidR="004A0637">
          <w:rPr>
            <w:noProof/>
            <w:webHidden/>
          </w:rPr>
          <w:t>135</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65" w:history="1">
        <w:r w:rsidR="00373B03" w:rsidRPr="000B1C50">
          <w:rPr>
            <w:rStyle w:val="Hypertextovodkaz"/>
            <w:noProof/>
          </w:rPr>
          <w:t>Tabulka č. 77 -</w:t>
        </w:r>
        <w:r w:rsidR="00373B03">
          <w:rPr>
            <w:rFonts w:asciiTheme="minorHAnsi" w:eastAsiaTheme="minorEastAsia" w:hAnsiTheme="minorHAnsi" w:cstheme="minorBidi"/>
            <w:noProof/>
            <w:sz w:val="22"/>
            <w:szCs w:val="22"/>
          </w:rPr>
          <w:tab/>
        </w:r>
        <w:r w:rsidR="00373B03" w:rsidRPr="000B1C50">
          <w:rPr>
            <w:rStyle w:val="Hypertextovodkaz"/>
            <w:noProof/>
          </w:rPr>
          <w:t>Indikátory výstupu v PO 6</w:t>
        </w:r>
        <w:r w:rsidR="00373B03">
          <w:rPr>
            <w:noProof/>
            <w:webHidden/>
          </w:rPr>
          <w:tab/>
        </w:r>
        <w:r w:rsidR="00373B03">
          <w:rPr>
            <w:noProof/>
            <w:webHidden/>
          </w:rPr>
          <w:fldChar w:fldCharType="begin"/>
        </w:r>
        <w:r w:rsidR="00373B03">
          <w:rPr>
            <w:noProof/>
            <w:webHidden/>
          </w:rPr>
          <w:instrText xml:space="preserve"> PAGEREF _Toc416431865 \h </w:instrText>
        </w:r>
        <w:r w:rsidR="00373B03">
          <w:rPr>
            <w:noProof/>
            <w:webHidden/>
          </w:rPr>
        </w:r>
        <w:r w:rsidR="00373B03">
          <w:rPr>
            <w:noProof/>
            <w:webHidden/>
          </w:rPr>
          <w:fldChar w:fldCharType="separate"/>
        </w:r>
        <w:r w:rsidR="004A0637">
          <w:rPr>
            <w:noProof/>
            <w:webHidden/>
          </w:rPr>
          <w:t>136</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66" w:history="1">
        <w:r w:rsidR="00373B03" w:rsidRPr="000B1C50">
          <w:rPr>
            <w:rStyle w:val="Hypertextovodkaz"/>
            <w:noProof/>
          </w:rPr>
          <w:t>Tabulka č. 78 -</w:t>
        </w:r>
        <w:r w:rsidR="00373B03">
          <w:rPr>
            <w:rFonts w:asciiTheme="minorHAnsi" w:eastAsiaTheme="minorEastAsia" w:hAnsiTheme="minorHAnsi" w:cstheme="minorBidi"/>
            <w:noProof/>
            <w:sz w:val="22"/>
            <w:szCs w:val="22"/>
          </w:rPr>
          <w:tab/>
        </w:r>
        <w:r w:rsidR="00373B03" w:rsidRPr="000B1C50">
          <w:rPr>
            <w:rStyle w:val="Hypertextovodkaz"/>
            <w:noProof/>
          </w:rPr>
          <w:t>Indikátory výsledku v PO 6</w:t>
        </w:r>
        <w:r w:rsidR="00373B03">
          <w:rPr>
            <w:noProof/>
            <w:webHidden/>
          </w:rPr>
          <w:tab/>
        </w:r>
        <w:r w:rsidR="00373B03">
          <w:rPr>
            <w:noProof/>
            <w:webHidden/>
          </w:rPr>
          <w:fldChar w:fldCharType="begin"/>
        </w:r>
        <w:r w:rsidR="00373B03">
          <w:rPr>
            <w:noProof/>
            <w:webHidden/>
          </w:rPr>
          <w:instrText xml:space="preserve"> PAGEREF _Toc416431866 \h </w:instrText>
        </w:r>
        <w:r w:rsidR="00373B03">
          <w:rPr>
            <w:noProof/>
            <w:webHidden/>
          </w:rPr>
        </w:r>
        <w:r w:rsidR="00373B03">
          <w:rPr>
            <w:noProof/>
            <w:webHidden/>
          </w:rPr>
          <w:fldChar w:fldCharType="separate"/>
        </w:r>
        <w:r w:rsidR="004A0637">
          <w:rPr>
            <w:noProof/>
            <w:webHidden/>
          </w:rPr>
          <w:t>137</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67" w:history="1">
        <w:r w:rsidR="00373B03" w:rsidRPr="000B1C50">
          <w:rPr>
            <w:rStyle w:val="Hypertextovodkaz"/>
            <w:noProof/>
          </w:rPr>
          <w:t>Tabulka č. 79 -</w:t>
        </w:r>
        <w:r w:rsidR="00373B03">
          <w:rPr>
            <w:rFonts w:asciiTheme="minorHAnsi" w:eastAsiaTheme="minorEastAsia" w:hAnsiTheme="minorHAnsi" w:cstheme="minorBidi"/>
            <w:noProof/>
            <w:sz w:val="22"/>
            <w:szCs w:val="22"/>
          </w:rPr>
          <w:tab/>
        </w:r>
        <w:r w:rsidR="00373B03" w:rsidRPr="000B1C50">
          <w:rPr>
            <w:rStyle w:val="Hypertextovodkaz"/>
            <w:noProof/>
          </w:rPr>
          <w:t>Finanční stav PO 6 k 31.12.2014</w:t>
        </w:r>
        <w:r w:rsidR="00373B03">
          <w:rPr>
            <w:noProof/>
            <w:webHidden/>
          </w:rPr>
          <w:tab/>
        </w:r>
        <w:r w:rsidR="00373B03">
          <w:rPr>
            <w:noProof/>
            <w:webHidden/>
          </w:rPr>
          <w:fldChar w:fldCharType="begin"/>
        </w:r>
        <w:r w:rsidR="00373B03">
          <w:rPr>
            <w:noProof/>
            <w:webHidden/>
          </w:rPr>
          <w:instrText xml:space="preserve"> PAGEREF _Toc416431867 \h </w:instrText>
        </w:r>
        <w:r w:rsidR="00373B03">
          <w:rPr>
            <w:noProof/>
            <w:webHidden/>
          </w:rPr>
        </w:r>
        <w:r w:rsidR="00373B03">
          <w:rPr>
            <w:noProof/>
            <w:webHidden/>
          </w:rPr>
          <w:fldChar w:fldCharType="separate"/>
        </w:r>
        <w:r w:rsidR="004A0637">
          <w:rPr>
            <w:noProof/>
            <w:webHidden/>
          </w:rPr>
          <w:t>138</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68" w:history="1">
        <w:r w:rsidR="00373B03" w:rsidRPr="000B1C50">
          <w:rPr>
            <w:rStyle w:val="Hypertextovodkaz"/>
            <w:noProof/>
          </w:rPr>
          <w:t>Tabulka č. 80 -</w:t>
        </w:r>
        <w:r w:rsidR="00373B03">
          <w:rPr>
            <w:rFonts w:asciiTheme="minorHAnsi" w:eastAsiaTheme="minorEastAsia" w:hAnsiTheme="minorHAnsi" w:cstheme="minorBidi"/>
            <w:noProof/>
            <w:sz w:val="22"/>
            <w:szCs w:val="22"/>
          </w:rPr>
          <w:tab/>
        </w:r>
        <w:r w:rsidR="00373B03" w:rsidRPr="000B1C50">
          <w:rPr>
            <w:rStyle w:val="Hypertextovodkaz"/>
            <w:noProof/>
          </w:rPr>
          <w:t>Finanční pokrok PO 6 k 31.12.2014</w:t>
        </w:r>
        <w:r w:rsidR="00373B03">
          <w:rPr>
            <w:noProof/>
            <w:webHidden/>
          </w:rPr>
          <w:tab/>
        </w:r>
        <w:r w:rsidR="00373B03">
          <w:rPr>
            <w:noProof/>
            <w:webHidden/>
          </w:rPr>
          <w:fldChar w:fldCharType="begin"/>
        </w:r>
        <w:r w:rsidR="00373B03">
          <w:rPr>
            <w:noProof/>
            <w:webHidden/>
          </w:rPr>
          <w:instrText xml:space="preserve"> PAGEREF _Toc416431868 \h </w:instrText>
        </w:r>
        <w:r w:rsidR="00373B03">
          <w:rPr>
            <w:noProof/>
            <w:webHidden/>
          </w:rPr>
        </w:r>
        <w:r w:rsidR="00373B03">
          <w:rPr>
            <w:noProof/>
            <w:webHidden/>
          </w:rPr>
          <w:fldChar w:fldCharType="separate"/>
        </w:r>
        <w:r w:rsidR="004A0637">
          <w:rPr>
            <w:noProof/>
            <w:webHidden/>
          </w:rPr>
          <w:t>138</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69" w:history="1">
        <w:r w:rsidR="00373B03" w:rsidRPr="000B1C50">
          <w:rPr>
            <w:rStyle w:val="Hypertextovodkaz"/>
            <w:noProof/>
          </w:rPr>
          <w:t>Tabulka č. 81 -</w:t>
        </w:r>
        <w:r w:rsidR="00373B03">
          <w:rPr>
            <w:rFonts w:asciiTheme="minorHAnsi" w:eastAsiaTheme="minorEastAsia" w:hAnsiTheme="minorHAnsi" w:cstheme="minorBidi"/>
            <w:noProof/>
            <w:sz w:val="22"/>
            <w:szCs w:val="22"/>
          </w:rPr>
          <w:tab/>
        </w:r>
        <w:r w:rsidR="00373B03" w:rsidRPr="000B1C50">
          <w:rPr>
            <w:rStyle w:val="Hypertextovodkaz"/>
            <w:noProof/>
          </w:rPr>
          <w:t>Tabulka vyřazování projektů v oblasti intervence 6.1</w:t>
        </w:r>
        <w:r w:rsidR="00373B03">
          <w:rPr>
            <w:noProof/>
            <w:webHidden/>
          </w:rPr>
          <w:tab/>
        </w:r>
        <w:r w:rsidR="00373B03">
          <w:rPr>
            <w:noProof/>
            <w:webHidden/>
          </w:rPr>
          <w:fldChar w:fldCharType="begin"/>
        </w:r>
        <w:r w:rsidR="00373B03">
          <w:rPr>
            <w:noProof/>
            <w:webHidden/>
          </w:rPr>
          <w:instrText xml:space="preserve"> PAGEREF _Toc416431869 \h </w:instrText>
        </w:r>
        <w:r w:rsidR="00373B03">
          <w:rPr>
            <w:noProof/>
            <w:webHidden/>
          </w:rPr>
        </w:r>
        <w:r w:rsidR="00373B03">
          <w:rPr>
            <w:noProof/>
            <w:webHidden/>
          </w:rPr>
          <w:fldChar w:fldCharType="separate"/>
        </w:r>
        <w:r w:rsidR="004A0637">
          <w:rPr>
            <w:noProof/>
            <w:webHidden/>
          </w:rPr>
          <w:t>139</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70" w:history="1">
        <w:r w:rsidR="00373B03" w:rsidRPr="000B1C50">
          <w:rPr>
            <w:rStyle w:val="Hypertextovodkaz"/>
            <w:noProof/>
          </w:rPr>
          <w:t>Tabulka č. 82 -</w:t>
        </w:r>
        <w:r w:rsidR="00373B03">
          <w:rPr>
            <w:rFonts w:asciiTheme="minorHAnsi" w:eastAsiaTheme="minorEastAsia" w:hAnsiTheme="minorHAnsi" w:cstheme="minorBidi"/>
            <w:noProof/>
            <w:sz w:val="22"/>
            <w:szCs w:val="22"/>
          </w:rPr>
          <w:tab/>
        </w:r>
        <w:r w:rsidR="00373B03" w:rsidRPr="000B1C50">
          <w:rPr>
            <w:rStyle w:val="Hypertextovodkaz"/>
            <w:noProof/>
          </w:rPr>
          <w:t>Tabulka vyřazování projektů v oblasti intervence 6.2</w:t>
        </w:r>
        <w:r w:rsidR="00373B03">
          <w:rPr>
            <w:noProof/>
            <w:webHidden/>
          </w:rPr>
          <w:tab/>
        </w:r>
        <w:r w:rsidR="00373B03">
          <w:rPr>
            <w:noProof/>
            <w:webHidden/>
          </w:rPr>
          <w:fldChar w:fldCharType="begin"/>
        </w:r>
        <w:r w:rsidR="00373B03">
          <w:rPr>
            <w:noProof/>
            <w:webHidden/>
          </w:rPr>
          <w:instrText xml:space="preserve"> PAGEREF _Toc416431870 \h </w:instrText>
        </w:r>
        <w:r w:rsidR="00373B03">
          <w:rPr>
            <w:noProof/>
            <w:webHidden/>
          </w:rPr>
        </w:r>
        <w:r w:rsidR="00373B03">
          <w:rPr>
            <w:noProof/>
            <w:webHidden/>
          </w:rPr>
          <w:fldChar w:fldCharType="separate"/>
        </w:r>
        <w:r w:rsidR="004A0637">
          <w:rPr>
            <w:noProof/>
            <w:webHidden/>
          </w:rPr>
          <w:t>139</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71" w:history="1">
        <w:r w:rsidR="00373B03" w:rsidRPr="000B1C50">
          <w:rPr>
            <w:rStyle w:val="Hypertextovodkaz"/>
            <w:noProof/>
          </w:rPr>
          <w:t>Tabulka č. 83 -</w:t>
        </w:r>
        <w:r w:rsidR="00373B03">
          <w:rPr>
            <w:rFonts w:asciiTheme="minorHAnsi" w:eastAsiaTheme="minorEastAsia" w:hAnsiTheme="minorHAnsi" w:cstheme="minorBidi"/>
            <w:noProof/>
            <w:sz w:val="22"/>
            <w:szCs w:val="22"/>
          </w:rPr>
          <w:tab/>
        </w:r>
        <w:r w:rsidR="00373B03" w:rsidRPr="000B1C50">
          <w:rPr>
            <w:rStyle w:val="Hypertextovodkaz"/>
            <w:noProof/>
          </w:rPr>
          <w:t>Rovné příležitosti v oblasti intervence 6.2</w:t>
        </w:r>
        <w:r w:rsidR="00373B03">
          <w:rPr>
            <w:noProof/>
            <w:webHidden/>
          </w:rPr>
          <w:tab/>
        </w:r>
        <w:r w:rsidR="00373B03">
          <w:rPr>
            <w:noProof/>
            <w:webHidden/>
          </w:rPr>
          <w:fldChar w:fldCharType="begin"/>
        </w:r>
        <w:r w:rsidR="00373B03">
          <w:rPr>
            <w:noProof/>
            <w:webHidden/>
          </w:rPr>
          <w:instrText xml:space="preserve"> PAGEREF _Toc416431871 \h </w:instrText>
        </w:r>
        <w:r w:rsidR="00373B03">
          <w:rPr>
            <w:noProof/>
            <w:webHidden/>
          </w:rPr>
        </w:r>
        <w:r w:rsidR="00373B03">
          <w:rPr>
            <w:noProof/>
            <w:webHidden/>
          </w:rPr>
          <w:fldChar w:fldCharType="separate"/>
        </w:r>
        <w:r w:rsidR="004A0637">
          <w:rPr>
            <w:noProof/>
            <w:webHidden/>
          </w:rPr>
          <w:t>140</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72" w:history="1">
        <w:r w:rsidR="00373B03" w:rsidRPr="000B1C50">
          <w:rPr>
            <w:rStyle w:val="Hypertextovodkaz"/>
            <w:noProof/>
          </w:rPr>
          <w:t>Tabulka č. 84 -</w:t>
        </w:r>
        <w:r w:rsidR="00373B03">
          <w:rPr>
            <w:rFonts w:asciiTheme="minorHAnsi" w:eastAsiaTheme="minorEastAsia" w:hAnsiTheme="minorHAnsi" w:cstheme="minorBidi"/>
            <w:noProof/>
            <w:sz w:val="22"/>
            <w:szCs w:val="22"/>
          </w:rPr>
          <w:tab/>
        </w:r>
        <w:r w:rsidR="00373B03" w:rsidRPr="000B1C50">
          <w:rPr>
            <w:rStyle w:val="Hypertextovodkaz"/>
            <w:noProof/>
          </w:rPr>
          <w:t>Udržitelný rozvoj v oblasti intervence 6.2</w:t>
        </w:r>
        <w:r w:rsidR="00373B03">
          <w:rPr>
            <w:noProof/>
            <w:webHidden/>
          </w:rPr>
          <w:tab/>
        </w:r>
        <w:r w:rsidR="00373B03">
          <w:rPr>
            <w:noProof/>
            <w:webHidden/>
          </w:rPr>
          <w:fldChar w:fldCharType="begin"/>
        </w:r>
        <w:r w:rsidR="00373B03">
          <w:rPr>
            <w:noProof/>
            <w:webHidden/>
          </w:rPr>
          <w:instrText xml:space="preserve"> PAGEREF _Toc416431872 \h </w:instrText>
        </w:r>
        <w:r w:rsidR="00373B03">
          <w:rPr>
            <w:noProof/>
            <w:webHidden/>
          </w:rPr>
        </w:r>
        <w:r w:rsidR="00373B03">
          <w:rPr>
            <w:noProof/>
            <w:webHidden/>
          </w:rPr>
          <w:fldChar w:fldCharType="separate"/>
        </w:r>
        <w:r w:rsidR="004A0637">
          <w:rPr>
            <w:noProof/>
            <w:webHidden/>
          </w:rPr>
          <w:t>140</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73" w:history="1">
        <w:r w:rsidR="00373B03" w:rsidRPr="000B1C50">
          <w:rPr>
            <w:rStyle w:val="Hypertextovodkaz"/>
            <w:noProof/>
          </w:rPr>
          <w:t>Tabulka č. 85 -</w:t>
        </w:r>
        <w:r w:rsidR="00373B03">
          <w:rPr>
            <w:rFonts w:asciiTheme="minorHAnsi" w:eastAsiaTheme="minorEastAsia" w:hAnsiTheme="minorHAnsi" w:cstheme="minorBidi"/>
            <w:noProof/>
            <w:sz w:val="22"/>
            <w:szCs w:val="22"/>
          </w:rPr>
          <w:tab/>
        </w:r>
        <w:r w:rsidR="00373B03" w:rsidRPr="000B1C50">
          <w:rPr>
            <w:rStyle w:val="Hypertextovodkaz"/>
            <w:noProof/>
          </w:rPr>
          <w:t>Přehled schválených projektů VK TP IOP za rok 2014</w:t>
        </w:r>
        <w:r w:rsidR="00373B03">
          <w:rPr>
            <w:noProof/>
            <w:webHidden/>
          </w:rPr>
          <w:tab/>
        </w:r>
        <w:r w:rsidR="00373B03">
          <w:rPr>
            <w:noProof/>
            <w:webHidden/>
          </w:rPr>
          <w:fldChar w:fldCharType="begin"/>
        </w:r>
        <w:r w:rsidR="00373B03">
          <w:rPr>
            <w:noProof/>
            <w:webHidden/>
          </w:rPr>
          <w:instrText xml:space="preserve"> PAGEREF _Toc416431873 \h </w:instrText>
        </w:r>
        <w:r w:rsidR="00373B03">
          <w:rPr>
            <w:noProof/>
            <w:webHidden/>
          </w:rPr>
        </w:r>
        <w:r w:rsidR="00373B03">
          <w:rPr>
            <w:noProof/>
            <w:webHidden/>
          </w:rPr>
          <w:fldChar w:fldCharType="separate"/>
        </w:r>
        <w:r w:rsidR="004A0637">
          <w:rPr>
            <w:noProof/>
            <w:webHidden/>
          </w:rPr>
          <w:t>143</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74" w:history="1">
        <w:r w:rsidR="00373B03" w:rsidRPr="000B1C50">
          <w:rPr>
            <w:rStyle w:val="Hypertextovodkaz"/>
            <w:noProof/>
          </w:rPr>
          <w:t>Tabulka č. 86 -</w:t>
        </w:r>
        <w:r w:rsidR="00373B03">
          <w:rPr>
            <w:rFonts w:asciiTheme="minorHAnsi" w:eastAsiaTheme="minorEastAsia" w:hAnsiTheme="minorHAnsi" w:cstheme="minorBidi"/>
            <w:noProof/>
            <w:sz w:val="22"/>
            <w:szCs w:val="22"/>
          </w:rPr>
          <w:tab/>
        </w:r>
        <w:r w:rsidR="00373B03" w:rsidRPr="000B1C50">
          <w:rPr>
            <w:rStyle w:val="Hypertextovodkaz"/>
            <w:noProof/>
          </w:rPr>
          <w:t>Vývoj realizace oblastí intervence 6.1 a 6.2 z hlediska projektů k 31. 12. 2014</w:t>
        </w:r>
        <w:r w:rsidR="00373B03">
          <w:rPr>
            <w:noProof/>
            <w:webHidden/>
          </w:rPr>
          <w:tab/>
        </w:r>
        <w:r w:rsidR="00373B03">
          <w:rPr>
            <w:noProof/>
            <w:webHidden/>
          </w:rPr>
          <w:fldChar w:fldCharType="begin"/>
        </w:r>
        <w:r w:rsidR="00373B03">
          <w:rPr>
            <w:noProof/>
            <w:webHidden/>
          </w:rPr>
          <w:instrText xml:space="preserve"> PAGEREF _Toc416431874 \h </w:instrText>
        </w:r>
        <w:r w:rsidR="00373B03">
          <w:rPr>
            <w:noProof/>
            <w:webHidden/>
          </w:rPr>
        </w:r>
        <w:r w:rsidR="00373B03">
          <w:rPr>
            <w:noProof/>
            <w:webHidden/>
          </w:rPr>
          <w:fldChar w:fldCharType="separate"/>
        </w:r>
        <w:r w:rsidR="004A0637">
          <w:rPr>
            <w:noProof/>
            <w:webHidden/>
          </w:rPr>
          <w:t>143</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75" w:history="1">
        <w:r w:rsidR="00373B03" w:rsidRPr="000B1C50">
          <w:rPr>
            <w:rStyle w:val="Hypertextovodkaz"/>
            <w:noProof/>
          </w:rPr>
          <w:t>Tabulka č. 87 -</w:t>
        </w:r>
        <w:r w:rsidR="00373B03">
          <w:rPr>
            <w:rFonts w:asciiTheme="minorHAnsi" w:eastAsiaTheme="minorEastAsia" w:hAnsiTheme="minorHAnsi" w:cstheme="minorBidi"/>
            <w:noProof/>
            <w:sz w:val="22"/>
            <w:szCs w:val="22"/>
          </w:rPr>
          <w:tab/>
        </w:r>
        <w:r w:rsidR="00373B03" w:rsidRPr="000B1C50">
          <w:rPr>
            <w:rStyle w:val="Hypertextovodkaz"/>
            <w:noProof/>
          </w:rPr>
          <w:t>Administrativní kapacita v roce 2014</w:t>
        </w:r>
        <w:r w:rsidR="00373B03">
          <w:rPr>
            <w:noProof/>
            <w:webHidden/>
          </w:rPr>
          <w:tab/>
        </w:r>
        <w:r w:rsidR="00373B03">
          <w:rPr>
            <w:noProof/>
            <w:webHidden/>
          </w:rPr>
          <w:fldChar w:fldCharType="begin"/>
        </w:r>
        <w:r w:rsidR="00373B03">
          <w:rPr>
            <w:noProof/>
            <w:webHidden/>
          </w:rPr>
          <w:instrText xml:space="preserve"> PAGEREF _Toc416431875 \h </w:instrText>
        </w:r>
        <w:r w:rsidR="00373B03">
          <w:rPr>
            <w:noProof/>
            <w:webHidden/>
          </w:rPr>
        </w:r>
        <w:r w:rsidR="00373B03">
          <w:rPr>
            <w:noProof/>
            <w:webHidden/>
          </w:rPr>
          <w:fldChar w:fldCharType="separate"/>
        </w:r>
        <w:r w:rsidR="004A0637">
          <w:rPr>
            <w:noProof/>
            <w:webHidden/>
          </w:rPr>
          <w:t>143</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76" w:history="1">
        <w:r w:rsidR="00373B03" w:rsidRPr="000B1C50">
          <w:rPr>
            <w:rStyle w:val="Hypertextovodkaz"/>
            <w:noProof/>
          </w:rPr>
          <w:t>Tabulka č. 88 -</w:t>
        </w:r>
        <w:r w:rsidR="00373B03">
          <w:rPr>
            <w:rFonts w:asciiTheme="minorHAnsi" w:eastAsiaTheme="minorEastAsia" w:hAnsiTheme="minorHAnsi" w:cstheme="minorBidi"/>
            <w:noProof/>
            <w:sz w:val="22"/>
            <w:szCs w:val="22"/>
          </w:rPr>
          <w:tab/>
        </w:r>
        <w:r w:rsidR="00373B03" w:rsidRPr="000B1C50">
          <w:rPr>
            <w:rStyle w:val="Hypertextovodkaz"/>
            <w:noProof/>
          </w:rPr>
          <w:t>Přehled přijatých emailových dotazů</w:t>
        </w:r>
        <w:r w:rsidR="00373B03">
          <w:rPr>
            <w:noProof/>
            <w:webHidden/>
          </w:rPr>
          <w:tab/>
        </w:r>
        <w:r w:rsidR="00373B03">
          <w:rPr>
            <w:noProof/>
            <w:webHidden/>
          </w:rPr>
          <w:fldChar w:fldCharType="begin"/>
        </w:r>
        <w:r w:rsidR="00373B03">
          <w:rPr>
            <w:noProof/>
            <w:webHidden/>
          </w:rPr>
          <w:instrText xml:space="preserve"> PAGEREF _Toc416431876 \h </w:instrText>
        </w:r>
        <w:r w:rsidR="00373B03">
          <w:rPr>
            <w:noProof/>
            <w:webHidden/>
          </w:rPr>
        </w:r>
        <w:r w:rsidR="00373B03">
          <w:rPr>
            <w:noProof/>
            <w:webHidden/>
          </w:rPr>
          <w:fldChar w:fldCharType="separate"/>
        </w:r>
        <w:r w:rsidR="004A0637">
          <w:rPr>
            <w:noProof/>
            <w:webHidden/>
          </w:rPr>
          <w:t>148</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77" w:history="1">
        <w:r w:rsidR="00373B03" w:rsidRPr="000B1C50">
          <w:rPr>
            <w:rStyle w:val="Hypertextovodkaz"/>
            <w:noProof/>
          </w:rPr>
          <w:t>Tabulka č. 89 -</w:t>
        </w:r>
        <w:r w:rsidR="00373B03">
          <w:rPr>
            <w:rFonts w:asciiTheme="minorHAnsi" w:eastAsiaTheme="minorEastAsia" w:hAnsiTheme="minorHAnsi" w:cstheme="minorBidi"/>
            <w:noProof/>
            <w:sz w:val="22"/>
            <w:szCs w:val="22"/>
          </w:rPr>
          <w:tab/>
        </w:r>
        <w:r w:rsidR="00373B03" w:rsidRPr="000B1C50">
          <w:rPr>
            <w:rStyle w:val="Hypertextovodkaz"/>
            <w:noProof/>
          </w:rPr>
          <w:t>Celkové náklady na publicitu IOP hrazené z Technické pomoci IOP</w:t>
        </w:r>
        <w:r w:rsidR="00373B03">
          <w:rPr>
            <w:noProof/>
            <w:webHidden/>
          </w:rPr>
          <w:tab/>
        </w:r>
        <w:r w:rsidR="00373B03">
          <w:rPr>
            <w:noProof/>
            <w:webHidden/>
          </w:rPr>
          <w:fldChar w:fldCharType="begin"/>
        </w:r>
        <w:r w:rsidR="00373B03">
          <w:rPr>
            <w:noProof/>
            <w:webHidden/>
          </w:rPr>
          <w:instrText xml:space="preserve"> PAGEREF _Toc416431877 \h </w:instrText>
        </w:r>
        <w:r w:rsidR="00373B03">
          <w:rPr>
            <w:noProof/>
            <w:webHidden/>
          </w:rPr>
        </w:r>
        <w:r w:rsidR="00373B03">
          <w:rPr>
            <w:noProof/>
            <w:webHidden/>
          </w:rPr>
          <w:fldChar w:fldCharType="separate"/>
        </w:r>
        <w:r w:rsidR="004A0637">
          <w:rPr>
            <w:noProof/>
            <w:webHidden/>
          </w:rPr>
          <w:t>148</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78" w:history="1">
        <w:r w:rsidR="00373B03" w:rsidRPr="000B1C50">
          <w:rPr>
            <w:rStyle w:val="Hypertextovodkaz"/>
            <w:noProof/>
          </w:rPr>
          <w:t>Tabulka č. 90 -</w:t>
        </w:r>
        <w:r w:rsidR="00373B03">
          <w:rPr>
            <w:rFonts w:asciiTheme="minorHAnsi" w:eastAsiaTheme="minorEastAsia" w:hAnsiTheme="minorHAnsi" w:cstheme="minorBidi"/>
            <w:noProof/>
            <w:sz w:val="22"/>
            <w:szCs w:val="22"/>
          </w:rPr>
          <w:tab/>
        </w:r>
        <w:r w:rsidR="00373B03" w:rsidRPr="000B1C50">
          <w:rPr>
            <w:rStyle w:val="Hypertextovodkaz"/>
            <w:noProof/>
          </w:rPr>
          <w:t>Počet vzdělávacích akcí a proškolených osob</w:t>
        </w:r>
        <w:r w:rsidR="00373B03">
          <w:rPr>
            <w:noProof/>
            <w:webHidden/>
          </w:rPr>
          <w:tab/>
        </w:r>
        <w:r w:rsidR="00373B03">
          <w:rPr>
            <w:noProof/>
            <w:webHidden/>
          </w:rPr>
          <w:fldChar w:fldCharType="begin"/>
        </w:r>
        <w:r w:rsidR="00373B03">
          <w:rPr>
            <w:noProof/>
            <w:webHidden/>
          </w:rPr>
          <w:instrText xml:space="preserve"> PAGEREF _Toc416431878 \h </w:instrText>
        </w:r>
        <w:r w:rsidR="00373B03">
          <w:rPr>
            <w:noProof/>
            <w:webHidden/>
          </w:rPr>
        </w:r>
        <w:r w:rsidR="00373B03">
          <w:rPr>
            <w:noProof/>
            <w:webHidden/>
          </w:rPr>
          <w:fldChar w:fldCharType="separate"/>
        </w:r>
        <w:r w:rsidR="004A0637">
          <w:rPr>
            <w:noProof/>
            <w:webHidden/>
          </w:rPr>
          <w:t>151</w:t>
        </w:r>
        <w:r w:rsidR="00373B03">
          <w:rPr>
            <w:noProof/>
            <w:webHidden/>
          </w:rPr>
          <w:fldChar w:fldCharType="end"/>
        </w:r>
      </w:hyperlink>
    </w:p>
    <w:p w:rsidR="00373B03" w:rsidRDefault="0095318B" w:rsidP="00373B03">
      <w:pPr>
        <w:pStyle w:val="Obsah1"/>
        <w:tabs>
          <w:tab w:val="left" w:pos="1276"/>
        </w:tabs>
        <w:rPr>
          <w:rFonts w:asciiTheme="minorHAnsi" w:eastAsiaTheme="minorEastAsia" w:hAnsiTheme="minorHAnsi" w:cstheme="minorBidi"/>
          <w:noProof/>
          <w:sz w:val="22"/>
          <w:szCs w:val="22"/>
        </w:rPr>
      </w:pPr>
      <w:hyperlink w:anchor="_Toc416431879" w:history="1">
        <w:r w:rsidR="00373B03" w:rsidRPr="000B1C50">
          <w:rPr>
            <w:rStyle w:val="Hypertextovodkaz"/>
            <w:noProof/>
          </w:rPr>
          <w:t>Tabulka č. 91 -</w:t>
        </w:r>
        <w:r w:rsidR="00373B03">
          <w:rPr>
            <w:rFonts w:asciiTheme="minorHAnsi" w:eastAsiaTheme="minorEastAsia" w:hAnsiTheme="minorHAnsi" w:cstheme="minorBidi"/>
            <w:noProof/>
            <w:sz w:val="22"/>
            <w:szCs w:val="22"/>
          </w:rPr>
          <w:tab/>
        </w:r>
        <w:r w:rsidR="00373B03" w:rsidRPr="000B1C50">
          <w:rPr>
            <w:rStyle w:val="Hypertextovodkaz"/>
            <w:noProof/>
          </w:rPr>
          <w:t>Poměr proškolených osob k počtu pracovníků – zprostředkující subjekty</w:t>
        </w:r>
        <w:r w:rsidR="00373B03">
          <w:rPr>
            <w:noProof/>
            <w:webHidden/>
          </w:rPr>
          <w:tab/>
        </w:r>
        <w:r w:rsidR="00373B03">
          <w:rPr>
            <w:noProof/>
            <w:webHidden/>
          </w:rPr>
          <w:fldChar w:fldCharType="begin"/>
        </w:r>
        <w:r w:rsidR="00373B03">
          <w:rPr>
            <w:noProof/>
            <w:webHidden/>
          </w:rPr>
          <w:instrText xml:space="preserve"> PAGEREF _Toc416431879 \h </w:instrText>
        </w:r>
        <w:r w:rsidR="00373B03">
          <w:rPr>
            <w:noProof/>
            <w:webHidden/>
          </w:rPr>
        </w:r>
        <w:r w:rsidR="00373B03">
          <w:rPr>
            <w:noProof/>
            <w:webHidden/>
          </w:rPr>
          <w:fldChar w:fldCharType="separate"/>
        </w:r>
        <w:r w:rsidR="004A0637">
          <w:rPr>
            <w:noProof/>
            <w:webHidden/>
          </w:rPr>
          <w:t>153</w:t>
        </w:r>
        <w:r w:rsidR="00373B03">
          <w:rPr>
            <w:noProof/>
            <w:webHidden/>
          </w:rPr>
          <w:fldChar w:fldCharType="end"/>
        </w:r>
      </w:hyperlink>
    </w:p>
    <w:p w:rsidR="00C03C61" w:rsidRDefault="00C03C61" w:rsidP="00C03C61">
      <w:pPr>
        <w:rPr>
          <w:b/>
          <w:color w:val="1F497D"/>
          <w:sz w:val="28"/>
          <w:szCs w:val="28"/>
        </w:rPr>
      </w:pPr>
      <w:r>
        <w:rPr>
          <w:b/>
          <w:color w:val="1F497D"/>
          <w:sz w:val="28"/>
          <w:szCs w:val="28"/>
        </w:rPr>
        <w:fldChar w:fldCharType="end"/>
      </w:r>
    </w:p>
    <w:p w:rsidR="00C03C61" w:rsidRPr="00C03C61" w:rsidRDefault="00C03C61" w:rsidP="00C03C61">
      <w:pPr>
        <w:rPr>
          <w:b/>
          <w:color w:val="1F497D"/>
          <w:sz w:val="28"/>
          <w:szCs w:val="28"/>
        </w:rPr>
      </w:pPr>
    </w:p>
    <w:p w:rsidR="00C03C61" w:rsidRPr="00C82E8A" w:rsidRDefault="00C03C61" w:rsidP="00C82E8A">
      <w:pPr>
        <w:spacing w:after="240"/>
        <w:rPr>
          <w:b/>
          <w:color w:val="76923C"/>
          <w:sz w:val="28"/>
          <w:szCs w:val="28"/>
        </w:rPr>
      </w:pPr>
      <w:r w:rsidRPr="00C82E8A">
        <w:rPr>
          <w:b/>
          <w:color w:val="76923C"/>
          <w:sz w:val="28"/>
          <w:szCs w:val="28"/>
        </w:rPr>
        <w:t>Seznam grafů:</w:t>
      </w:r>
    </w:p>
    <w:p w:rsidR="00F14A45" w:rsidRDefault="00C03C61" w:rsidP="00373B03">
      <w:pPr>
        <w:pStyle w:val="Obsah1"/>
        <w:rPr>
          <w:rFonts w:asciiTheme="minorHAnsi" w:eastAsiaTheme="minorEastAsia" w:hAnsiTheme="minorHAnsi" w:cstheme="minorBidi"/>
          <w:noProof/>
          <w:sz w:val="22"/>
          <w:szCs w:val="22"/>
        </w:rPr>
      </w:pPr>
      <w:r>
        <w:rPr>
          <w:b/>
          <w:sz w:val="28"/>
          <w:szCs w:val="28"/>
        </w:rPr>
        <w:fldChar w:fldCharType="begin"/>
      </w:r>
      <w:r>
        <w:rPr>
          <w:b/>
          <w:sz w:val="28"/>
          <w:szCs w:val="28"/>
        </w:rPr>
        <w:instrText xml:space="preserve"> TOC \h \z \t "Graf;1" </w:instrText>
      </w:r>
      <w:r>
        <w:rPr>
          <w:b/>
          <w:sz w:val="28"/>
          <w:szCs w:val="28"/>
        </w:rPr>
        <w:fldChar w:fldCharType="separate"/>
      </w:r>
      <w:hyperlink w:anchor="_Toc414865566" w:history="1">
        <w:r w:rsidR="00F14A45" w:rsidRPr="00DB5AF8">
          <w:rPr>
            <w:rStyle w:val="Hypertextovodkaz"/>
            <w:noProof/>
          </w:rPr>
          <w:t>Graf č. 1 - Naplňování pravidla n+2 v cíli Konvergence</w:t>
        </w:r>
        <w:r w:rsidR="00F14A45">
          <w:rPr>
            <w:noProof/>
            <w:webHidden/>
          </w:rPr>
          <w:tab/>
        </w:r>
        <w:r w:rsidR="00F14A45">
          <w:rPr>
            <w:noProof/>
            <w:webHidden/>
          </w:rPr>
          <w:fldChar w:fldCharType="begin"/>
        </w:r>
        <w:r w:rsidR="00F14A45">
          <w:rPr>
            <w:noProof/>
            <w:webHidden/>
          </w:rPr>
          <w:instrText xml:space="preserve"> PAGEREF _Toc414865566 \h </w:instrText>
        </w:r>
        <w:r w:rsidR="00F14A45">
          <w:rPr>
            <w:noProof/>
            <w:webHidden/>
          </w:rPr>
        </w:r>
        <w:r w:rsidR="00F14A45">
          <w:rPr>
            <w:noProof/>
            <w:webHidden/>
          </w:rPr>
          <w:fldChar w:fldCharType="separate"/>
        </w:r>
        <w:r w:rsidR="004A0637">
          <w:rPr>
            <w:noProof/>
            <w:webHidden/>
          </w:rPr>
          <w:t>29</w:t>
        </w:r>
        <w:r w:rsidR="00F14A45">
          <w:rPr>
            <w:noProof/>
            <w:webHidden/>
          </w:rPr>
          <w:fldChar w:fldCharType="end"/>
        </w:r>
      </w:hyperlink>
    </w:p>
    <w:p w:rsidR="00F14A45" w:rsidRDefault="0095318B" w:rsidP="00373B03">
      <w:pPr>
        <w:pStyle w:val="Obsah1"/>
        <w:rPr>
          <w:rFonts w:asciiTheme="minorHAnsi" w:eastAsiaTheme="minorEastAsia" w:hAnsiTheme="minorHAnsi" w:cstheme="minorBidi"/>
          <w:noProof/>
          <w:sz w:val="22"/>
          <w:szCs w:val="22"/>
        </w:rPr>
      </w:pPr>
      <w:hyperlink w:anchor="_Toc414865567" w:history="1">
        <w:r w:rsidR="00F14A45" w:rsidRPr="00DB5AF8">
          <w:rPr>
            <w:rStyle w:val="Hypertextovodkaz"/>
            <w:noProof/>
          </w:rPr>
          <w:t>Graf č. 2 - Naplňování pravidla n+2 v cíli Regionální konkurenceschopnost a zaměstnanost</w:t>
        </w:r>
        <w:r w:rsidR="00F14A45">
          <w:rPr>
            <w:noProof/>
            <w:webHidden/>
          </w:rPr>
          <w:tab/>
        </w:r>
        <w:r w:rsidR="00F14A45">
          <w:rPr>
            <w:noProof/>
            <w:webHidden/>
          </w:rPr>
          <w:fldChar w:fldCharType="begin"/>
        </w:r>
        <w:r w:rsidR="00F14A45">
          <w:rPr>
            <w:noProof/>
            <w:webHidden/>
          </w:rPr>
          <w:instrText xml:space="preserve"> PAGEREF _Toc414865567 \h </w:instrText>
        </w:r>
        <w:r w:rsidR="00F14A45">
          <w:rPr>
            <w:noProof/>
            <w:webHidden/>
          </w:rPr>
        </w:r>
        <w:r w:rsidR="00F14A45">
          <w:rPr>
            <w:noProof/>
            <w:webHidden/>
          </w:rPr>
          <w:fldChar w:fldCharType="separate"/>
        </w:r>
        <w:r w:rsidR="004A0637">
          <w:rPr>
            <w:noProof/>
            <w:webHidden/>
          </w:rPr>
          <w:t>29</w:t>
        </w:r>
        <w:r w:rsidR="00F14A45">
          <w:rPr>
            <w:noProof/>
            <w:webHidden/>
          </w:rPr>
          <w:fldChar w:fldCharType="end"/>
        </w:r>
      </w:hyperlink>
    </w:p>
    <w:p w:rsidR="00F14A45" w:rsidRDefault="0095318B" w:rsidP="00373B03">
      <w:pPr>
        <w:pStyle w:val="Obsah1"/>
        <w:rPr>
          <w:rFonts w:asciiTheme="minorHAnsi" w:eastAsiaTheme="minorEastAsia" w:hAnsiTheme="minorHAnsi" w:cstheme="minorBidi"/>
          <w:noProof/>
          <w:sz w:val="22"/>
          <w:szCs w:val="22"/>
        </w:rPr>
      </w:pPr>
      <w:hyperlink w:anchor="_Toc414865568" w:history="1">
        <w:r w:rsidR="00F14A45" w:rsidRPr="00DB5AF8">
          <w:rPr>
            <w:rStyle w:val="Hypertextovodkaz"/>
            <w:noProof/>
          </w:rPr>
          <w:t xml:space="preserve">Graf č. 3 - Podíl požadované dotace EU na alokaci prioritních os </w:t>
        </w:r>
        <w:r w:rsidR="00F14A45">
          <w:rPr>
            <w:noProof/>
            <w:webHidden/>
          </w:rPr>
          <w:tab/>
        </w:r>
        <w:r w:rsidR="00F14A45">
          <w:rPr>
            <w:noProof/>
            <w:webHidden/>
          </w:rPr>
          <w:fldChar w:fldCharType="begin"/>
        </w:r>
        <w:r w:rsidR="00F14A45">
          <w:rPr>
            <w:noProof/>
            <w:webHidden/>
          </w:rPr>
          <w:instrText xml:space="preserve"> PAGEREF _Toc414865568 \h </w:instrText>
        </w:r>
        <w:r w:rsidR="00F14A45">
          <w:rPr>
            <w:noProof/>
            <w:webHidden/>
          </w:rPr>
        </w:r>
        <w:r w:rsidR="00F14A45">
          <w:rPr>
            <w:noProof/>
            <w:webHidden/>
          </w:rPr>
          <w:fldChar w:fldCharType="separate"/>
        </w:r>
        <w:r w:rsidR="004A0637">
          <w:rPr>
            <w:noProof/>
            <w:webHidden/>
          </w:rPr>
          <w:t>37</w:t>
        </w:r>
        <w:r w:rsidR="00F14A45">
          <w:rPr>
            <w:noProof/>
            <w:webHidden/>
          </w:rPr>
          <w:fldChar w:fldCharType="end"/>
        </w:r>
      </w:hyperlink>
    </w:p>
    <w:p w:rsidR="00F14A45" w:rsidRDefault="0095318B" w:rsidP="00373B03">
      <w:pPr>
        <w:pStyle w:val="Obsah1"/>
        <w:rPr>
          <w:rFonts w:asciiTheme="minorHAnsi" w:eastAsiaTheme="minorEastAsia" w:hAnsiTheme="minorHAnsi" w:cstheme="minorBidi"/>
          <w:noProof/>
          <w:sz w:val="22"/>
          <w:szCs w:val="22"/>
        </w:rPr>
      </w:pPr>
      <w:hyperlink w:anchor="_Toc414865569" w:history="1">
        <w:r w:rsidR="00F14A45" w:rsidRPr="00DB5AF8">
          <w:rPr>
            <w:rStyle w:val="Hypertextovodkaz"/>
            <w:noProof/>
          </w:rPr>
          <w:t xml:space="preserve">Graf č. 4 - Vývoj schválených projektů s vydaným Rozhodnutím/Smlouvou v období 2007-2014 </w:t>
        </w:r>
        <w:r w:rsidR="00F14A45">
          <w:rPr>
            <w:noProof/>
            <w:webHidden/>
          </w:rPr>
          <w:tab/>
        </w:r>
        <w:r w:rsidR="00F14A45">
          <w:rPr>
            <w:noProof/>
            <w:webHidden/>
          </w:rPr>
          <w:fldChar w:fldCharType="begin"/>
        </w:r>
        <w:r w:rsidR="00F14A45">
          <w:rPr>
            <w:noProof/>
            <w:webHidden/>
          </w:rPr>
          <w:instrText xml:space="preserve"> PAGEREF _Toc414865569 \h </w:instrText>
        </w:r>
        <w:r w:rsidR="00F14A45">
          <w:rPr>
            <w:noProof/>
            <w:webHidden/>
          </w:rPr>
        </w:r>
        <w:r w:rsidR="00F14A45">
          <w:rPr>
            <w:noProof/>
            <w:webHidden/>
          </w:rPr>
          <w:fldChar w:fldCharType="separate"/>
        </w:r>
        <w:r w:rsidR="004A0637">
          <w:rPr>
            <w:noProof/>
            <w:webHidden/>
          </w:rPr>
          <w:t>38</w:t>
        </w:r>
        <w:r w:rsidR="00F14A45">
          <w:rPr>
            <w:noProof/>
            <w:webHidden/>
          </w:rPr>
          <w:fldChar w:fldCharType="end"/>
        </w:r>
      </w:hyperlink>
    </w:p>
    <w:p w:rsidR="00F14A45" w:rsidRDefault="0095318B" w:rsidP="00373B03">
      <w:pPr>
        <w:pStyle w:val="Obsah1"/>
        <w:rPr>
          <w:rFonts w:asciiTheme="minorHAnsi" w:eastAsiaTheme="minorEastAsia" w:hAnsiTheme="minorHAnsi" w:cstheme="minorBidi"/>
          <w:noProof/>
          <w:sz w:val="22"/>
          <w:szCs w:val="22"/>
        </w:rPr>
      </w:pPr>
      <w:hyperlink w:anchor="_Toc414865570" w:history="1">
        <w:r w:rsidR="00F14A45" w:rsidRPr="00DB5AF8">
          <w:rPr>
            <w:rStyle w:val="Hypertextovodkaz"/>
            <w:noProof/>
          </w:rPr>
          <w:t>Graf č. 5 - Podíl schválené dotace ve vydaných rozhodnutích/smlouvách na alokaci prioritních os</w:t>
        </w:r>
        <w:r w:rsidR="00F14A45">
          <w:rPr>
            <w:noProof/>
            <w:webHidden/>
          </w:rPr>
          <w:tab/>
        </w:r>
        <w:r w:rsidR="00F14A45">
          <w:rPr>
            <w:noProof/>
            <w:webHidden/>
          </w:rPr>
          <w:fldChar w:fldCharType="begin"/>
        </w:r>
        <w:r w:rsidR="00F14A45">
          <w:rPr>
            <w:noProof/>
            <w:webHidden/>
          </w:rPr>
          <w:instrText xml:space="preserve"> PAGEREF _Toc414865570 \h </w:instrText>
        </w:r>
        <w:r w:rsidR="00F14A45">
          <w:rPr>
            <w:noProof/>
            <w:webHidden/>
          </w:rPr>
        </w:r>
        <w:r w:rsidR="00F14A45">
          <w:rPr>
            <w:noProof/>
            <w:webHidden/>
          </w:rPr>
          <w:fldChar w:fldCharType="separate"/>
        </w:r>
        <w:r w:rsidR="004A0637">
          <w:rPr>
            <w:noProof/>
            <w:webHidden/>
          </w:rPr>
          <w:t>38</w:t>
        </w:r>
        <w:r w:rsidR="00F14A45">
          <w:rPr>
            <w:noProof/>
            <w:webHidden/>
          </w:rPr>
          <w:fldChar w:fldCharType="end"/>
        </w:r>
      </w:hyperlink>
    </w:p>
    <w:p w:rsidR="00F14A45" w:rsidRDefault="0095318B" w:rsidP="00373B03">
      <w:pPr>
        <w:pStyle w:val="Obsah1"/>
        <w:rPr>
          <w:rFonts w:asciiTheme="minorHAnsi" w:eastAsiaTheme="minorEastAsia" w:hAnsiTheme="minorHAnsi" w:cstheme="minorBidi"/>
          <w:noProof/>
          <w:sz w:val="22"/>
          <w:szCs w:val="22"/>
        </w:rPr>
      </w:pPr>
      <w:hyperlink w:anchor="_Toc414865571" w:history="1">
        <w:r w:rsidR="00F14A45" w:rsidRPr="00DB5AF8">
          <w:rPr>
            <w:rStyle w:val="Hypertextovodkaz"/>
            <w:noProof/>
          </w:rPr>
          <w:t>Graf č. 6 - Podíl proplacených prostředků EU příjemcům na alokaci prioritních os</w:t>
        </w:r>
        <w:r w:rsidR="00F14A45">
          <w:rPr>
            <w:noProof/>
            <w:webHidden/>
          </w:rPr>
          <w:tab/>
        </w:r>
        <w:r w:rsidR="00F14A45">
          <w:rPr>
            <w:noProof/>
            <w:webHidden/>
          </w:rPr>
          <w:fldChar w:fldCharType="begin"/>
        </w:r>
        <w:r w:rsidR="00F14A45">
          <w:rPr>
            <w:noProof/>
            <w:webHidden/>
          </w:rPr>
          <w:instrText xml:space="preserve"> PAGEREF _Toc414865571 \h </w:instrText>
        </w:r>
        <w:r w:rsidR="00F14A45">
          <w:rPr>
            <w:noProof/>
            <w:webHidden/>
          </w:rPr>
        </w:r>
        <w:r w:rsidR="00F14A45">
          <w:rPr>
            <w:noProof/>
            <w:webHidden/>
          </w:rPr>
          <w:fldChar w:fldCharType="separate"/>
        </w:r>
        <w:r w:rsidR="004A0637">
          <w:rPr>
            <w:noProof/>
            <w:webHidden/>
          </w:rPr>
          <w:t>39</w:t>
        </w:r>
        <w:r w:rsidR="00F14A45">
          <w:rPr>
            <w:noProof/>
            <w:webHidden/>
          </w:rPr>
          <w:fldChar w:fldCharType="end"/>
        </w:r>
      </w:hyperlink>
    </w:p>
    <w:p w:rsidR="00F14A45" w:rsidRDefault="0095318B" w:rsidP="00373B03">
      <w:pPr>
        <w:pStyle w:val="Obsah1"/>
        <w:rPr>
          <w:rFonts w:asciiTheme="minorHAnsi" w:eastAsiaTheme="minorEastAsia" w:hAnsiTheme="minorHAnsi" w:cstheme="minorBidi"/>
          <w:noProof/>
          <w:sz w:val="22"/>
          <w:szCs w:val="22"/>
        </w:rPr>
      </w:pPr>
      <w:hyperlink w:anchor="_Toc414865572" w:history="1">
        <w:r w:rsidR="00F14A45" w:rsidRPr="00DB5AF8">
          <w:rPr>
            <w:rStyle w:val="Hypertextovodkaz"/>
            <w:noProof/>
          </w:rPr>
          <w:t>Graf č. 7 - Podíl certifikovaných výdajů v jednotlivých prioritních osách na alokaci prioritních os</w:t>
        </w:r>
        <w:r w:rsidR="00F14A45">
          <w:rPr>
            <w:noProof/>
            <w:webHidden/>
          </w:rPr>
          <w:tab/>
        </w:r>
        <w:r w:rsidR="00F14A45">
          <w:rPr>
            <w:noProof/>
            <w:webHidden/>
          </w:rPr>
          <w:fldChar w:fldCharType="begin"/>
        </w:r>
        <w:r w:rsidR="00F14A45">
          <w:rPr>
            <w:noProof/>
            <w:webHidden/>
          </w:rPr>
          <w:instrText xml:space="preserve"> PAGEREF _Toc414865572 \h </w:instrText>
        </w:r>
        <w:r w:rsidR="00F14A45">
          <w:rPr>
            <w:noProof/>
            <w:webHidden/>
          </w:rPr>
        </w:r>
        <w:r w:rsidR="00F14A45">
          <w:rPr>
            <w:noProof/>
            <w:webHidden/>
          </w:rPr>
          <w:fldChar w:fldCharType="separate"/>
        </w:r>
        <w:r w:rsidR="004A0637">
          <w:rPr>
            <w:noProof/>
            <w:webHidden/>
          </w:rPr>
          <w:t>39</w:t>
        </w:r>
        <w:r w:rsidR="00F14A45">
          <w:rPr>
            <w:noProof/>
            <w:webHidden/>
          </w:rPr>
          <w:fldChar w:fldCharType="end"/>
        </w:r>
      </w:hyperlink>
    </w:p>
    <w:p w:rsidR="00F14A45" w:rsidRDefault="0095318B" w:rsidP="00373B03">
      <w:pPr>
        <w:pStyle w:val="Obsah1"/>
        <w:rPr>
          <w:rFonts w:asciiTheme="minorHAnsi" w:eastAsiaTheme="minorEastAsia" w:hAnsiTheme="minorHAnsi" w:cstheme="minorBidi"/>
          <w:noProof/>
          <w:sz w:val="22"/>
          <w:szCs w:val="22"/>
        </w:rPr>
      </w:pPr>
      <w:hyperlink w:anchor="_Toc414865573" w:history="1">
        <w:r w:rsidR="00F14A45" w:rsidRPr="00DB5AF8">
          <w:rPr>
            <w:rStyle w:val="Hypertextovodkaz"/>
            <w:noProof/>
          </w:rPr>
          <w:t>Graf č. 8 - Vyřazené projekty podle jednotlivých stavů</w:t>
        </w:r>
        <w:r w:rsidR="00F14A45">
          <w:rPr>
            <w:noProof/>
            <w:webHidden/>
          </w:rPr>
          <w:tab/>
        </w:r>
        <w:r w:rsidR="00F14A45">
          <w:rPr>
            <w:noProof/>
            <w:webHidden/>
          </w:rPr>
          <w:fldChar w:fldCharType="begin"/>
        </w:r>
        <w:r w:rsidR="00F14A45">
          <w:rPr>
            <w:noProof/>
            <w:webHidden/>
          </w:rPr>
          <w:instrText xml:space="preserve"> PAGEREF _Toc414865573 \h </w:instrText>
        </w:r>
        <w:r w:rsidR="00F14A45">
          <w:rPr>
            <w:noProof/>
            <w:webHidden/>
          </w:rPr>
        </w:r>
        <w:r w:rsidR="00F14A45">
          <w:rPr>
            <w:noProof/>
            <w:webHidden/>
          </w:rPr>
          <w:fldChar w:fldCharType="separate"/>
        </w:r>
        <w:r w:rsidR="004A0637">
          <w:rPr>
            <w:noProof/>
            <w:webHidden/>
          </w:rPr>
          <w:t>40</w:t>
        </w:r>
        <w:r w:rsidR="00F14A45">
          <w:rPr>
            <w:noProof/>
            <w:webHidden/>
          </w:rPr>
          <w:fldChar w:fldCharType="end"/>
        </w:r>
      </w:hyperlink>
    </w:p>
    <w:p w:rsidR="00F14A45" w:rsidRDefault="0095318B" w:rsidP="00373B03">
      <w:pPr>
        <w:pStyle w:val="Obsah1"/>
        <w:rPr>
          <w:rFonts w:asciiTheme="minorHAnsi" w:eastAsiaTheme="minorEastAsia" w:hAnsiTheme="minorHAnsi" w:cstheme="minorBidi"/>
          <w:noProof/>
          <w:sz w:val="22"/>
          <w:szCs w:val="22"/>
        </w:rPr>
      </w:pPr>
      <w:hyperlink w:anchor="_Toc414865574" w:history="1">
        <w:r w:rsidR="00F14A45" w:rsidRPr="00DB5AF8">
          <w:rPr>
            <w:rStyle w:val="Hypertextovodkaz"/>
            <w:noProof/>
          </w:rPr>
          <w:t>Graf č. 9 - Podíl vyřazených projektů podle oblastí intervence</w:t>
        </w:r>
        <w:r w:rsidR="00F14A45">
          <w:rPr>
            <w:noProof/>
            <w:webHidden/>
          </w:rPr>
          <w:tab/>
        </w:r>
        <w:r w:rsidR="00F14A45">
          <w:rPr>
            <w:noProof/>
            <w:webHidden/>
          </w:rPr>
          <w:fldChar w:fldCharType="begin"/>
        </w:r>
        <w:r w:rsidR="00F14A45">
          <w:rPr>
            <w:noProof/>
            <w:webHidden/>
          </w:rPr>
          <w:instrText xml:space="preserve"> PAGEREF _Toc414865574 \h </w:instrText>
        </w:r>
        <w:r w:rsidR="00F14A45">
          <w:rPr>
            <w:noProof/>
            <w:webHidden/>
          </w:rPr>
        </w:r>
        <w:r w:rsidR="00F14A45">
          <w:rPr>
            <w:noProof/>
            <w:webHidden/>
          </w:rPr>
          <w:fldChar w:fldCharType="separate"/>
        </w:r>
        <w:r w:rsidR="004A0637">
          <w:rPr>
            <w:noProof/>
            <w:webHidden/>
          </w:rPr>
          <w:t>41</w:t>
        </w:r>
        <w:r w:rsidR="00F14A45">
          <w:rPr>
            <w:noProof/>
            <w:webHidden/>
          </w:rPr>
          <w:fldChar w:fldCharType="end"/>
        </w:r>
      </w:hyperlink>
    </w:p>
    <w:p w:rsidR="00F14A45" w:rsidRDefault="0095318B" w:rsidP="00373B03">
      <w:pPr>
        <w:pStyle w:val="Obsah1"/>
        <w:rPr>
          <w:rFonts w:asciiTheme="minorHAnsi" w:eastAsiaTheme="minorEastAsia" w:hAnsiTheme="minorHAnsi" w:cstheme="minorBidi"/>
          <w:noProof/>
          <w:sz w:val="22"/>
          <w:szCs w:val="22"/>
        </w:rPr>
      </w:pPr>
      <w:hyperlink w:anchor="_Toc414865575" w:history="1">
        <w:r w:rsidR="00F14A45" w:rsidRPr="00DB5AF8">
          <w:rPr>
            <w:rStyle w:val="Hypertextovodkaz"/>
            <w:noProof/>
          </w:rPr>
          <w:t>Graf č. 10 - Rozdělení alokace technické pomoci mezi příjemce po obou realokacích</w:t>
        </w:r>
        <w:r w:rsidR="00F14A45">
          <w:rPr>
            <w:noProof/>
            <w:webHidden/>
          </w:rPr>
          <w:tab/>
        </w:r>
        <w:r w:rsidR="00F14A45">
          <w:rPr>
            <w:noProof/>
            <w:webHidden/>
          </w:rPr>
          <w:fldChar w:fldCharType="begin"/>
        </w:r>
        <w:r w:rsidR="00F14A45">
          <w:rPr>
            <w:noProof/>
            <w:webHidden/>
          </w:rPr>
          <w:instrText xml:space="preserve"> PAGEREF _Toc414865575 \h </w:instrText>
        </w:r>
        <w:r w:rsidR="00F14A45">
          <w:rPr>
            <w:noProof/>
            <w:webHidden/>
          </w:rPr>
        </w:r>
        <w:r w:rsidR="00F14A45">
          <w:rPr>
            <w:noProof/>
            <w:webHidden/>
          </w:rPr>
          <w:fldChar w:fldCharType="separate"/>
        </w:r>
        <w:r w:rsidR="004A0637">
          <w:rPr>
            <w:noProof/>
            <w:webHidden/>
          </w:rPr>
          <w:t>142</w:t>
        </w:r>
        <w:r w:rsidR="00F14A45">
          <w:rPr>
            <w:noProof/>
            <w:webHidden/>
          </w:rPr>
          <w:fldChar w:fldCharType="end"/>
        </w:r>
      </w:hyperlink>
    </w:p>
    <w:p w:rsidR="00F14A45" w:rsidRDefault="0095318B" w:rsidP="00373B03">
      <w:pPr>
        <w:pStyle w:val="Obsah1"/>
        <w:rPr>
          <w:rFonts w:asciiTheme="minorHAnsi" w:eastAsiaTheme="minorEastAsia" w:hAnsiTheme="minorHAnsi" w:cstheme="minorBidi"/>
          <w:noProof/>
          <w:sz w:val="22"/>
          <w:szCs w:val="22"/>
        </w:rPr>
      </w:pPr>
      <w:hyperlink w:anchor="_Toc414865576" w:history="1">
        <w:r w:rsidR="00F14A45" w:rsidRPr="00DB5AF8">
          <w:rPr>
            <w:rStyle w:val="Hypertextovodkaz"/>
            <w:noProof/>
          </w:rPr>
          <w:t>Graf č. 11 - Počet proškolených osob na počet pracovníků ŘO IOP v letech 2013 až 2014</w:t>
        </w:r>
        <w:r w:rsidR="00F14A45">
          <w:rPr>
            <w:noProof/>
            <w:webHidden/>
          </w:rPr>
          <w:tab/>
        </w:r>
        <w:r w:rsidR="00F14A45">
          <w:rPr>
            <w:noProof/>
            <w:webHidden/>
          </w:rPr>
          <w:fldChar w:fldCharType="begin"/>
        </w:r>
        <w:r w:rsidR="00F14A45">
          <w:rPr>
            <w:noProof/>
            <w:webHidden/>
          </w:rPr>
          <w:instrText xml:space="preserve"> PAGEREF _Toc414865576 \h </w:instrText>
        </w:r>
        <w:r w:rsidR="00F14A45">
          <w:rPr>
            <w:noProof/>
            <w:webHidden/>
          </w:rPr>
        </w:r>
        <w:r w:rsidR="00F14A45">
          <w:rPr>
            <w:noProof/>
            <w:webHidden/>
          </w:rPr>
          <w:fldChar w:fldCharType="separate"/>
        </w:r>
        <w:r w:rsidR="004A0637">
          <w:rPr>
            <w:noProof/>
            <w:webHidden/>
          </w:rPr>
          <w:t>152</w:t>
        </w:r>
        <w:r w:rsidR="00F14A45">
          <w:rPr>
            <w:noProof/>
            <w:webHidden/>
          </w:rPr>
          <w:fldChar w:fldCharType="end"/>
        </w:r>
      </w:hyperlink>
    </w:p>
    <w:p w:rsidR="00F14A45" w:rsidRDefault="0095318B" w:rsidP="00373B03">
      <w:pPr>
        <w:pStyle w:val="Obsah1"/>
        <w:rPr>
          <w:rFonts w:asciiTheme="minorHAnsi" w:eastAsiaTheme="minorEastAsia" w:hAnsiTheme="minorHAnsi" w:cstheme="minorBidi"/>
          <w:noProof/>
          <w:sz w:val="22"/>
          <w:szCs w:val="22"/>
        </w:rPr>
      </w:pPr>
      <w:hyperlink w:anchor="_Toc414865577" w:history="1">
        <w:r w:rsidR="00F14A45" w:rsidRPr="00DB5AF8">
          <w:rPr>
            <w:rStyle w:val="Hypertextovodkaz"/>
            <w:noProof/>
          </w:rPr>
          <w:t>Graf č. 12 - Přehled tematických oblastí vzdělávání v roce 2014</w:t>
        </w:r>
        <w:r w:rsidR="00F14A45">
          <w:rPr>
            <w:noProof/>
            <w:webHidden/>
          </w:rPr>
          <w:tab/>
        </w:r>
        <w:r w:rsidR="00F14A45">
          <w:rPr>
            <w:noProof/>
            <w:webHidden/>
          </w:rPr>
          <w:fldChar w:fldCharType="begin"/>
        </w:r>
        <w:r w:rsidR="00F14A45">
          <w:rPr>
            <w:noProof/>
            <w:webHidden/>
          </w:rPr>
          <w:instrText xml:space="preserve"> PAGEREF _Toc414865577 \h </w:instrText>
        </w:r>
        <w:r w:rsidR="00F14A45">
          <w:rPr>
            <w:noProof/>
            <w:webHidden/>
          </w:rPr>
        </w:r>
        <w:r w:rsidR="00F14A45">
          <w:rPr>
            <w:noProof/>
            <w:webHidden/>
          </w:rPr>
          <w:fldChar w:fldCharType="separate"/>
        </w:r>
        <w:r w:rsidR="004A0637">
          <w:rPr>
            <w:noProof/>
            <w:webHidden/>
          </w:rPr>
          <w:t>152</w:t>
        </w:r>
        <w:r w:rsidR="00F14A45">
          <w:rPr>
            <w:noProof/>
            <w:webHidden/>
          </w:rPr>
          <w:fldChar w:fldCharType="end"/>
        </w:r>
      </w:hyperlink>
    </w:p>
    <w:p w:rsidR="00F14A45" w:rsidRDefault="0095318B" w:rsidP="00373B03">
      <w:pPr>
        <w:pStyle w:val="Obsah1"/>
        <w:rPr>
          <w:rFonts w:asciiTheme="minorHAnsi" w:eastAsiaTheme="minorEastAsia" w:hAnsiTheme="minorHAnsi" w:cstheme="minorBidi"/>
          <w:noProof/>
          <w:sz w:val="22"/>
          <w:szCs w:val="22"/>
        </w:rPr>
      </w:pPr>
      <w:hyperlink w:anchor="_Toc414865578" w:history="1">
        <w:r w:rsidR="00F14A45" w:rsidRPr="00DB5AF8">
          <w:rPr>
            <w:rStyle w:val="Hypertextovodkaz"/>
            <w:noProof/>
          </w:rPr>
          <w:t>Graf č. 13 - Přehled tematických oblastí vzdělávání ŘO IOP pro ZS IOP v roce 2014</w:t>
        </w:r>
        <w:r w:rsidR="00F14A45">
          <w:rPr>
            <w:noProof/>
            <w:webHidden/>
          </w:rPr>
          <w:tab/>
        </w:r>
        <w:r w:rsidR="00F14A45">
          <w:rPr>
            <w:noProof/>
            <w:webHidden/>
          </w:rPr>
          <w:fldChar w:fldCharType="begin"/>
        </w:r>
        <w:r w:rsidR="00F14A45">
          <w:rPr>
            <w:noProof/>
            <w:webHidden/>
          </w:rPr>
          <w:instrText xml:space="preserve"> PAGEREF _Toc414865578 \h </w:instrText>
        </w:r>
        <w:r w:rsidR="00F14A45">
          <w:rPr>
            <w:noProof/>
            <w:webHidden/>
          </w:rPr>
        </w:r>
        <w:r w:rsidR="00F14A45">
          <w:rPr>
            <w:noProof/>
            <w:webHidden/>
          </w:rPr>
          <w:fldChar w:fldCharType="separate"/>
        </w:r>
        <w:r w:rsidR="004A0637">
          <w:rPr>
            <w:noProof/>
            <w:webHidden/>
          </w:rPr>
          <w:t>153</w:t>
        </w:r>
        <w:r w:rsidR="00F14A45">
          <w:rPr>
            <w:noProof/>
            <w:webHidden/>
          </w:rPr>
          <w:fldChar w:fldCharType="end"/>
        </w:r>
      </w:hyperlink>
    </w:p>
    <w:p w:rsidR="00A753BB" w:rsidRDefault="00C03C61" w:rsidP="00C03C61">
      <w:pPr>
        <w:spacing w:line="348" w:lineRule="auto"/>
        <w:rPr>
          <w:rStyle w:val="Nadpis1Char"/>
          <w:rFonts w:ascii="Times New Roman" w:hAnsi="Times New Roman"/>
          <w:bCs/>
          <w:color w:val="76923C"/>
          <w:szCs w:val="32"/>
        </w:rPr>
      </w:pPr>
      <w:r>
        <w:rPr>
          <w:b/>
          <w:sz w:val="28"/>
          <w:szCs w:val="28"/>
        </w:rPr>
        <w:fldChar w:fldCharType="end"/>
      </w:r>
      <w:r w:rsidR="00A75862">
        <w:rPr>
          <w:b/>
          <w:sz w:val="28"/>
          <w:szCs w:val="28"/>
        </w:rPr>
        <w:br w:type="page"/>
      </w:r>
      <w:bookmarkStart w:id="0" w:name="_Toc417024828"/>
      <w:r w:rsidR="00A75862" w:rsidRPr="00846313">
        <w:rPr>
          <w:rStyle w:val="Nadpis1Char"/>
          <w:rFonts w:ascii="Times New Roman" w:hAnsi="Times New Roman"/>
          <w:bCs/>
          <w:color w:val="76923C"/>
          <w:szCs w:val="32"/>
        </w:rPr>
        <w:lastRenderedPageBreak/>
        <w:t>MANAŽERSKÉ SHRNUTÍ</w:t>
      </w:r>
      <w:bookmarkEnd w:id="0"/>
    </w:p>
    <w:p w:rsidR="00A753BB" w:rsidRDefault="00A753BB" w:rsidP="00A753BB">
      <w:pPr>
        <w:autoSpaceDE w:val="0"/>
        <w:autoSpaceDN w:val="0"/>
        <w:adjustRightInd w:val="0"/>
        <w:spacing w:line="314" w:lineRule="auto"/>
        <w:jc w:val="both"/>
        <w:rPr>
          <w:bCs/>
          <w:sz w:val="22"/>
          <w:szCs w:val="22"/>
        </w:rPr>
      </w:pPr>
      <w:r w:rsidRPr="00A753BB">
        <w:rPr>
          <w:bCs/>
          <w:sz w:val="22"/>
          <w:szCs w:val="22"/>
        </w:rPr>
        <w:t>Tato zpráva se předkládá v souladu s čl. 67 Nařízení Rady (ES) č. 1083/2006 o obecných ustanoveních o Evropském fondu pro regionální rozvoj, Evropském sociálním fondu a Fondu soudržnosti v platném znění týkajícím se povinnosti ŘO poskytovat EK Výroční zprávu o provádění</w:t>
      </w:r>
      <w:r w:rsidR="00C15222">
        <w:rPr>
          <w:bCs/>
          <w:sz w:val="22"/>
          <w:szCs w:val="22"/>
        </w:rPr>
        <w:t xml:space="preserve"> Integrovaného operačního </w:t>
      </w:r>
      <w:r w:rsidR="00C9250D">
        <w:rPr>
          <w:bCs/>
          <w:sz w:val="22"/>
          <w:szCs w:val="22"/>
        </w:rPr>
        <w:t xml:space="preserve">programu </w:t>
      </w:r>
      <w:r w:rsidR="00C9250D" w:rsidRPr="00A753BB">
        <w:rPr>
          <w:bCs/>
          <w:sz w:val="22"/>
          <w:szCs w:val="22"/>
        </w:rPr>
        <w:t>(dále</w:t>
      </w:r>
      <w:r w:rsidRPr="00A753BB">
        <w:rPr>
          <w:bCs/>
          <w:sz w:val="22"/>
          <w:szCs w:val="22"/>
        </w:rPr>
        <w:t xml:space="preserve"> jen „</w:t>
      </w:r>
      <w:r w:rsidR="00C15222">
        <w:rPr>
          <w:bCs/>
          <w:sz w:val="22"/>
          <w:szCs w:val="22"/>
        </w:rPr>
        <w:t>IOP</w:t>
      </w:r>
      <w:r w:rsidRPr="00A753BB">
        <w:rPr>
          <w:bCs/>
          <w:sz w:val="22"/>
          <w:szCs w:val="22"/>
        </w:rPr>
        <w:t>“) za rok 201</w:t>
      </w:r>
      <w:r w:rsidR="00C15222">
        <w:rPr>
          <w:bCs/>
          <w:sz w:val="22"/>
          <w:szCs w:val="22"/>
        </w:rPr>
        <w:t>4</w:t>
      </w:r>
      <w:r w:rsidRPr="00A753BB">
        <w:rPr>
          <w:bCs/>
          <w:sz w:val="22"/>
          <w:szCs w:val="22"/>
        </w:rPr>
        <w:t>.</w:t>
      </w:r>
    </w:p>
    <w:p w:rsidR="00A753BB" w:rsidRPr="00A753BB" w:rsidRDefault="00A753BB" w:rsidP="00A753BB">
      <w:pPr>
        <w:autoSpaceDE w:val="0"/>
        <w:autoSpaceDN w:val="0"/>
        <w:adjustRightInd w:val="0"/>
        <w:spacing w:line="314" w:lineRule="auto"/>
        <w:jc w:val="both"/>
        <w:rPr>
          <w:bCs/>
          <w:sz w:val="22"/>
          <w:szCs w:val="22"/>
        </w:rPr>
      </w:pPr>
    </w:p>
    <w:p w:rsidR="00A75862" w:rsidRPr="00CF4B70" w:rsidRDefault="00C9250D" w:rsidP="0070655A">
      <w:pPr>
        <w:autoSpaceDE w:val="0"/>
        <w:autoSpaceDN w:val="0"/>
        <w:adjustRightInd w:val="0"/>
        <w:spacing w:line="314" w:lineRule="auto"/>
        <w:jc w:val="both"/>
        <w:rPr>
          <w:sz w:val="22"/>
          <w:szCs w:val="22"/>
        </w:rPr>
      </w:pPr>
      <w:r>
        <w:rPr>
          <w:bCs/>
          <w:sz w:val="22"/>
          <w:szCs w:val="22"/>
        </w:rPr>
        <w:t>IOP</w:t>
      </w:r>
      <w:r w:rsidR="00A75862" w:rsidRPr="00CF4B70">
        <w:rPr>
          <w:bCs/>
          <w:sz w:val="22"/>
          <w:szCs w:val="22"/>
        </w:rPr>
        <w:t xml:space="preserve"> </w:t>
      </w:r>
      <w:r w:rsidR="00A75862" w:rsidRPr="00CF4B70">
        <w:rPr>
          <w:sz w:val="22"/>
          <w:szCs w:val="22"/>
        </w:rPr>
        <w:t>se zaměřuje na rozvoj informačních technologií ve veřejné správě, zlepšování infrastruktury pro oblast sociálních služeb, veřejného zdraví, služeb zaměstnanosti a služeb v oblasti bezpečnosti, prevence a řešení rizik, podporu cestovního ruchu, kulturního dědictví, zlepšování prostředí na sídlištích a rozvoj systémů tvorby územních politik.</w:t>
      </w:r>
    </w:p>
    <w:p w:rsidR="00A75862" w:rsidRDefault="00A75862" w:rsidP="0077415D">
      <w:pPr>
        <w:pStyle w:val="TextNOK"/>
        <w:spacing w:line="314" w:lineRule="auto"/>
        <w:rPr>
          <w:szCs w:val="22"/>
        </w:rPr>
      </w:pPr>
    </w:p>
    <w:p w:rsidR="00A17D7A" w:rsidRDefault="00326C44" w:rsidP="00326C44">
      <w:pPr>
        <w:autoSpaceDE w:val="0"/>
        <w:autoSpaceDN w:val="0"/>
        <w:adjustRightInd w:val="0"/>
        <w:spacing w:line="314" w:lineRule="auto"/>
        <w:jc w:val="both"/>
        <w:rPr>
          <w:bCs/>
          <w:sz w:val="22"/>
          <w:szCs w:val="22"/>
        </w:rPr>
      </w:pPr>
      <w:r w:rsidRPr="00326C44">
        <w:rPr>
          <w:bCs/>
          <w:sz w:val="22"/>
          <w:szCs w:val="22"/>
        </w:rPr>
        <w:t xml:space="preserve">V roce 2014 došlo ke změně Programového dokumentu </w:t>
      </w:r>
      <w:r w:rsidR="002C732E">
        <w:rPr>
          <w:bCs/>
          <w:sz w:val="22"/>
          <w:szCs w:val="22"/>
        </w:rPr>
        <w:t xml:space="preserve">IOP </w:t>
      </w:r>
      <w:r w:rsidRPr="00326C44">
        <w:rPr>
          <w:bCs/>
          <w:sz w:val="22"/>
          <w:szCs w:val="22"/>
        </w:rPr>
        <w:t xml:space="preserve">ve smyslu čl. 33 Nařízení Rady </w:t>
      </w:r>
      <w:r w:rsidR="002C732E">
        <w:rPr>
          <w:bCs/>
          <w:sz w:val="22"/>
          <w:szCs w:val="22"/>
        </w:rPr>
        <w:br/>
      </w:r>
      <w:r w:rsidRPr="00326C44">
        <w:rPr>
          <w:bCs/>
          <w:sz w:val="22"/>
          <w:szCs w:val="22"/>
        </w:rPr>
        <w:t>č. 1083/2006, která byla schválena Monitorovacím výborem IOP dne 21. října 2014. Byly provedeny změny</w:t>
      </w:r>
      <w:r w:rsidR="00CA0DC9">
        <w:rPr>
          <w:bCs/>
          <w:sz w:val="22"/>
          <w:szCs w:val="22"/>
        </w:rPr>
        <w:t xml:space="preserve"> finančních tabulek </w:t>
      </w:r>
      <w:r w:rsidRPr="00326C44">
        <w:rPr>
          <w:bCs/>
          <w:sz w:val="22"/>
          <w:szCs w:val="22"/>
        </w:rPr>
        <w:t xml:space="preserve">v souvislosti </w:t>
      </w:r>
      <w:r w:rsidR="00CA0DC9">
        <w:rPr>
          <w:bCs/>
          <w:sz w:val="22"/>
          <w:szCs w:val="22"/>
        </w:rPr>
        <w:t xml:space="preserve">se ztrátou </w:t>
      </w:r>
      <w:r w:rsidRPr="00326C44">
        <w:rPr>
          <w:bCs/>
          <w:sz w:val="22"/>
          <w:szCs w:val="22"/>
        </w:rPr>
        <w:t xml:space="preserve">alokace za rok </w:t>
      </w:r>
      <w:r w:rsidR="00C82A00" w:rsidRPr="00326C44">
        <w:rPr>
          <w:bCs/>
          <w:sz w:val="22"/>
          <w:szCs w:val="22"/>
        </w:rPr>
        <w:t>2013</w:t>
      </w:r>
      <w:r w:rsidR="000432F6">
        <w:rPr>
          <w:bCs/>
          <w:sz w:val="22"/>
          <w:szCs w:val="22"/>
        </w:rPr>
        <w:t>.</w:t>
      </w:r>
      <w:r w:rsidR="00C82A00">
        <w:rPr>
          <w:bCs/>
          <w:sz w:val="22"/>
          <w:szCs w:val="22"/>
        </w:rPr>
        <w:t xml:space="preserve"> </w:t>
      </w:r>
      <w:r w:rsidR="00A17D7A" w:rsidRPr="00326C44">
        <w:rPr>
          <w:bCs/>
          <w:sz w:val="22"/>
          <w:szCs w:val="22"/>
        </w:rPr>
        <w:t xml:space="preserve">Celková alokace IOP </w:t>
      </w:r>
      <w:r w:rsidRPr="00326C44">
        <w:rPr>
          <w:bCs/>
          <w:sz w:val="22"/>
          <w:szCs w:val="22"/>
        </w:rPr>
        <w:t>tak</w:t>
      </w:r>
      <w:r w:rsidR="0048330F">
        <w:rPr>
          <w:bCs/>
          <w:sz w:val="22"/>
          <w:szCs w:val="22"/>
        </w:rPr>
        <w:t xml:space="preserve"> činí</w:t>
      </w:r>
      <w:r w:rsidRPr="00326C44">
        <w:rPr>
          <w:bCs/>
          <w:sz w:val="22"/>
          <w:szCs w:val="22"/>
        </w:rPr>
        <w:t xml:space="preserve"> </w:t>
      </w:r>
      <w:r w:rsidR="00A17D7A" w:rsidRPr="00326C44">
        <w:rPr>
          <w:bCs/>
          <w:sz w:val="22"/>
          <w:szCs w:val="22"/>
        </w:rPr>
        <w:t>1 617,5 mil EUR, z toho pro cíl Konvergence je vyčleněna rozhodující část – 1 591,4 mil. EUR, pro cíl R</w:t>
      </w:r>
      <w:r w:rsidRPr="00326C44">
        <w:rPr>
          <w:bCs/>
          <w:sz w:val="22"/>
          <w:szCs w:val="22"/>
        </w:rPr>
        <w:t xml:space="preserve">egionální konkurenceschopnost a zaměstnanost </w:t>
      </w:r>
      <w:r w:rsidR="00A17D7A" w:rsidRPr="00326C44">
        <w:rPr>
          <w:bCs/>
          <w:sz w:val="22"/>
          <w:szCs w:val="22"/>
        </w:rPr>
        <w:t>pak částka 26,1 mil. EUR</w:t>
      </w:r>
      <w:r>
        <w:rPr>
          <w:bCs/>
          <w:sz w:val="22"/>
          <w:szCs w:val="22"/>
        </w:rPr>
        <w:t xml:space="preserve">. </w:t>
      </w:r>
    </w:p>
    <w:p w:rsidR="00A75862" w:rsidRPr="001D01D1" w:rsidRDefault="00A75862" w:rsidP="0077415D">
      <w:pPr>
        <w:spacing w:line="314" w:lineRule="auto"/>
        <w:jc w:val="both"/>
        <w:rPr>
          <w:sz w:val="22"/>
          <w:szCs w:val="22"/>
          <w:highlight w:val="yellow"/>
        </w:rPr>
      </w:pPr>
    </w:p>
    <w:p w:rsidR="00A75862" w:rsidRDefault="00A75862" w:rsidP="008C4750">
      <w:pPr>
        <w:autoSpaceDE w:val="0"/>
        <w:autoSpaceDN w:val="0"/>
        <w:adjustRightInd w:val="0"/>
        <w:spacing w:line="314" w:lineRule="auto"/>
        <w:jc w:val="both"/>
        <w:rPr>
          <w:bCs/>
          <w:sz w:val="22"/>
          <w:szCs w:val="22"/>
        </w:rPr>
      </w:pPr>
      <w:r w:rsidRPr="00BB7BC6">
        <w:rPr>
          <w:bCs/>
          <w:sz w:val="22"/>
          <w:szCs w:val="22"/>
        </w:rPr>
        <w:t xml:space="preserve">Do konce </w:t>
      </w:r>
      <w:r w:rsidR="007B6639" w:rsidRPr="00BB7BC6">
        <w:rPr>
          <w:bCs/>
          <w:sz w:val="22"/>
          <w:szCs w:val="22"/>
        </w:rPr>
        <w:t>sledovaného ob</w:t>
      </w:r>
      <w:r w:rsidR="009654C6" w:rsidRPr="00BB7BC6">
        <w:rPr>
          <w:bCs/>
          <w:sz w:val="22"/>
          <w:szCs w:val="22"/>
        </w:rPr>
        <w:t>d</w:t>
      </w:r>
      <w:r w:rsidR="007B6639" w:rsidRPr="00BB7BC6">
        <w:rPr>
          <w:bCs/>
          <w:sz w:val="22"/>
          <w:szCs w:val="22"/>
        </w:rPr>
        <w:t>obí</w:t>
      </w:r>
      <w:r w:rsidRPr="00BB7BC6">
        <w:rPr>
          <w:bCs/>
          <w:sz w:val="22"/>
          <w:szCs w:val="22"/>
        </w:rPr>
        <w:t xml:space="preserve"> byly schváleny k realizaci projekty ve výši </w:t>
      </w:r>
      <w:r w:rsidR="00177BBD" w:rsidRPr="00BB7BC6">
        <w:rPr>
          <w:bCs/>
          <w:sz w:val="22"/>
          <w:szCs w:val="22"/>
        </w:rPr>
        <w:t xml:space="preserve">1 553 </w:t>
      </w:r>
      <w:r w:rsidRPr="00BB7BC6">
        <w:rPr>
          <w:bCs/>
          <w:sz w:val="22"/>
          <w:szCs w:val="22"/>
        </w:rPr>
        <w:t>mil. EUR</w:t>
      </w:r>
      <w:r w:rsidR="007145FA" w:rsidRPr="00BB7BC6">
        <w:rPr>
          <w:bCs/>
          <w:sz w:val="22"/>
          <w:szCs w:val="22"/>
        </w:rPr>
        <w:t xml:space="preserve"> (celkové způsobilé výdaje)</w:t>
      </w:r>
      <w:r w:rsidRPr="00BB7BC6">
        <w:rPr>
          <w:bCs/>
          <w:sz w:val="22"/>
          <w:szCs w:val="22"/>
        </w:rPr>
        <w:t xml:space="preserve">, což představuje </w:t>
      </w:r>
      <w:r w:rsidR="00BB7BC6" w:rsidRPr="00BB7BC6">
        <w:rPr>
          <w:bCs/>
          <w:sz w:val="22"/>
          <w:szCs w:val="22"/>
        </w:rPr>
        <w:t>102,8</w:t>
      </w:r>
      <w:r w:rsidRPr="00BB7BC6">
        <w:rPr>
          <w:bCs/>
          <w:sz w:val="22"/>
          <w:szCs w:val="22"/>
        </w:rPr>
        <w:t xml:space="preserve"> % z celkové alokace. Příjemcům byly proplaceny prostředky v částce </w:t>
      </w:r>
      <w:r w:rsidR="00BB7BC6" w:rsidRPr="00BB7BC6">
        <w:rPr>
          <w:bCs/>
          <w:sz w:val="22"/>
          <w:szCs w:val="22"/>
        </w:rPr>
        <w:t>1 301</w:t>
      </w:r>
      <w:r w:rsidRPr="00BB7BC6">
        <w:rPr>
          <w:bCs/>
          <w:sz w:val="22"/>
          <w:szCs w:val="22"/>
        </w:rPr>
        <w:t xml:space="preserve"> mil. EUR</w:t>
      </w:r>
      <w:r w:rsidR="00BC676B" w:rsidRPr="00BB7BC6">
        <w:rPr>
          <w:bCs/>
          <w:sz w:val="22"/>
          <w:szCs w:val="22"/>
        </w:rPr>
        <w:t xml:space="preserve">, tedy </w:t>
      </w:r>
      <w:r w:rsidR="00BB7BC6" w:rsidRPr="00BB7BC6">
        <w:rPr>
          <w:bCs/>
          <w:sz w:val="22"/>
          <w:szCs w:val="22"/>
        </w:rPr>
        <w:t>68,4</w:t>
      </w:r>
      <w:r w:rsidRPr="00BB7BC6">
        <w:rPr>
          <w:bCs/>
          <w:sz w:val="22"/>
          <w:szCs w:val="22"/>
        </w:rPr>
        <w:t xml:space="preserve"> %</w:t>
      </w:r>
      <w:r w:rsidR="00E571FD" w:rsidRPr="00BB7BC6">
        <w:rPr>
          <w:bCs/>
          <w:sz w:val="22"/>
          <w:szCs w:val="22"/>
        </w:rPr>
        <w:t xml:space="preserve"> z</w:t>
      </w:r>
      <w:r w:rsidRPr="00BB7BC6">
        <w:rPr>
          <w:bCs/>
          <w:sz w:val="22"/>
          <w:szCs w:val="22"/>
        </w:rPr>
        <w:t xml:space="preserve"> celkové alokace. Certi</w:t>
      </w:r>
      <w:r w:rsidR="007145FA" w:rsidRPr="00BB7BC6">
        <w:rPr>
          <w:bCs/>
          <w:sz w:val="22"/>
          <w:szCs w:val="22"/>
        </w:rPr>
        <w:t xml:space="preserve">fikovány byly výdaje ve výši </w:t>
      </w:r>
      <w:r w:rsidR="00BB7BC6" w:rsidRPr="00BB7BC6">
        <w:rPr>
          <w:bCs/>
          <w:sz w:val="22"/>
          <w:szCs w:val="22"/>
        </w:rPr>
        <w:t>1 283</w:t>
      </w:r>
      <w:r w:rsidR="007145FA" w:rsidRPr="00BB7BC6">
        <w:rPr>
          <w:bCs/>
          <w:sz w:val="22"/>
          <w:szCs w:val="22"/>
        </w:rPr>
        <w:t xml:space="preserve"> </w:t>
      </w:r>
      <w:r w:rsidRPr="00BB7BC6">
        <w:rPr>
          <w:bCs/>
          <w:sz w:val="22"/>
          <w:szCs w:val="22"/>
        </w:rPr>
        <w:t>mil EUR</w:t>
      </w:r>
      <w:r w:rsidR="001A383F" w:rsidRPr="00BB7BC6">
        <w:rPr>
          <w:bCs/>
          <w:sz w:val="22"/>
          <w:szCs w:val="22"/>
        </w:rPr>
        <w:t xml:space="preserve"> </w:t>
      </w:r>
      <w:r w:rsidRPr="00BB7BC6">
        <w:rPr>
          <w:bCs/>
          <w:sz w:val="22"/>
          <w:szCs w:val="22"/>
        </w:rPr>
        <w:t>(</w:t>
      </w:r>
      <w:r w:rsidR="00BB7BC6" w:rsidRPr="00BB7BC6">
        <w:rPr>
          <w:bCs/>
          <w:sz w:val="22"/>
          <w:szCs w:val="22"/>
        </w:rPr>
        <w:t>67,4</w:t>
      </w:r>
      <w:r w:rsidR="00CD0C3E" w:rsidRPr="00BB7BC6">
        <w:rPr>
          <w:bCs/>
          <w:sz w:val="22"/>
          <w:szCs w:val="22"/>
        </w:rPr>
        <w:t xml:space="preserve"> </w:t>
      </w:r>
      <w:r w:rsidRPr="00BB7BC6">
        <w:rPr>
          <w:bCs/>
          <w:sz w:val="22"/>
          <w:szCs w:val="22"/>
        </w:rPr>
        <w:t>%)</w:t>
      </w:r>
      <w:r w:rsidR="00481F88" w:rsidRPr="00BB7BC6">
        <w:rPr>
          <w:bCs/>
          <w:sz w:val="22"/>
          <w:szCs w:val="22"/>
        </w:rPr>
        <w:t>.</w:t>
      </w:r>
      <w:r w:rsidRPr="00BB7BC6">
        <w:rPr>
          <w:bCs/>
          <w:sz w:val="22"/>
          <w:szCs w:val="22"/>
        </w:rPr>
        <w:t xml:space="preserve"> </w:t>
      </w:r>
    </w:p>
    <w:p w:rsidR="00F7543E" w:rsidRPr="00C612F9" w:rsidRDefault="00F7543E" w:rsidP="008C4750">
      <w:pPr>
        <w:autoSpaceDE w:val="0"/>
        <w:autoSpaceDN w:val="0"/>
        <w:adjustRightInd w:val="0"/>
        <w:spacing w:line="314" w:lineRule="auto"/>
        <w:jc w:val="both"/>
        <w:rPr>
          <w:bCs/>
          <w:sz w:val="22"/>
          <w:szCs w:val="22"/>
        </w:rPr>
      </w:pPr>
    </w:p>
    <w:p w:rsidR="0049131A" w:rsidRDefault="00C612F9" w:rsidP="00C612F9">
      <w:pPr>
        <w:autoSpaceDE w:val="0"/>
        <w:autoSpaceDN w:val="0"/>
        <w:adjustRightInd w:val="0"/>
        <w:spacing w:line="314" w:lineRule="auto"/>
        <w:jc w:val="both"/>
        <w:rPr>
          <w:sz w:val="22"/>
          <w:szCs w:val="22"/>
        </w:rPr>
      </w:pPr>
      <w:r w:rsidRPr="00417ACE">
        <w:rPr>
          <w:rStyle w:val="Siln"/>
          <w:b w:val="0"/>
          <w:sz w:val="22"/>
          <w:szCs w:val="22"/>
        </w:rPr>
        <w:t xml:space="preserve">Pokrok v čerpání IOP za období od </w:t>
      </w:r>
      <w:r w:rsidR="00F5425B" w:rsidRPr="00417ACE">
        <w:rPr>
          <w:rStyle w:val="Siln"/>
          <w:b w:val="0"/>
          <w:sz w:val="22"/>
          <w:szCs w:val="22"/>
        </w:rPr>
        <w:t>1. 1. 2014</w:t>
      </w:r>
      <w:r w:rsidRPr="00417ACE">
        <w:rPr>
          <w:rStyle w:val="Siln"/>
          <w:b w:val="0"/>
          <w:sz w:val="22"/>
          <w:szCs w:val="22"/>
        </w:rPr>
        <w:t xml:space="preserve"> do </w:t>
      </w:r>
      <w:r w:rsidR="00F5425B" w:rsidRPr="00417ACE">
        <w:rPr>
          <w:rStyle w:val="Siln"/>
          <w:b w:val="0"/>
          <w:sz w:val="22"/>
          <w:szCs w:val="22"/>
        </w:rPr>
        <w:t>31. 12. 2014</w:t>
      </w:r>
      <w:r w:rsidRPr="00417ACE">
        <w:rPr>
          <w:rStyle w:val="Siln"/>
          <w:b w:val="0"/>
          <w:sz w:val="22"/>
          <w:szCs w:val="22"/>
        </w:rPr>
        <w:t xml:space="preserve"> je uveden v následující tabulce. </w:t>
      </w:r>
      <w:r w:rsidR="00E744C7">
        <w:rPr>
          <w:rStyle w:val="Siln"/>
          <w:b w:val="0"/>
          <w:sz w:val="22"/>
          <w:szCs w:val="22"/>
        </w:rPr>
        <w:br/>
      </w:r>
      <w:r w:rsidR="005A7BF5" w:rsidRPr="00417ACE">
        <w:rPr>
          <w:rStyle w:val="Siln"/>
          <w:b w:val="0"/>
          <w:sz w:val="22"/>
          <w:szCs w:val="22"/>
        </w:rPr>
        <w:t xml:space="preserve">Za </w:t>
      </w:r>
      <w:r w:rsidR="00F36909">
        <w:rPr>
          <w:rStyle w:val="Siln"/>
          <w:b w:val="0"/>
          <w:sz w:val="22"/>
          <w:szCs w:val="22"/>
        </w:rPr>
        <w:t>sledované</w:t>
      </w:r>
      <w:r w:rsidR="005A7BF5" w:rsidRPr="00417ACE">
        <w:rPr>
          <w:rStyle w:val="Siln"/>
          <w:b w:val="0"/>
          <w:sz w:val="22"/>
          <w:szCs w:val="22"/>
        </w:rPr>
        <w:t xml:space="preserve"> období došlo ke zvýšení Prostředků krytých Rozhodnutím/Smlouvou o </w:t>
      </w:r>
      <w:r w:rsidR="005A7BF5" w:rsidRPr="00C82A00">
        <w:rPr>
          <w:b/>
          <w:bCs/>
          <w:color w:val="000000"/>
          <w:sz w:val="22"/>
          <w:szCs w:val="22"/>
        </w:rPr>
        <w:t>185 130</w:t>
      </w:r>
      <w:r w:rsidR="005A7BF5" w:rsidRPr="00417ACE">
        <w:rPr>
          <w:b/>
          <w:bCs/>
          <w:color w:val="000000"/>
          <w:sz w:val="22"/>
          <w:szCs w:val="22"/>
        </w:rPr>
        <w:t> </w:t>
      </w:r>
      <w:r w:rsidR="005A7BF5" w:rsidRPr="00C82A00">
        <w:rPr>
          <w:b/>
          <w:bCs/>
          <w:color w:val="000000"/>
          <w:sz w:val="22"/>
          <w:szCs w:val="22"/>
        </w:rPr>
        <w:t>593</w:t>
      </w:r>
      <w:r w:rsidR="005A7BF5" w:rsidRPr="00417ACE">
        <w:rPr>
          <w:b/>
          <w:bCs/>
          <w:color w:val="000000"/>
          <w:sz w:val="22"/>
          <w:szCs w:val="22"/>
        </w:rPr>
        <w:t xml:space="preserve"> </w:t>
      </w:r>
      <w:r w:rsidR="005A7BF5" w:rsidRPr="00417ACE">
        <w:rPr>
          <w:bCs/>
          <w:color w:val="000000"/>
          <w:sz w:val="22"/>
          <w:szCs w:val="22"/>
        </w:rPr>
        <w:t>EUR. Nej</w:t>
      </w:r>
      <w:r w:rsidR="00C61E25">
        <w:rPr>
          <w:bCs/>
          <w:color w:val="000000"/>
          <w:sz w:val="22"/>
          <w:szCs w:val="22"/>
        </w:rPr>
        <w:t>vyšší nárůst</w:t>
      </w:r>
      <w:r w:rsidR="005A7BF5" w:rsidRPr="00417ACE">
        <w:rPr>
          <w:bCs/>
          <w:color w:val="000000"/>
          <w:sz w:val="22"/>
          <w:szCs w:val="22"/>
        </w:rPr>
        <w:t xml:space="preserve"> </w:t>
      </w:r>
      <w:r w:rsidR="00417ACE">
        <w:rPr>
          <w:bCs/>
          <w:color w:val="000000"/>
          <w:sz w:val="22"/>
          <w:szCs w:val="22"/>
        </w:rPr>
        <w:t xml:space="preserve">prostředků krytých </w:t>
      </w:r>
      <w:r w:rsidR="00144FDE" w:rsidRPr="00417ACE">
        <w:rPr>
          <w:bCs/>
          <w:color w:val="000000"/>
          <w:sz w:val="22"/>
          <w:szCs w:val="22"/>
        </w:rPr>
        <w:t>Rozhodnutí</w:t>
      </w:r>
      <w:r w:rsidR="00144FDE">
        <w:rPr>
          <w:bCs/>
          <w:color w:val="000000"/>
          <w:sz w:val="22"/>
          <w:szCs w:val="22"/>
        </w:rPr>
        <w:t xml:space="preserve">m </w:t>
      </w:r>
      <w:r w:rsidR="00144FDE" w:rsidRPr="00417ACE">
        <w:rPr>
          <w:bCs/>
          <w:color w:val="000000"/>
          <w:sz w:val="22"/>
          <w:szCs w:val="22"/>
        </w:rPr>
        <w:t>byl</w:t>
      </w:r>
      <w:r w:rsidR="005A7BF5" w:rsidRPr="00417ACE">
        <w:rPr>
          <w:bCs/>
          <w:color w:val="000000"/>
          <w:sz w:val="22"/>
          <w:szCs w:val="22"/>
        </w:rPr>
        <w:t xml:space="preserve"> v oblasti 3.4 </w:t>
      </w:r>
      <w:r w:rsidR="00965B80" w:rsidRPr="00417ACE">
        <w:rPr>
          <w:sz w:val="22"/>
          <w:szCs w:val="22"/>
        </w:rPr>
        <w:t>Služby v oblasti bezpečnosti, prevence a řešení rizik</w:t>
      </w:r>
      <w:r w:rsidR="00417ACE">
        <w:rPr>
          <w:sz w:val="22"/>
          <w:szCs w:val="22"/>
        </w:rPr>
        <w:t xml:space="preserve"> a v oblasti </w:t>
      </w:r>
      <w:r w:rsidR="00417ACE" w:rsidRPr="00144FDE">
        <w:rPr>
          <w:sz w:val="22"/>
          <w:szCs w:val="22"/>
        </w:rPr>
        <w:t xml:space="preserve">intervence </w:t>
      </w:r>
      <w:r w:rsidR="00417ACE" w:rsidRPr="00965B80">
        <w:rPr>
          <w:color w:val="000000"/>
          <w:sz w:val="22"/>
          <w:szCs w:val="22"/>
        </w:rPr>
        <w:t>5.2 Zlepšení prostředí v problémových sídlištích</w:t>
      </w:r>
      <w:r w:rsidR="00144FDE">
        <w:rPr>
          <w:color w:val="000000"/>
          <w:sz w:val="22"/>
          <w:szCs w:val="22"/>
        </w:rPr>
        <w:t xml:space="preserve">. </w:t>
      </w:r>
      <w:r w:rsidR="009840F3">
        <w:rPr>
          <w:color w:val="000000"/>
          <w:sz w:val="22"/>
          <w:szCs w:val="22"/>
        </w:rPr>
        <w:br/>
      </w:r>
      <w:r w:rsidR="00C61E25">
        <w:rPr>
          <w:color w:val="000000"/>
          <w:sz w:val="22"/>
          <w:szCs w:val="22"/>
        </w:rPr>
        <w:t xml:space="preserve">U některých oblastí intervence jsou </w:t>
      </w:r>
      <w:r w:rsidR="00D61B81">
        <w:rPr>
          <w:color w:val="000000"/>
          <w:sz w:val="22"/>
          <w:szCs w:val="22"/>
        </w:rPr>
        <w:t>mínusové stavy</w:t>
      </w:r>
      <w:r w:rsidR="00C61E25">
        <w:rPr>
          <w:color w:val="000000"/>
          <w:sz w:val="22"/>
          <w:szCs w:val="22"/>
        </w:rPr>
        <w:t>, což je způsobeno skutečností, že d</w:t>
      </w:r>
      <w:r w:rsidR="00144FDE" w:rsidRPr="00991CAF">
        <w:rPr>
          <w:sz w:val="22"/>
          <w:szCs w:val="22"/>
        </w:rPr>
        <w:t>o částky projektů s vydaným Rozhodnutím/podepsanou smlouvou jsou zahrnut</w:t>
      </w:r>
      <w:r w:rsidR="00144FDE">
        <w:rPr>
          <w:sz w:val="22"/>
          <w:szCs w:val="22"/>
        </w:rPr>
        <w:t xml:space="preserve">y </w:t>
      </w:r>
      <w:r w:rsidR="00144FDE" w:rsidRPr="00991CAF">
        <w:rPr>
          <w:sz w:val="22"/>
          <w:szCs w:val="22"/>
        </w:rPr>
        <w:t>úspor</w:t>
      </w:r>
      <w:r w:rsidR="00144FDE">
        <w:rPr>
          <w:sz w:val="22"/>
          <w:szCs w:val="22"/>
        </w:rPr>
        <w:t xml:space="preserve">y, které vznikly nižší </w:t>
      </w:r>
      <w:proofErr w:type="spellStart"/>
      <w:r w:rsidR="00144FDE">
        <w:rPr>
          <w:sz w:val="22"/>
          <w:szCs w:val="22"/>
        </w:rPr>
        <w:t>vysoutěženou</w:t>
      </w:r>
      <w:proofErr w:type="spellEnd"/>
      <w:r w:rsidR="00144FDE" w:rsidRPr="00991CAF">
        <w:rPr>
          <w:sz w:val="22"/>
          <w:szCs w:val="22"/>
        </w:rPr>
        <w:t xml:space="preserve"> </w:t>
      </w:r>
      <w:r w:rsidR="00144FDE">
        <w:rPr>
          <w:sz w:val="22"/>
          <w:szCs w:val="22"/>
        </w:rPr>
        <w:t>cenou dodávky, než</w:t>
      </w:r>
      <w:r w:rsidR="00144FDE" w:rsidRPr="00991CAF">
        <w:rPr>
          <w:sz w:val="22"/>
          <w:szCs w:val="22"/>
        </w:rPr>
        <w:t xml:space="preserve"> příjemce</w:t>
      </w:r>
      <w:r w:rsidR="00144FDE">
        <w:rPr>
          <w:sz w:val="22"/>
          <w:szCs w:val="22"/>
        </w:rPr>
        <w:t xml:space="preserve"> předpokládal.</w:t>
      </w:r>
      <w:r w:rsidR="00144FDE" w:rsidRPr="00991CAF">
        <w:rPr>
          <w:sz w:val="22"/>
          <w:szCs w:val="22"/>
        </w:rPr>
        <w:t xml:space="preserve"> </w:t>
      </w:r>
      <w:r w:rsidR="00144FDE">
        <w:rPr>
          <w:sz w:val="22"/>
          <w:szCs w:val="22"/>
        </w:rPr>
        <w:t>V</w:t>
      </w:r>
      <w:r w:rsidR="00144FDE" w:rsidRPr="00991CAF">
        <w:rPr>
          <w:sz w:val="22"/>
          <w:szCs w:val="22"/>
        </w:rPr>
        <w:t xml:space="preserve"> ostatních oblast</w:t>
      </w:r>
      <w:r w:rsidR="00144FDE">
        <w:rPr>
          <w:sz w:val="22"/>
          <w:szCs w:val="22"/>
        </w:rPr>
        <w:t>ech</w:t>
      </w:r>
      <w:r w:rsidR="00144FDE" w:rsidRPr="00991CAF">
        <w:rPr>
          <w:sz w:val="22"/>
          <w:szCs w:val="22"/>
        </w:rPr>
        <w:t xml:space="preserve"> intervence s mín</w:t>
      </w:r>
      <w:r w:rsidR="00144FDE">
        <w:rPr>
          <w:sz w:val="22"/>
          <w:szCs w:val="22"/>
        </w:rPr>
        <w:t>u</w:t>
      </w:r>
      <w:r w:rsidR="00144FDE" w:rsidRPr="00991CAF">
        <w:rPr>
          <w:sz w:val="22"/>
          <w:szCs w:val="22"/>
        </w:rPr>
        <w:t>sovým stavem</w:t>
      </w:r>
      <w:r w:rsidR="00144FDE">
        <w:rPr>
          <w:sz w:val="22"/>
          <w:szCs w:val="22"/>
        </w:rPr>
        <w:t xml:space="preserve"> pokroku </w:t>
      </w:r>
      <w:r w:rsidR="00144FDE" w:rsidRPr="00991CAF">
        <w:rPr>
          <w:sz w:val="22"/>
          <w:szCs w:val="22"/>
        </w:rPr>
        <w:t>odstoup</w:t>
      </w:r>
      <w:r w:rsidR="00144FDE">
        <w:rPr>
          <w:sz w:val="22"/>
          <w:szCs w:val="22"/>
        </w:rPr>
        <w:t>ili</w:t>
      </w:r>
      <w:r w:rsidR="00144FDE" w:rsidRPr="00991CAF">
        <w:rPr>
          <w:sz w:val="22"/>
          <w:szCs w:val="22"/>
        </w:rPr>
        <w:t xml:space="preserve"> žadatel</w:t>
      </w:r>
      <w:r w:rsidR="00144FDE">
        <w:rPr>
          <w:sz w:val="22"/>
          <w:szCs w:val="22"/>
        </w:rPr>
        <w:t>é</w:t>
      </w:r>
      <w:r w:rsidR="00144FDE" w:rsidRPr="00991CAF">
        <w:rPr>
          <w:sz w:val="22"/>
          <w:szCs w:val="22"/>
        </w:rPr>
        <w:t xml:space="preserve"> od realizace projektů.</w:t>
      </w:r>
      <w:r w:rsidR="00144FDE">
        <w:rPr>
          <w:sz w:val="22"/>
          <w:szCs w:val="22"/>
        </w:rPr>
        <w:t xml:space="preserve"> Žadatelé </w:t>
      </w:r>
      <w:r w:rsidR="00144FDE" w:rsidRPr="00376506">
        <w:rPr>
          <w:sz w:val="22"/>
          <w:szCs w:val="22"/>
        </w:rPr>
        <w:t xml:space="preserve">odstupovali z několika důvodů. Část projektů </w:t>
      </w:r>
      <w:r w:rsidR="00144FDE">
        <w:rPr>
          <w:sz w:val="22"/>
          <w:szCs w:val="22"/>
        </w:rPr>
        <w:t xml:space="preserve">v oblasti intervence 3.1 </w:t>
      </w:r>
      <w:r w:rsidR="00144FDE" w:rsidRPr="00376506">
        <w:rPr>
          <w:sz w:val="22"/>
          <w:szCs w:val="22"/>
        </w:rPr>
        <w:t xml:space="preserve">odstoupila kvůli nesouhlasu místních samospráv a občanů s realizací projektů, který komplikoval a prodlužoval stavební řízení a vydání pravomocného stavebního povolení. Častým </w:t>
      </w:r>
      <w:r w:rsidR="00144FDE">
        <w:rPr>
          <w:sz w:val="22"/>
          <w:szCs w:val="22"/>
        </w:rPr>
        <w:t xml:space="preserve">důvodem pro odstoupení žadatelů od realizace </w:t>
      </w:r>
      <w:r w:rsidR="00144FDE" w:rsidRPr="00376506">
        <w:rPr>
          <w:sz w:val="22"/>
          <w:szCs w:val="22"/>
        </w:rPr>
        <w:t xml:space="preserve">je nutnost opakovat </w:t>
      </w:r>
      <w:r w:rsidR="00144FDE">
        <w:rPr>
          <w:sz w:val="22"/>
          <w:szCs w:val="22"/>
        </w:rPr>
        <w:t xml:space="preserve">zadávací </w:t>
      </w:r>
      <w:r w:rsidR="00144FDE" w:rsidRPr="00376506">
        <w:rPr>
          <w:sz w:val="22"/>
          <w:szCs w:val="22"/>
        </w:rPr>
        <w:t xml:space="preserve">řízení, </w:t>
      </w:r>
      <w:r w:rsidR="00144FDE">
        <w:rPr>
          <w:sz w:val="22"/>
          <w:szCs w:val="22"/>
        </w:rPr>
        <w:t>která zne</w:t>
      </w:r>
      <w:r w:rsidR="00144FDE" w:rsidRPr="00376506">
        <w:rPr>
          <w:sz w:val="22"/>
          <w:szCs w:val="22"/>
        </w:rPr>
        <w:t>mož</w:t>
      </w:r>
      <w:r w:rsidR="00144FDE">
        <w:rPr>
          <w:sz w:val="22"/>
          <w:szCs w:val="22"/>
        </w:rPr>
        <w:t>ňuje</w:t>
      </w:r>
      <w:r w:rsidR="00144FDE" w:rsidRPr="00376506">
        <w:rPr>
          <w:sz w:val="22"/>
          <w:szCs w:val="22"/>
        </w:rPr>
        <w:t xml:space="preserve"> zvládnout realizaci projektu ve stanoveném termínu.</w:t>
      </w:r>
    </w:p>
    <w:p w:rsidR="00144FDE" w:rsidRDefault="00144FDE" w:rsidP="00C612F9">
      <w:pPr>
        <w:autoSpaceDE w:val="0"/>
        <w:autoSpaceDN w:val="0"/>
        <w:adjustRightInd w:val="0"/>
        <w:spacing w:line="314" w:lineRule="auto"/>
        <w:jc w:val="both"/>
        <w:rPr>
          <w:b/>
          <w:sz w:val="22"/>
          <w:szCs w:val="22"/>
        </w:rPr>
      </w:pPr>
    </w:p>
    <w:p w:rsidR="008D12C1" w:rsidRDefault="00556204" w:rsidP="00C612F9">
      <w:pPr>
        <w:autoSpaceDE w:val="0"/>
        <w:autoSpaceDN w:val="0"/>
        <w:adjustRightInd w:val="0"/>
        <w:spacing w:line="314" w:lineRule="auto"/>
        <w:jc w:val="both"/>
        <w:rPr>
          <w:color w:val="000000"/>
          <w:sz w:val="22"/>
          <w:szCs w:val="22"/>
        </w:rPr>
      </w:pPr>
      <w:r>
        <w:rPr>
          <w:sz w:val="22"/>
          <w:szCs w:val="22"/>
        </w:rPr>
        <w:t>Z</w:t>
      </w:r>
      <w:r w:rsidRPr="00556204">
        <w:rPr>
          <w:sz w:val="22"/>
          <w:szCs w:val="22"/>
        </w:rPr>
        <w:t xml:space="preserve">a sledované období </w:t>
      </w:r>
      <w:r>
        <w:rPr>
          <w:sz w:val="22"/>
          <w:szCs w:val="22"/>
        </w:rPr>
        <w:t xml:space="preserve">bylo </w:t>
      </w:r>
      <w:r w:rsidR="008D12C1" w:rsidRPr="00556204">
        <w:rPr>
          <w:sz w:val="22"/>
          <w:szCs w:val="22"/>
        </w:rPr>
        <w:t xml:space="preserve">příjemcům </w:t>
      </w:r>
      <w:r>
        <w:rPr>
          <w:sz w:val="22"/>
          <w:szCs w:val="22"/>
        </w:rPr>
        <w:t xml:space="preserve">proplaceno </w:t>
      </w:r>
      <w:r w:rsidR="008D12C1" w:rsidRPr="00556204">
        <w:rPr>
          <w:sz w:val="22"/>
          <w:szCs w:val="22"/>
        </w:rPr>
        <w:t>celkem</w:t>
      </w:r>
      <w:r w:rsidR="008D12C1" w:rsidRPr="00556204">
        <w:rPr>
          <w:b/>
          <w:sz w:val="22"/>
          <w:szCs w:val="22"/>
        </w:rPr>
        <w:t xml:space="preserve"> </w:t>
      </w:r>
      <w:r w:rsidR="008D12C1" w:rsidRPr="00965B80">
        <w:rPr>
          <w:b/>
          <w:bCs/>
          <w:color w:val="000000"/>
          <w:sz w:val="22"/>
          <w:szCs w:val="22"/>
        </w:rPr>
        <w:t>290 092</w:t>
      </w:r>
      <w:r w:rsidRPr="00556204">
        <w:rPr>
          <w:b/>
          <w:bCs/>
          <w:color w:val="000000"/>
          <w:sz w:val="22"/>
          <w:szCs w:val="22"/>
        </w:rPr>
        <w:t> </w:t>
      </w:r>
      <w:r w:rsidR="008D12C1" w:rsidRPr="00965B80">
        <w:rPr>
          <w:b/>
          <w:bCs/>
          <w:color w:val="000000"/>
          <w:sz w:val="22"/>
          <w:szCs w:val="22"/>
        </w:rPr>
        <w:t>792</w:t>
      </w:r>
      <w:r w:rsidRPr="00556204">
        <w:rPr>
          <w:b/>
          <w:bCs/>
          <w:color w:val="000000"/>
          <w:sz w:val="22"/>
          <w:szCs w:val="22"/>
        </w:rPr>
        <w:t xml:space="preserve"> </w:t>
      </w:r>
      <w:r w:rsidRPr="00556204">
        <w:rPr>
          <w:bCs/>
          <w:color w:val="000000"/>
          <w:sz w:val="22"/>
          <w:szCs w:val="22"/>
        </w:rPr>
        <w:t xml:space="preserve">EUR. Nejvíce prostředků bylo proplaceno v oblasti intervence </w:t>
      </w:r>
      <w:r w:rsidRPr="00965B80">
        <w:rPr>
          <w:color w:val="000000"/>
          <w:sz w:val="22"/>
          <w:szCs w:val="22"/>
        </w:rPr>
        <w:t>5.1 Národní podpora využití potenciálu kulturního dědictví</w:t>
      </w:r>
      <w:r w:rsidRPr="00556204">
        <w:rPr>
          <w:color w:val="000000"/>
          <w:sz w:val="22"/>
          <w:szCs w:val="22"/>
        </w:rPr>
        <w:t xml:space="preserve"> a v oblasti intervence 5.2 </w:t>
      </w:r>
      <w:r w:rsidRPr="00965B80">
        <w:rPr>
          <w:color w:val="000000"/>
          <w:sz w:val="22"/>
          <w:szCs w:val="22"/>
        </w:rPr>
        <w:t>Zlepšení prostředí v problémových sídlištích</w:t>
      </w:r>
      <w:r w:rsidRPr="00556204">
        <w:rPr>
          <w:color w:val="000000"/>
          <w:sz w:val="22"/>
          <w:szCs w:val="22"/>
        </w:rPr>
        <w:t xml:space="preserve">. </w:t>
      </w:r>
    </w:p>
    <w:p w:rsidR="00556204" w:rsidRDefault="00556204" w:rsidP="00C612F9">
      <w:pPr>
        <w:autoSpaceDE w:val="0"/>
        <w:autoSpaceDN w:val="0"/>
        <w:adjustRightInd w:val="0"/>
        <w:spacing w:line="314" w:lineRule="auto"/>
        <w:jc w:val="both"/>
        <w:rPr>
          <w:color w:val="000000"/>
          <w:sz w:val="22"/>
          <w:szCs w:val="22"/>
        </w:rPr>
      </w:pPr>
    </w:p>
    <w:p w:rsidR="00706501" w:rsidRDefault="00434805" w:rsidP="00C612F9">
      <w:pPr>
        <w:autoSpaceDE w:val="0"/>
        <w:autoSpaceDN w:val="0"/>
        <w:adjustRightInd w:val="0"/>
        <w:spacing w:line="314" w:lineRule="auto"/>
        <w:jc w:val="both"/>
        <w:rPr>
          <w:sz w:val="22"/>
          <w:szCs w:val="22"/>
        </w:rPr>
      </w:pPr>
      <w:r w:rsidRPr="00434805">
        <w:rPr>
          <w:sz w:val="22"/>
          <w:szCs w:val="22"/>
        </w:rPr>
        <w:lastRenderedPageBreak/>
        <w:t>V r. 2014</w:t>
      </w:r>
      <w:r>
        <w:rPr>
          <w:sz w:val="22"/>
          <w:szCs w:val="22"/>
        </w:rPr>
        <w:t xml:space="preserve"> proběhly celkem 2 certifikace</w:t>
      </w:r>
      <w:r w:rsidRPr="00434805">
        <w:rPr>
          <w:sz w:val="22"/>
          <w:szCs w:val="22"/>
        </w:rPr>
        <w:t xml:space="preserve"> 12. a 13. V rámci 12. certifikace byly předloženy k certifikaci celkové způsobilé výdaje ve </w:t>
      </w:r>
      <w:r w:rsidR="000B3C47" w:rsidRPr="00434805">
        <w:rPr>
          <w:sz w:val="22"/>
          <w:szCs w:val="22"/>
        </w:rPr>
        <w:t xml:space="preserve">výši </w:t>
      </w:r>
      <w:r w:rsidR="000B3C47" w:rsidRPr="00F058AD">
        <w:rPr>
          <w:b/>
          <w:sz w:val="22"/>
          <w:szCs w:val="22"/>
        </w:rPr>
        <w:t>127 575 751,34</w:t>
      </w:r>
      <w:r w:rsidR="000B3C47">
        <w:rPr>
          <w:sz w:val="22"/>
          <w:szCs w:val="22"/>
        </w:rPr>
        <w:t xml:space="preserve"> </w:t>
      </w:r>
      <w:r w:rsidRPr="00434805">
        <w:rPr>
          <w:b/>
          <w:bCs/>
          <w:color w:val="000000"/>
          <w:sz w:val="22"/>
          <w:szCs w:val="22"/>
        </w:rPr>
        <w:t>EUR</w:t>
      </w:r>
      <w:r w:rsidRPr="00434805">
        <w:rPr>
          <w:b/>
          <w:sz w:val="22"/>
          <w:szCs w:val="22"/>
        </w:rPr>
        <w:t xml:space="preserve"> </w:t>
      </w:r>
      <w:r w:rsidRPr="00434805">
        <w:rPr>
          <w:sz w:val="22"/>
          <w:szCs w:val="22"/>
        </w:rPr>
        <w:t xml:space="preserve">a v rámci 13. certifikace ve výši </w:t>
      </w:r>
      <w:r w:rsidRPr="00434805">
        <w:rPr>
          <w:b/>
          <w:sz w:val="22"/>
          <w:szCs w:val="22"/>
        </w:rPr>
        <w:t>168 476 144,11 EUR</w:t>
      </w:r>
      <w:r w:rsidRPr="00434805">
        <w:rPr>
          <w:sz w:val="22"/>
          <w:szCs w:val="22"/>
        </w:rPr>
        <w:t>.</w:t>
      </w:r>
    </w:p>
    <w:p w:rsidR="001701A3" w:rsidRPr="00434805" w:rsidRDefault="001701A3" w:rsidP="00C612F9">
      <w:pPr>
        <w:autoSpaceDE w:val="0"/>
        <w:autoSpaceDN w:val="0"/>
        <w:adjustRightInd w:val="0"/>
        <w:spacing w:line="314" w:lineRule="auto"/>
        <w:jc w:val="both"/>
        <w:rPr>
          <w:b/>
          <w:sz w:val="22"/>
          <w:szCs w:val="22"/>
        </w:rPr>
      </w:pPr>
    </w:p>
    <w:p w:rsidR="00144FDE" w:rsidRPr="00097B45" w:rsidRDefault="00144FDE" w:rsidP="006F4E26">
      <w:pPr>
        <w:pStyle w:val="Tabulkanzev"/>
      </w:pPr>
      <w:bookmarkStart w:id="1" w:name="_Toc416431789"/>
      <w:r w:rsidRPr="00097B45">
        <w:t xml:space="preserve">Pokrok v čerpání IOP za </w:t>
      </w:r>
      <w:r w:rsidRPr="006F4E26">
        <w:t>období</w:t>
      </w:r>
      <w:r w:rsidRPr="00097B45">
        <w:t xml:space="preserve"> od </w:t>
      </w:r>
      <w:r w:rsidR="00106026" w:rsidRPr="00097B45">
        <w:t>1. 1. 2014</w:t>
      </w:r>
      <w:r w:rsidRPr="00097B45">
        <w:t xml:space="preserve"> do </w:t>
      </w:r>
      <w:bookmarkEnd w:id="1"/>
      <w:r w:rsidR="00106026" w:rsidRPr="00097B45">
        <w:t>31. 12. 2014</w:t>
      </w:r>
    </w:p>
    <w:tbl>
      <w:tblPr>
        <w:tblW w:w="9030" w:type="dxa"/>
        <w:tblInd w:w="55" w:type="dxa"/>
        <w:tblBorders>
          <w:top w:val="double" w:sz="4" w:space="0" w:color="auto"/>
          <w:left w:val="double" w:sz="4" w:space="0" w:color="auto"/>
          <w:bottom w:val="double" w:sz="4" w:space="0" w:color="auto"/>
          <w:right w:val="double" w:sz="4" w:space="0" w:color="auto"/>
          <w:insideH w:val="single" w:sz="8" w:space="0" w:color="4F6228" w:themeColor="accent3" w:themeShade="80"/>
          <w:insideV w:val="single" w:sz="8" w:space="0" w:color="4F6228" w:themeColor="accent3" w:themeShade="80"/>
        </w:tblBorders>
        <w:tblCellMar>
          <w:left w:w="70" w:type="dxa"/>
          <w:right w:w="70" w:type="dxa"/>
        </w:tblCellMar>
        <w:tblLook w:val="04A0" w:firstRow="1" w:lastRow="0" w:firstColumn="1" w:lastColumn="0" w:noHBand="0" w:noVBand="1"/>
      </w:tblPr>
      <w:tblGrid>
        <w:gridCol w:w="1471"/>
        <w:gridCol w:w="3372"/>
        <w:gridCol w:w="2082"/>
        <w:gridCol w:w="2105"/>
      </w:tblGrid>
      <w:tr w:rsidR="00434805" w:rsidRPr="00434805" w:rsidTr="00434805">
        <w:trPr>
          <w:trHeight w:val="314"/>
        </w:trPr>
        <w:tc>
          <w:tcPr>
            <w:tcW w:w="1471" w:type="dxa"/>
            <w:vMerge w:val="restart"/>
            <w:shd w:val="clear" w:color="000000" w:fill="C4D79B"/>
            <w:vAlign w:val="center"/>
            <w:hideMark/>
          </w:tcPr>
          <w:p w:rsidR="00434805" w:rsidRPr="00434805" w:rsidRDefault="00434805" w:rsidP="00434805">
            <w:pPr>
              <w:jc w:val="center"/>
              <w:rPr>
                <w:b/>
                <w:bCs/>
                <w:color w:val="000000"/>
                <w:sz w:val="16"/>
                <w:szCs w:val="16"/>
              </w:rPr>
            </w:pPr>
            <w:r w:rsidRPr="00434805">
              <w:rPr>
                <w:b/>
                <w:bCs/>
                <w:color w:val="000000"/>
                <w:sz w:val="16"/>
                <w:szCs w:val="16"/>
              </w:rPr>
              <w:t>Prioritní osy</w:t>
            </w:r>
          </w:p>
        </w:tc>
        <w:tc>
          <w:tcPr>
            <w:tcW w:w="3372" w:type="dxa"/>
            <w:vMerge w:val="restart"/>
            <w:shd w:val="clear" w:color="000000" w:fill="C4D79B"/>
            <w:vAlign w:val="center"/>
            <w:hideMark/>
          </w:tcPr>
          <w:p w:rsidR="00434805" w:rsidRPr="00434805" w:rsidRDefault="00434805" w:rsidP="00434805">
            <w:pPr>
              <w:jc w:val="center"/>
              <w:rPr>
                <w:b/>
                <w:bCs/>
                <w:color w:val="000000"/>
                <w:sz w:val="16"/>
                <w:szCs w:val="16"/>
              </w:rPr>
            </w:pPr>
            <w:r w:rsidRPr="00434805">
              <w:rPr>
                <w:b/>
                <w:bCs/>
                <w:color w:val="000000"/>
                <w:sz w:val="16"/>
                <w:szCs w:val="16"/>
              </w:rPr>
              <w:t>Oblast podpory</w:t>
            </w:r>
          </w:p>
        </w:tc>
        <w:tc>
          <w:tcPr>
            <w:tcW w:w="2082" w:type="dxa"/>
            <w:vMerge w:val="restart"/>
            <w:shd w:val="clear" w:color="000000" w:fill="C4D79B"/>
            <w:vAlign w:val="center"/>
            <w:hideMark/>
          </w:tcPr>
          <w:p w:rsidR="00434805" w:rsidRPr="00434805" w:rsidRDefault="00434805" w:rsidP="00434805">
            <w:pPr>
              <w:jc w:val="center"/>
              <w:rPr>
                <w:b/>
                <w:bCs/>
                <w:color w:val="000000"/>
                <w:sz w:val="16"/>
                <w:szCs w:val="16"/>
              </w:rPr>
            </w:pPr>
            <w:r w:rsidRPr="00434805">
              <w:rPr>
                <w:b/>
                <w:bCs/>
                <w:color w:val="000000"/>
                <w:sz w:val="16"/>
                <w:szCs w:val="16"/>
              </w:rPr>
              <w:t>Prostředky kryté Rozhodnutím / Smlouvou (dodatkem)</w:t>
            </w:r>
          </w:p>
        </w:tc>
        <w:tc>
          <w:tcPr>
            <w:tcW w:w="2105" w:type="dxa"/>
            <w:vMerge w:val="restart"/>
            <w:shd w:val="clear" w:color="000000" w:fill="C4D79B"/>
            <w:vAlign w:val="center"/>
            <w:hideMark/>
          </w:tcPr>
          <w:p w:rsidR="00434805" w:rsidRPr="00434805" w:rsidRDefault="00434805" w:rsidP="00434805">
            <w:pPr>
              <w:jc w:val="center"/>
              <w:rPr>
                <w:b/>
                <w:bCs/>
                <w:color w:val="000000"/>
                <w:sz w:val="16"/>
                <w:szCs w:val="16"/>
              </w:rPr>
            </w:pPr>
            <w:r w:rsidRPr="00434805">
              <w:rPr>
                <w:b/>
                <w:bCs/>
                <w:color w:val="000000"/>
                <w:sz w:val="16"/>
                <w:szCs w:val="16"/>
              </w:rPr>
              <w:t>Proplacené prostředky příjemcům (vyúčtované prostředky)</w:t>
            </w:r>
          </w:p>
        </w:tc>
      </w:tr>
      <w:tr w:rsidR="00434805" w:rsidRPr="00434805" w:rsidTr="00434805">
        <w:trPr>
          <w:trHeight w:val="299"/>
        </w:trPr>
        <w:tc>
          <w:tcPr>
            <w:tcW w:w="1471" w:type="dxa"/>
            <w:vMerge/>
            <w:vAlign w:val="center"/>
            <w:hideMark/>
          </w:tcPr>
          <w:p w:rsidR="00434805" w:rsidRPr="00434805" w:rsidRDefault="00434805" w:rsidP="00434805">
            <w:pPr>
              <w:rPr>
                <w:b/>
                <w:bCs/>
                <w:color w:val="000000"/>
                <w:sz w:val="16"/>
                <w:szCs w:val="16"/>
              </w:rPr>
            </w:pPr>
          </w:p>
        </w:tc>
        <w:tc>
          <w:tcPr>
            <w:tcW w:w="3372" w:type="dxa"/>
            <w:vMerge/>
            <w:vAlign w:val="center"/>
            <w:hideMark/>
          </w:tcPr>
          <w:p w:rsidR="00434805" w:rsidRPr="00434805" w:rsidRDefault="00434805" w:rsidP="00434805">
            <w:pPr>
              <w:rPr>
                <w:b/>
                <w:bCs/>
                <w:color w:val="000000"/>
                <w:sz w:val="16"/>
                <w:szCs w:val="16"/>
              </w:rPr>
            </w:pPr>
          </w:p>
        </w:tc>
        <w:tc>
          <w:tcPr>
            <w:tcW w:w="2082" w:type="dxa"/>
            <w:vMerge/>
            <w:vAlign w:val="center"/>
            <w:hideMark/>
          </w:tcPr>
          <w:p w:rsidR="00434805" w:rsidRPr="00434805" w:rsidRDefault="00434805" w:rsidP="00434805">
            <w:pPr>
              <w:rPr>
                <w:b/>
                <w:bCs/>
                <w:color w:val="000000"/>
                <w:sz w:val="16"/>
                <w:szCs w:val="16"/>
              </w:rPr>
            </w:pPr>
          </w:p>
        </w:tc>
        <w:tc>
          <w:tcPr>
            <w:tcW w:w="2105" w:type="dxa"/>
            <w:vMerge/>
            <w:vAlign w:val="center"/>
            <w:hideMark/>
          </w:tcPr>
          <w:p w:rsidR="00434805" w:rsidRPr="00434805" w:rsidRDefault="00434805" w:rsidP="00434805">
            <w:pPr>
              <w:rPr>
                <w:b/>
                <w:bCs/>
                <w:color w:val="000000"/>
                <w:sz w:val="16"/>
                <w:szCs w:val="16"/>
              </w:rPr>
            </w:pPr>
          </w:p>
        </w:tc>
      </w:tr>
      <w:tr w:rsidR="00434805" w:rsidRPr="00434805" w:rsidTr="00434805">
        <w:trPr>
          <w:trHeight w:val="299"/>
        </w:trPr>
        <w:tc>
          <w:tcPr>
            <w:tcW w:w="1471" w:type="dxa"/>
            <w:vMerge/>
            <w:vAlign w:val="center"/>
            <w:hideMark/>
          </w:tcPr>
          <w:p w:rsidR="00434805" w:rsidRPr="00434805" w:rsidRDefault="00434805" w:rsidP="00434805">
            <w:pPr>
              <w:rPr>
                <w:b/>
                <w:bCs/>
                <w:color w:val="000000"/>
                <w:sz w:val="16"/>
                <w:szCs w:val="16"/>
              </w:rPr>
            </w:pPr>
          </w:p>
        </w:tc>
        <w:tc>
          <w:tcPr>
            <w:tcW w:w="3372" w:type="dxa"/>
            <w:vMerge/>
            <w:vAlign w:val="center"/>
            <w:hideMark/>
          </w:tcPr>
          <w:p w:rsidR="00434805" w:rsidRPr="00434805" w:rsidRDefault="00434805" w:rsidP="00434805">
            <w:pPr>
              <w:rPr>
                <w:b/>
                <w:bCs/>
                <w:color w:val="000000"/>
                <w:sz w:val="16"/>
                <w:szCs w:val="16"/>
              </w:rPr>
            </w:pPr>
          </w:p>
        </w:tc>
        <w:tc>
          <w:tcPr>
            <w:tcW w:w="2082" w:type="dxa"/>
            <w:vMerge/>
            <w:vAlign w:val="center"/>
            <w:hideMark/>
          </w:tcPr>
          <w:p w:rsidR="00434805" w:rsidRPr="00434805" w:rsidRDefault="00434805" w:rsidP="00434805">
            <w:pPr>
              <w:rPr>
                <w:b/>
                <w:bCs/>
                <w:color w:val="000000"/>
                <w:sz w:val="16"/>
                <w:szCs w:val="16"/>
              </w:rPr>
            </w:pPr>
          </w:p>
        </w:tc>
        <w:tc>
          <w:tcPr>
            <w:tcW w:w="2105" w:type="dxa"/>
            <w:vMerge/>
            <w:vAlign w:val="center"/>
            <w:hideMark/>
          </w:tcPr>
          <w:p w:rsidR="00434805" w:rsidRPr="00434805" w:rsidRDefault="00434805" w:rsidP="00434805">
            <w:pPr>
              <w:rPr>
                <w:b/>
                <w:bCs/>
                <w:color w:val="000000"/>
                <w:sz w:val="16"/>
                <w:szCs w:val="16"/>
              </w:rPr>
            </w:pPr>
          </w:p>
        </w:tc>
      </w:tr>
      <w:tr w:rsidR="00434805" w:rsidRPr="00434805" w:rsidTr="00C10281">
        <w:trPr>
          <w:trHeight w:val="478"/>
        </w:trPr>
        <w:tc>
          <w:tcPr>
            <w:tcW w:w="1471" w:type="dxa"/>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1a</w:t>
            </w: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1.1a Rozvoj informační společnosti ve veřejné správě</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-11 454 452</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37 940 200</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 xml:space="preserve">1a Celkem </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-11 454 452</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37 940 200</w:t>
            </w:r>
          </w:p>
        </w:tc>
      </w:tr>
      <w:tr w:rsidR="00434805" w:rsidRPr="00434805" w:rsidTr="00C10281">
        <w:trPr>
          <w:trHeight w:val="478"/>
        </w:trPr>
        <w:tc>
          <w:tcPr>
            <w:tcW w:w="1471" w:type="dxa"/>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1b</w:t>
            </w: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1.1b  Rozvoj informační společnosti ve veřejné správě</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-881 112</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2 918 478</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 xml:space="preserve">1b Celkem </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-881 112</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2 918 478</w:t>
            </w:r>
          </w:p>
        </w:tc>
      </w:tr>
      <w:tr w:rsidR="00434805" w:rsidRPr="00434805" w:rsidTr="00C10281">
        <w:trPr>
          <w:trHeight w:val="478"/>
        </w:trPr>
        <w:tc>
          <w:tcPr>
            <w:tcW w:w="1471" w:type="dxa"/>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2</w:t>
            </w:r>
          </w:p>
        </w:tc>
        <w:tc>
          <w:tcPr>
            <w:tcW w:w="3372" w:type="dxa"/>
            <w:shd w:val="clear" w:color="000000" w:fill="FFFFFF"/>
            <w:vAlign w:val="center"/>
            <w:hideMark/>
          </w:tcPr>
          <w:p w:rsidR="00434805" w:rsidRPr="00434805" w:rsidRDefault="00474327" w:rsidP="00474327">
            <w:pPr>
              <w:rPr>
                <w:color w:val="000000"/>
                <w:sz w:val="18"/>
                <w:szCs w:val="18"/>
              </w:rPr>
            </w:pPr>
            <w:r w:rsidRPr="00434805">
              <w:rPr>
                <w:color w:val="000000"/>
                <w:sz w:val="18"/>
                <w:szCs w:val="18"/>
              </w:rPr>
              <w:t>2.1 Zavádění</w:t>
            </w:r>
            <w:r w:rsidR="00434805" w:rsidRPr="00434805">
              <w:rPr>
                <w:color w:val="000000"/>
                <w:sz w:val="18"/>
                <w:szCs w:val="18"/>
              </w:rPr>
              <w:t xml:space="preserve"> ICT v územní veřejné správě</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24 868 629</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19 764 476</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 xml:space="preserve">2 Celkem </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24 868 629</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19 764 476</w:t>
            </w:r>
          </w:p>
        </w:tc>
      </w:tr>
      <w:tr w:rsidR="00434805" w:rsidRPr="00434805" w:rsidTr="00C10281">
        <w:trPr>
          <w:trHeight w:val="299"/>
        </w:trPr>
        <w:tc>
          <w:tcPr>
            <w:tcW w:w="1471" w:type="dxa"/>
            <w:vMerge w:val="restart"/>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3</w:t>
            </w:r>
          </w:p>
        </w:tc>
        <w:tc>
          <w:tcPr>
            <w:tcW w:w="3372" w:type="dxa"/>
            <w:shd w:val="clear" w:color="000000" w:fill="FFFFFF"/>
            <w:vAlign w:val="center"/>
            <w:hideMark/>
          </w:tcPr>
          <w:p w:rsidR="00434805" w:rsidRPr="00434805" w:rsidRDefault="00474327" w:rsidP="00474327">
            <w:pPr>
              <w:rPr>
                <w:color w:val="000000"/>
                <w:sz w:val="18"/>
                <w:szCs w:val="18"/>
              </w:rPr>
            </w:pPr>
            <w:r w:rsidRPr="00434805">
              <w:rPr>
                <w:color w:val="000000"/>
                <w:sz w:val="18"/>
                <w:szCs w:val="18"/>
              </w:rPr>
              <w:t>3.1 Služby</w:t>
            </w:r>
            <w:r w:rsidR="00434805" w:rsidRPr="00434805">
              <w:rPr>
                <w:color w:val="000000"/>
                <w:sz w:val="18"/>
                <w:szCs w:val="18"/>
              </w:rPr>
              <w:t xml:space="preserve"> v oblasti sociální integrace</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-1 147 859</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15 714 526</w:t>
            </w:r>
          </w:p>
        </w:tc>
      </w:tr>
      <w:tr w:rsidR="00434805" w:rsidRPr="00434805" w:rsidTr="00C10281">
        <w:trPr>
          <w:trHeight w:val="299"/>
        </w:trPr>
        <w:tc>
          <w:tcPr>
            <w:tcW w:w="1471" w:type="dxa"/>
            <w:vMerge/>
            <w:vAlign w:val="center"/>
            <w:hideMark/>
          </w:tcPr>
          <w:p w:rsidR="00434805" w:rsidRPr="00434805" w:rsidRDefault="00434805" w:rsidP="00434805">
            <w:pPr>
              <w:rPr>
                <w:color w:val="000000"/>
                <w:sz w:val="18"/>
                <w:szCs w:val="18"/>
              </w:rPr>
            </w:pPr>
          </w:p>
        </w:tc>
        <w:tc>
          <w:tcPr>
            <w:tcW w:w="3372" w:type="dxa"/>
            <w:shd w:val="clear" w:color="000000" w:fill="FFFFFF"/>
            <w:vAlign w:val="center"/>
            <w:hideMark/>
          </w:tcPr>
          <w:p w:rsidR="00434805" w:rsidRPr="00434805" w:rsidRDefault="00474327" w:rsidP="00474327">
            <w:pPr>
              <w:rPr>
                <w:color w:val="000000"/>
                <w:sz w:val="18"/>
                <w:szCs w:val="18"/>
              </w:rPr>
            </w:pPr>
            <w:r w:rsidRPr="00434805">
              <w:rPr>
                <w:color w:val="000000"/>
                <w:sz w:val="18"/>
                <w:szCs w:val="18"/>
              </w:rPr>
              <w:t>3.2 Služby</w:t>
            </w:r>
            <w:r w:rsidR="00434805" w:rsidRPr="00434805">
              <w:rPr>
                <w:color w:val="000000"/>
                <w:sz w:val="18"/>
                <w:szCs w:val="18"/>
              </w:rPr>
              <w:t xml:space="preserve"> v oblasti veřejného zdraví</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-4 083 546</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43 369 234</w:t>
            </w:r>
          </w:p>
        </w:tc>
      </w:tr>
      <w:tr w:rsidR="00434805" w:rsidRPr="00434805" w:rsidTr="00C10281">
        <w:trPr>
          <w:trHeight w:val="299"/>
        </w:trPr>
        <w:tc>
          <w:tcPr>
            <w:tcW w:w="1471" w:type="dxa"/>
            <w:vMerge/>
            <w:vAlign w:val="center"/>
            <w:hideMark/>
          </w:tcPr>
          <w:p w:rsidR="00434805" w:rsidRPr="00434805" w:rsidRDefault="00434805" w:rsidP="00434805">
            <w:pPr>
              <w:rPr>
                <w:color w:val="000000"/>
                <w:sz w:val="18"/>
                <w:szCs w:val="18"/>
              </w:rPr>
            </w:pP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3.3 Služby v oblasti zaměstnanosti</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-11 116 618</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2 627 957</w:t>
            </w:r>
          </w:p>
        </w:tc>
      </w:tr>
      <w:tr w:rsidR="00434805" w:rsidRPr="00434805" w:rsidTr="00C10281">
        <w:trPr>
          <w:trHeight w:val="478"/>
        </w:trPr>
        <w:tc>
          <w:tcPr>
            <w:tcW w:w="1471" w:type="dxa"/>
            <w:vMerge/>
            <w:vAlign w:val="center"/>
            <w:hideMark/>
          </w:tcPr>
          <w:p w:rsidR="00434805" w:rsidRPr="00434805" w:rsidRDefault="00434805" w:rsidP="00434805">
            <w:pPr>
              <w:rPr>
                <w:color w:val="000000"/>
                <w:sz w:val="18"/>
                <w:szCs w:val="18"/>
              </w:rPr>
            </w:pP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 xml:space="preserve">3.4 Služby v oblasti bezpečnosti, prevence </w:t>
            </w:r>
            <w:r w:rsidR="00AD2499">
              <w:rPr>
                <w:color w:val="000000"/>
                <w:sz w:val="18"/>
                <w:szCs w:val="18"/>
              </w:rPr>
              <w:br/>
            </w:r>
            <w:r w:rsidRPr="00434805">
              <w:rPr>
                <w:color w:val="000000"/>
                <w:sz w:val="18"/>
                <w:szCs w:val="18"/>
              </w:rPr>
              <w:t>a řešení rizik</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145 035 129</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43 644 198</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3 Celkem</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128 687 106</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105 355 914</w:t>
            </w:r>
          </w:p>
        </w:tc>
      </w:tr>
      <w:tr w:rsidR="00434805" w:rsidRPr="00434805" w:rsidTr="00C10281">
        <w:trPr>
          <w:trHeight w:val="350"/>
        </w:trPr>
        <w:tc>
          <w:tcPr>
            <w:tcW w:w="1471" w:type="dxa"/>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4a</w:t>
            </w: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4.1a Národní podpora cestovního ruchu</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4 846 767</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14 060 012</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 xml:space="preserve">4a Celkem </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4 846 767</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14 060 012</w:t>
            </w:r>
          </w:p>
        </w:tc>
      </w:tr>
      <w:tr w:rsidR="00434805" w:rsidRPr="00434805" w:rsidTr="00C10281">
        <w:trPr>
          <w:trHeight w:val="478"/>
        </w:trPr>
        <w:tc>
          <w:tcPr>
            <w:tcW w:w="1471" w:type="dxa"/>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4b</w:t>
            </w: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4.1b Národní podpora cestovního ruchu</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405 633</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1 081 539</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 xml:space="preserve">4b Celkem </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405 633</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1 081 539</w:t>
            </w:r>
          </w:p>
        </w:tc>
      </w:tr>
      <w:tr w:rsidR="00434805" w:rsidRPr="00434805" w:rsidTr="00C10281">
        <w:trPr>
          <w:trHeight w:val="478"/>
        </w:trPr>
        <w:tc>
          <w:tcPr>
            <w:tcW w:w="1471" w:type="dxa"/>
            <w:vMerge w:val="restart"/>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5</w:t>
            </w: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5.1 Národní podpora využití potenciálu kulturního dědictví</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7 913 128</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52 532 828</w:t>
            </w:r>
          </w:p>
        </w:tc>
      </w:tr>
      <w:tr w:rsidR="00434805" w:rsidRPr="00434805" w:rsidTr="00C10281">
        <w:trPr>
          <w:trHeight w:val="478"/>
        </w:trPr>
        <w:tc>
          <w:tcPr>
            <w:tcW w:w="1471" w:type="dxa"/>
            <w:vMerge/>
            <w:vAlign w:val="center"/>
            <w:hideMark/>
          </w:tcPr>
          <w:p w:rsidR="00434805" w:rsidRPr="00434805" w:rsidRDefault="00434805" w:rsidP="00434805">
            <w:pPr>
              <w:rPr>
                <w:color w:val="000000"/>
                <w:sz w:val="18"/>
                <w:szCs w:val="18"/>
              </w:rPr>
            </w:pP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5.2 Zlepšení prostředí v problémových sídlištích</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26 959 028</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50 195 410</w:t>
            </w:r>
          </w:p>
        </w:tc>
      </w:tr>
      <w:tr w:rsidR="00434805" w:rsidRPr="00434805" w:rsidTr="00C10281">
        <w:trPr>
          <w:trHeight w:val="430"/>
        </w:trPr>
        <w:tc>
          <w:tcPr>
            <w:tcW w:w="1471" w:type="dxa"/>
            <w:vMerge/>
            <w:vAlign w:val="center"/>
            <w:hideMark/>
          </w:tcPr>
          <w:p w:rsidR="00434805" w:rsidRPr="00434805" w:rsidRDefault="00434805" w:rsidP="00434805">
            <w:pPr>
              <w:rPr>
                <w:color w:val="000000"/>
                <w:sz w:val="18"/>
                <w:szCs w:val="18"/>
              </w:rPr>
            </w:pPr>
          </w:p>
        </w:tc>
        <w:tc>
          <w:tcPr>
            <w:tcW w:w="3372" w:type="dxa"/>
            <w:shd w:val="clear" w:color="000000" w:fill="FFFFFF"/>
            <w:vAlign w:val="center"/>
            <w:hideMark/>
          </w:tcPr>
          <w:p w:rsidR="00434805" w:rsidRPr="00434805" w:rsidRDefault="00474327" w:rsidP="00474327">
            <w:pPr>
              <w:rPr>
                <w:color w:val="000000"/>
                <w:sz w:val="18"/>
                <w:szCs w:val="18"/>
              </w:rPr>
            </w:pPr>
            <w:r w:rsidRPr="00434805">
              <w:rPr>
                <w:color w:val="000000"/>
                <w:sz w:val="18"/>
                <w:szCs w:val="18"/>
              </w:rPr>
              <w:t>5.3 Modernizace</w:t>
            </w:r>
            <w:r w:rsidR="00434805" w:rsidRPr="00434805">
              <w:rPr>
                <w:color w:val="000000"/>
                <w:sz w:val="18"/>
                <w:szCs w:val="18"/>
              </w:rPr>
              <w:t xml:space="preserve"> a rozvoj systémů tvorby územních politik</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52 079</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1 247 831</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 xml:space="preserve">5 Celkem </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34 924 235</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103 976 068</w:t>
            </w:r>
          </w:p>
        </w:tc>
      </w:tr>
      <w:tr w:rsidR="00434805" w:rsidRPr="00434805" w:rsidTr="00C10281">
        <w:trPr>
          <w:trHeight w:val="299"/>
        </w:trPr>
        <w:tc>
          <w:tcPr>
            <w:tcW w:w="1471" w:type="dxa"/>
            <w:vMerge w:val="restart"/>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6a</w:t>
            </w: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6.1a Aktivity spojené s řízením IOP</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3 411 272</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4 463 803</w:t>
            </w:r>
          </w:p>
        </w:tc>
      </w:tr>
      <w:tr w:rsidR="00434805" w:rsidRPr="00434805" w:rsidTr="00C10281">
        <w:trPr>
          <w:trHeight w:val="276"/>
        </w:trPr>
        <w:tc>
          <w:tcPr>
            <w:tcW w:w="1471" w:type="dxa"/>
            <w:vMerge/>
            <w:vAlign w:val="center"/>
            <w:hideMark/>
          </w:tcPr>
          <w:p w:rsidR="00434805" w:rsidRPr="00434805" w:rsidRDefault="00434805" w:rsidP="00434805">
            <w:pPr>
              <w:rPr>
                <w:color w:val="000000"/>
                <w:sz w:val="18"/>
                <w:szCs w:val="18"/>
              </w:rPr>
            </w:pP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6.2a Ostatní náklady technické pomoci IOP</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255 110</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442 110</w:t>
            </w:r>
          </w:p>
        </w:tc>
      </w:tr>
      <w:tr w:rsidR="00434805" w:rsidRPr="00434805" w:rsidTr="00C10281">
        <w:trPr>
          <w:trHeight w:val="299"/>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6a Součet</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3 666 382</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4 905 912</w:t>
            </w:r>
          </w:p>
        </w:tc>
      </w:tr>
      <w:tr w:rsidR="00434805" w:rsidRPr="00434805" w:rsidTr="00C10281">
        <w:trPr>
          <w:trHeight w:val="299"/>
        </w:trPr>
        <w:tc>
          <w:tcPr>
            <w:tcW w:w="1471" w:type="dxa"/>
            <w:vMerge w:val="restart"/>
            <w:shd w:val="clear" w:color="000000" w:fill="FFFFFF"/>
            <w:vAlign w:val="center"/>
            <w:hideMark/>
          </w:tcPr>
          <w:p w:rsidR="00434805" w:rsidRPr="00434805" w:rsidRDefault="00434805" w:rsidP="00434805">
            <w:pPr>
              <w:jc w:val="center"/>
              <w:rPr>
                <w:color w:val="000000"/>
                <w:sz w:val="18"/>
                <w:szCs w:val="18"/>
              </w:rPr>
            </w:pPr>
            <w:r w:rsidRPr="00434805">
              <w:rPr>
                <w:color w:val="000000"/>
                <w:sz w:val="18"/>
                <w:szCs w:val="18"/>
              </w:rPr>
              <w:t>6b</w:t>
            </w: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6.1b Aktivity spojené s řízením IOP</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62 716</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82 065</w:t>
            </w:r>
          </w:p>
        </w:tc>
      </w:tr>
      <w:tr w:rsidR="00434805" w:rsidRPr="00434805" w:rsidTr="00C10281">
        <w:trPr>
          <w:trHeight w:val="264"/>
        </w:trPr>
        <w:tc>
          <w:tcPr>
            <w:tcW w:w="1471" w:type="dxa"/>
            <w:vMerge/>
            <w:vAlign w:val="center"/>
            <w:hideMark/>
          </w:tcPr>
          <w:p w:rsidR="00434805" w:rsidRPr="00434805" w:rsidRDefault="00434805" w:rsidP="00434805">
            <w:pPr>
              <w:rPr>
                <w:color w:val="000000"/>
                <w:sz w:val="18"/>
                <w:szCs w:val="18"/>
              </w:rPr>
            </w:pPr>
          </w:p>
        </w:tc>
        <w:tc>
          <w:tcPr>
            <w:tcW w:w="3372" w:type="dxa"/>
            <w:shd w:val="clear" w:color="000000" w:fill="FFFFFF"/>
            <w:vAlign w:val="center"/>
            <w:hideMark/>
          </w:tcPr>
          <w:p w:rsidR="00434805" w:rsidRPr="00434805" w:rsidRDefault="00434805" w:rsidP="00474327">
            <w:pPr>
              <w:rPr>
                <w:color w:val="000000"/>
                <w:sz w:val="18"/>
                <w:szCs w:val="18"/>
              </w:rPr>
            </w:pPr>
            <w:r w:rsidRPr="00434805">
              <w:rPr>
                <w:color w:val="000000"/>
                <w:sz w:val="18"/>
                <w:szCs w:val="18"/>
              </w:rPr>
              <w:t>6.2b Ostatní náklady technické pomoci IOP</w:t>
            </w:r>
          </w:p>
        </w:tc>
        <w:tc>
          <w:tcPr>
            <w:tcW w:w="2082"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4 690</w:t>
            </w:r>
          </w:p>
        </w:tc>
        <w:tc>
          <w:tcPr>
            <w:tcW w:w="2105" w:type="dxa"/>
            <w:shd w:val="clear" w:color="auto" w:fill="auto"/>
            <w:noWrap/>
            <w:vAlign w:val="center"/>
            <w:hideMark/>
          </w:tcPr>
          <w:p w:rsidR="00434805" w:rsidRPr="00434805" w:rsidRDefault="00434805" w:rsidP="00C10281">
            <w:pPr>
              <w:jc w:val="center"/>
              <w:rPr>
                <w:color w:val="000000"/>
                <w:sz w:val="18"/>
                <w:szCs w:val="18"/>
              </w:rPr>
            </w:pPr>
            <w:r w:rsidRPr="00434805">
              <w:rPr>
                <w:color w:val="000000"/>
                <w:sz w:val="18"/>
                <w:szCs w:val="18"/>
              </w:rPr>
              <w:t>8 128</w:t>
            </w:r>
          </w:p>
        </w:tc>
      </w:tr>
      <w:tr w:rsidR="00434805" w:rsidRPr="00434805" w:rsidTr="00C10281">
        <w:trPr>
          <w:trHeight w:val="314"/>
        </w:trPr>
        <w:tc>
          <w:tcPr>
            <w:tcW w:w="1471" w:type="dxa"/>
            <w:shd w:val="clear" w:color="000000" w:fill="D8E4BC"/>
            <w:vAlign w:val="center"/>
            <w:hideMark/>
          </w:tcPr>
          <w:p w:rsidR="00434805" w:rsidRPr="00434805" w:rsidRDefault="00434805" w:rsidP="00434805">
            <w:pPr>
              <w:jc w:val="center"/>
              <w:rPr>
                <w:b/>
                <w:bCs/>
                <w:color w:val="000000"/>
                <w:sz w:val="18"/>
                <w:szCs w:val="18"/>
              </w:rPr>
            </w:pPr>
            <w:r w:rsidRPr="00434805">
              <w:rPr>
                <w:b/>
                <w:bCs/>
                <w:color w:val="000000"/>
                <w:sz w:val="18"/>
                <w:szCs w:val="18"/>
              </w:rPr>
              <w:t>6b Součet</w:t>
            </w:r>
          </w:p>
        </w:tc>
        <w:tc>
          <w:tcPr>
            <w:tcW w:w="3372" w:type="dxa"/>
            <w:shd w:val="clear" w:color="000000" w:fill="D8E4BC"/>
            <w:vAlign w:val="center"/>
            <w:hideMark/>
          </w:tcPr>
          <w:p w:rsidR="00434805" w:rsidRPr="00434805" w:rsidRDefault="00434805" w:rsidP="00474327">
            <w:pPr>
              <w:rPr>
                <w:b/>
                <w:bCs/>
                <w:color w:val="000000"/>
                <w:sz w:val="18"/>
                <w:szCs w:val="18"/>
              </w:rPr>
            </w:pPr>
            <w:r w:rsidRPr="00434805">
              <w:rPr>
                <w:b/>
                <w:bCs/>
                <w:color w:val="000000"/>
                <w:sz w:val="18"/>
                <w:szCs w:val="18"/>
              </w:rPr>
              <w:t> </w:t>
            </w:r>
          </w:p>
        </w:tc>
        <w:tc>
          <w:tcPr>
            <w:tcW w:w="2082"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67 407</w:t>
            </w:r>
          </w:p>
        </w:tc>
        <w:tc>
          <w:tcPr>
            <w:tcW w:w="2105" w:type="dxa"/>
            <w:shd w:val="clear" w:color="000000" w:fill="D8E4BC"/>
            <w:vAlign w:val="center"/>
            <w:hideMark/>
          </w:tcPr>
          <w:p w:rsidR="00434805" w:rsidRPr="00434805" w:rsidRDefault="00434805" w:rsidP="00C10281">
            <w:pPr>
              <w:jc w:val="center"/>
              <w:rPr>
                <w:b/>
                <w:bCs/>
                <w:color w:val="000000"/>
                <w:sz w:val="18"/>
                <w:szCs w:val="18"/>
              </w:rPr>
            </w:pPr>
            <w:r w:rsidRPr="00434805">
              <w:rPr>
                <w:b/>
                <w:bCs/>
                <w:color w:val="000000"/>
                <w:sz w:val="18"/>
                <w:szCs w:val="18"/>
              </w:rPr>
              <w:t>90 193</w:t>
            </w:r>
          </w:p>
        </w:tc>
      </w:tr>
      <w:tr w:rsidR="00434805" w:rsidRPr="00434805" w:rsidTr="00434805">
        <w:trPr>
          <w:trHeight w:val="314"/>
        </w:trPr>
        <w:tc>
          <w:tcPr>
            <w:tcW w:w="4843" w:type="dxa"/>
            <w:gridSpan w:val="2"/>
            <w:shd w:val="clear" w:color="000000" w:fill="9BBB59"/>
            <w:vAlign w:val="center"/>
            <w:hideMark/>
          </w:tcPr>
          <w:p w:rsidR="00434805" w:rsidRPr="00434805" w:rsidRDefault="00434805" w:rsidP="00434805">
            <w:pPr>
              <w:jc w:val="center"/>
              <w:rPr>
                <w:b/>
                <w:bCs/>
                <w:color w:val="000000"/>
                <w:sz w:val="18"/>
                <w:szCs w:val="18"/>
              </w:rPr>
            </w:pPr>
            <w:r w:rsidRPr="00434805">
              <w:rPr>
                <w:b/>
                <w:bCs/>
                <w:color w:val="000000"/>
                <w:sz w:val="18"/>
                <w:szCs w:val="18"/>
              </w:rPr>
              <w:t xml:space="preserve">Celkem za IOP </w:t>
            </w:r>
          </w:p>
        </w:tc>
        <w:tc>
          <w:tcPr>
            <w:tcW w:w="2082" w:type="dxa"/>
            <w:shd w:val="clear" w:color="000000" w:fill="9BBB59"/>
            <w:noWrap/>
            <w:vAlign w:val="bottom"/>
            <w:hideMark/>
          </w:tcPr>
          <w:p w:rsidR="00434805" w:rsidRPr="00434805" w:rsidRDefault="00434805" w:rsidP="00434805">
            <w:pPr>
              <w:jc w:val="center"/>
              <w:rPr>
                <w:b/>
                <w:bCs/>
                <w:color w:val="000000"/>
                <w:sz w:val="18"/>
                <w:szCs w:val="18"/>
              </w:rPr>
            </w:pPr>
            <w:r w:rsidRPr="00434805">
              <w:rPr>
                <w:b/>
                <w:bCs/>
                <w:color w:val="000000"/>
                <w:sz w:val="18"/>
                <w:szCs w:val="18"/>
              </w:rPr>
              <w:t>185 130 593</w:t>
            </w:r>
          </w:p>
        </w:tc>
        <w:tc>
          <w:tcPr>
            <w:tcW w:w="2105" w:type="dxa"/>
            <w:shd w:val="clear" w:color="000000" w:fill="9BBB59"/>
            <w:noWrap/>
            <w:vAlign w:val="bottom"/>
            <w:hideMark/>
          </w:tcPr>
          <w:p w:rsidR="00434805" w:rsidRPr="00434805" w:rsidRDefault="00434805" w:rsidP="00434805">
            <w:pPr>
              <w:jc w:val="center"/>
              <w:rPr>
                <w:b/>
                <w:bCs/>
                <w:color w:val="000000"/>
                <w:sz w:val="18"/>
                <w:szCs w:val="18"/>
              </w:rPr>
            </w:pPr>
            <w:r w:rsidRPr="00434805">
              <w:rPr>
                <w:b/>
                <w:bCs/>
                <w:color w:val="000000"/>
                <w:sz w:val="18"/>
                <w:szCs w:val="18"/>
              </w:rPr>
              <w:t>290 092 792</w:t>
            </w:r>
          </w:p>
        </w:tc>
      </w:tr>
    </w:tbl>
    <w:p w:rsidR="00C82A00" w:rsidRPr="00064C0F" w:rsidRDefault="00064C0F" w:rsidP="0077415D">
      <w:pPr>
        <w:pStyle w:val="TextNOK"/>
        <w:spacing w:line="314" w:lineRule="auto"/>
        <w:rPr>
          <w:i/>
          <w:sz w:val="20"/>
          <w:szCs w:val="20"/>
        </w:rPr>
      </w:pPr>
      <w:r w:rsidRPr="00064C0F">
        <w:rPr>
          <w:i/>
          <w:sz w:val="20"/>
          <w:szCs w:val="20"/>
        </w:rPr>
        <w:t>Zdroj dat: MSC2007 k 31. 12. 2013;MSC2007 k 31. 12. 2014</w:t>
      </w:r>
    </w:p>
    <w:p w:rsidR="00C82A00" w:rsidRDefault="00C82A00" w:rsidP="0077415D">
      <w:pPr>
        <w:pStyle w:val="TextNOK"/>
        <w:spacing w:line="314" w:lineRule="auto"/>
        <w:rPr>
          <w:szCs w:val="22"/>
          <w:highlight w:val="yellow"/>
        </w:rPr>
      </w:pPr>
    </w:p>
    <w:p w:rsidR="00C82A00" w:rsidRPr="001D01D1" w:rsidRDefault="00C82A00" w:rsidP="0077415D">
      <w:pPr>
        <w:pStyle w:val="TextNOK"/>
        <w:spacing w:line="314" w:lineRule="auto"/>
        <w:rPr>
          <w:szCs w:val="22"/>
          <w:highlight w:val="yellow"/>
        </w:rPr>
      </w:pPr>
    </w:p>
    <w:p w:rsidR="00A75862" w:rsidRDefault="00376F5A" w:rsidP="0077415D">
      <w:pPr>
        <w:autoSpaceDE w:val="0"/>
        <w:autoSpaceDN w:val="0"/>
        <w:adjustRightInd w:val="0"/>
        <w:spacing w:line="348" w:lineRule="auto"/>
        <w:jc w:val="both"/>
        <w:rPr>
          <w:sz w:val="22"/>
          <w:szCs w:val="22"/>
        </w:rPr>
      </w:pPr>
      <w:r w:rsidRPr="00DA387B">
        <w:rPr>
          <w:sz w:val="22"/>
          <w:szCs w:val="22"/>
        </w:rPr>
        <w:lastRenderedPageBreak/>
        <w:t>Výhled čerpání na začátku roku 201</w:t>
      </w:r>
      <w:r w:rsidR="00DA387B" w:rsidRPr="00DA387B">
        <w:rPr>
          <w:sz w:val="22"/>
          <w:szCs w:val="22"/>
        </w:rPr>
        <w:t>4</w:t>
      </w:r>
      <w:r w:rsidRPr="00DA387B">
        <w:rPr>
          <w:sz w:val="22"/>
          <w:szCs w:val="22"/>
        </w:rPr>
        <w:t xml:space="preserve"> odhadoval ztrátu alokace ve výši 5 mld. K</w:t>
      </w:r>
      <w:r w:rsidR="000432F6">
        <w:rPr>
          <w:sz w:val="22"/>
          <w:szCs w:val="22"/>
        </w:rPr>
        <w:t>č. Díky realizaci řady opatření, například</w:t>
      </w:r>
      <w:r w:rsidR="000432F6">
        <w:rPr>
          <w:bCs/>
          <w:sz w:val="22"/>
          <w:szCs w:val="22"/>
        </w:rPr>
        <w:t xml:space="preserve"> aplikací</w:t>
      </w:r>
      <w:r w:rsidR="000432F6" w:rsidRPr="00CB3098">
        <w:rPr>
          <w:bCs/>
          <w:sz w:val="22"/>
          <w:szCs w:val="22"/>
        </w:rPr>
        <w:t xml:space="preserve"> článku 95 nařízení (ES) č. 1083/2</w:t>
      </w:r>
      <w:r w:rsidR="000432F6">
        <w:rPr>
          <w:bCs/>
          <w:sz w:val="22"/>
          <w:szCs w:val="22"/>
        </w:rPr>
        <w:t xml:space="preserve">006, </w:t>
      </w:r>
      <w:r w:rsidRPr="00DA387B">
        <w:rPr>
          <w:sz w:val="22"/>
          <w:szCs w:val="22"/>
        </w:rPr>
        <w:t>se podařilo snížit ztrátu alokace na</w:t>
      </w:r>
      <w:r w:rsidR="00382395">
        <w:rPr>
          <w:sz w:val="22"/>
          <w:szCs w:val="22"/>
        </w:rPr>
        <w:t xml:space="preserve"> přibližně</w:t>
      </w:r>
      <w:r w:rsidRPr="00DA387B">
        <w:rPr>
          <w:sz w:val="22"/>
          <w:szCs w:val="22"/>
        </w:rPr>
        <w:t xml:space="preserve"> </w:t>
      </w:r>
      <w:r w:rsidR="00DA387B" w:rsidRPr="00DA387B">
        <w:rPr>
          <w:sz w:val="22"/>
          <w:szCs w:val="22"/>
        </w:rPr>
        <w:t>64</w:t>
      </w:r>
      <w:r w:rsidR="007A4A5A" w:rsidRPr="00DA387B">
        <w:rPr>
          <w:sz w:val="22"/>
          <w:szCs w:val="22"/>
        </w:rPr>
        <w:t xml:space="preserve"> </w:t>
      </w:r>
      <w:r w:rsidRPr="00DA387B">
        <w:rPr>
          <w:sz w:val="22"/>
          <w:szCs w:val="22"/>
        </w:rPr>
        <w:t xml:space="preserve">mil. </w:t>
      </w:r>
      <w:r w:rsidR="00DA387B" w:rsidRPr="00DA387B">
        <w:rPr>
          <w:sz w:val="22"/>
          <w:szCs w:val="22"/>
        </w:rPr>
        <w:t>Kč</w:t>
      </w:r>
      <w:r w:rsidR="00DA387B">
        <w:rPr>
          <w:sz w:val="22"/>
          <w:szCs w:val="22"/>
        </w:rPr>
        <w:t>.</w:t>
      </w:r>
    </w:p>
    <w:p w:rsidR="00DA387B" w:rsidRDefault="00DA387B" w:rsidP="0077415D">
      <w:pPr>
        <w:autoSpaceDE w:val="0"/>
        <w:autoSpaceDN w:val="0"/>
        <w:adjustRightInd w:val="0"/>
        <w:spacing w:line="348" w:lineRule="auto"/>
        <w:jc w:val="both"/>
        <w:rPr>
          <w:sz w:val="22"/>
          <w:szCs w:val="22"/>
        </w:rPr>
      </w:pPr>
    </w:p>
    <w:p w:rsidR="00CD0CE6" w:rsidRPr="00DA387B" w:rsidRDefault="00CD0CE6" w:rsidP="00CD0CE6">
      <w:pPr>
        <w:autoSpaceDE w:val="0"/>
        <w:autoSpaceDN w:val="0"/>
        <w:adjustRightInd w:val="0"/>
        <w:spacing w:line="348" w:lineRule="auto"/>
        <w:jc w:val="both"/>
        <w:rPr>
          <w:sz w:val="22"/>
          <w:szCs w:val="22"/>
        </w:rPr>
      </w:pPr>
      <w:r w:rsidRPr="00DA387B">
        <w:rPr>
          <w:sz w:val="22"/>
          <w:szCs w:val="22"/>
        </w:rPr>
        <w:t xml:space="preserve">ŘO IOP na začátku roku 2015 odhaduje objem volných prostředků programu v celkové výši 1,22 mld. Kč. V této částce není zohledněna existence spících a rizikových projektů. Tyto projekty představují potenciální </w:t>
      </w:r>
      <w:r>
        <w:rPr>
          <w:sz w:val="22"/>
          <w:szCs w:val="22"/>
        </w:rPr>
        <w:t>riziko</w:t>
      </w:r>
      <w:r w:rsidRPr="00DA387B">
        <w:rPr>
          <w:sz w:val="22"/>
          <w:szCs w:val="22"/>
        </w:rPr>
        <w:t xml:space="preserve"> dalších uvolněných prostředků, které již nebude možné absorbovat. Při naplnění optimistických očekávání předpokládá ŘO IOP nedočerpání </w:t>
      </w:r>
      <w:r>
        <w:rPr>
          <w:sz w:val="22"/>
          <w:szCs w:val="22"/>
        </w:rPr>
        <w:t xml:space="preserve">alokace </w:t>
      </w:r>
      <w:r w:rsidRPr="00DA387B">
        <w:rPr>
          <w:sz w:val="22"/>
          <w:szCs w:val="22"/>
        </w:rPr>
        <w:t>programu 2,75 mld. Kč, pesimistickou variantou je ztráta ve výši 4,78 mld. Kč.</w:t>
      </w:r>
    </w:p>
    <w:p w:rsidR="00DA387B" w:rsidRPr="00356483" w:rsidRDefault="00DA387B" w:rsidP="0077415D">
      <w:pPr>
        <w:autoSpaceDE w:val="0"/>
        <w:autoSpaceDN w:val="0"/>
        <w:adjustRightInd w:val="0"/>
        <w:spacing w:line="348" w:lineRule="auto"/>
        <w:jc w:val="both"/>
        <w:rPr>
          <w:sz w:val="22"/>
          <w:szCs w:val="22"/>
        </w:rPr>
      </w:pPr>
    </w:p>
    <w:p w:rsidR="000E450A" w:rsidRPr="00345712" w:rsidRDefault="00380843" w:rsidP="00345712">
      <w:pPr>
        <w:autoSpaceDE w:val="0"/>
        <w:autoSpaceDN w:val="0"/>
        <w:adjustRightInd w:val="0"/>
        <w:spacing w:line="314" w:lineRule="auto"/>
        <w:jc w:val="both"/>
        <w:rPr>
          <w:bCs/>
          <w:sz w:val="22"/>
          <w:szCs w:val="22"/>
        </w:rPr>
      </w:pPr>
      <w:r>
        <w:rPr>
          <w:bCs/>
          <w:sz w:val="22"/>
          <w:szCs w:val="22"/>
        </w:rPr>
        <w:t>ŘO IOP předložil EK</w:t>
      </w:r>
      <w:r w:rsidR="00382395">
        <w:rPr>
          <w:bCs/>
          <w:sz w:val="22"/>
          <w:szCs w:val="22"/>
        </w:rPr>
        <w:t xml:space="preserve"> v roce 2013</w:t>
      </w:r>
      <w:r>
        <w:rPr>
          <w:bCs/>
          <w:sz w:val="22"/>
          <w:szCs w:val="22"/>
        </w:rPr>
        <w:t xml:space="preserve"> dva </w:t>
      </w:r>
      <w:r w:rsidR="00F9066E" w:rsidRPr="00345712">
        <w:rPr>
          <w:bCs/>
          <w:sz w:val="22"/>
          <w:szCs w:val="22"/>
        </w:rPr>
        <w:t xml:space="preserve">velké projekty („Připravenost Hasičského záchranného sboru České republiky k řešení povodní“ a „Zvýšení akceschopnosti Policie ČR k záchraně lidských životů </w:t>
      </w:r>
      <w:r w:rsidR="000B568E" w:rsidRPr="00345712">
        <w:rPr>
          <w:bCs/>
          <w:sz w:val="22"/>
          <w:szCs w:val="22"/>
        </w:rPr>
        <w:br/>
      </w:r>
      <w:r w:rsidR="00F9066E" w:rsidRPr="00345712">
        <w:rPr>
          <w:bCs/>
          <w:sz w:val="22"/>
          <w:szCs w:val="22"/>
        </w:rPr>
        <w:t>a ochraně majetku při povodních“).</w:t>
      </w:r>
      <w:r w:rsidR="00896AE4" w:rsidRPr="00345712">
        <w:rPr>
          <w:bCs/>
          <w:sz w:val="22"/>
          <w:szCs w:val="22"/>
        </w:rPr>
        <w:t xml:space="preserve"> </w:t>
      </w:r>
      <w:r w:rsidR="000E450A" w:rsidRPr="00345712">
        <w:rPr>
          <w:bCs/>
          <w:sz w:val="22"/>
          <w:szCs w:val="22"/>
        </w:rPr>
        <w:t>Na základě požadavků EK předložil  ŘO IOP u projektu „Připravenost Hasičského záchranného sboru České republiky k řešení povodní</w:t>
      </w:r>
      <w:r w:rsidR="00345712">
        <w:rPr>
          <w:bCs/>
          <w:sz w:val="22"/>
          <w:szCs w:val="22"/>
        </w:rPr>
        <w:t>“</w:t>
      </w:r>
      <w:r w:rsidR="000E450A" w:rsidRPr="00345712">
        <w:rPr>
          <w:bCs/>
          <w:sz w:val="22"/>
          <w:szCs w:val="22"/>
        </w:rPr>
        <w:t xml:space="preserve"> dne 30. 5. 2014 upravenou žádost, kde zpřesnil účel pořizované techniky a rozšířil analýzu potřeb projektu. Evropská komise projekt dne 14. 8. 2014 schválila.</w:t>
      </w:r>
    </w:p>
    <w:p w:rsidR="000E450A" w:rsidRPr="00345712" w:rsidRDefault="000E450A" w:rsidP="00345712">
      <w:pPr>
        <w:autoSpaceDE w:val="0"/>
        <w:autoSpaceDN w:val="0"/>
        <w:adjustRightInd w:val="0"/>
        <w:spacing w:line="314" w:lineRule="auto"/>
        <w:jc w:val="both"/>
        <w:rPr>
          <w:bCs/>
          <w:sz w:val="22"/>
          <w:szCs w:val="22"/>
        </w:rPr>
      </w:pPr>
    </w:p>
    <w:p w:rsidR="007A4A5A" w:rsidRDefault="00380843" w:rsidP="00245870">
      <w:pPr>
        <w:autoSpaceDE w:val="0"/>
        <w:autoSpaceDN w:val="0"/>
        <w:adjustRightInd w:val="0"/>
        <w:spacing w:line="314" w:lineRule="auto"/>
        <w:jc w:val="both"/>
        <w:rPr>
          <w:bCs/>
          <w:sz w:val="22"/>
          <w:szCs w:val="22"/>
        </w:rPr>
      </w:pPr>
      <w:r w:rsidRPr="00345712">
        <w:rPr>
          <w:bCs/>
          <w:sz w:val="22"/>
          <w:szCs w:val="22"/>
        </w:rPr>
        <w:t xml:space="preserve">U projektu Policejního prezídia ČR probíhalo doplňování požadovaných informací a projekt není schválený. </w:t>
      </w:r>
    </w:p>
    <w:p w:rsidR="00D107D5" w:rsidRDefault="00D107D5" w:rsidP="00245870">
      <w:pPr>
        <w:autoSpaceDE w:val="0"/>
        <w:autoSpaceDN w:val="0"/>
        <w:adjustRightInd w:val="0"/>
        <w:spacing w:line="314" w:lineRule="auto"/>
        <w:jc w:val="both"/>
        <w:rPr>
          <w:sz w:val="22"/>
          <w:szCs w:val="22"/>
        </w:rPr>
      </w:pPr>
    </w:p>
    <w:p w:rsidR="003E682C" w:rsidRPr="003E682C" w:rsidRDefault="00E26F4F" w:rsidP="003E682C">
      <w:pPr>
        <w:autoSpaceDE w:val="0"/>
        <w:autoSpaceDN w:val="0"/>
        <w:adjustRightInd w:val="0"/>
        <w:spacing w:line="314" w:lineRule="auto"/>
        <w:jc w:val="both"/>
        <w:rPr>
          <w:bCs/>
          <w:sz w:val="22"/>
          <w:szCs w:val="22"/>
        </w:rPr>
      </w:pPr>
      <w:r w:rsidRPr="00AD1D9C">
        <w:rPr>
          <w:sz w:val="22"/>
          <w:szCs w:val="22"/>
        </w:rPr>
        <w:t>ŘO IOP ve spolupráci s </w:t>
      </w:r>
      <w:r w:rsidRPr="001B1EB3">
        <w:rPr>
          <w:sz w:val="22"/>
          <w:szCs w:val="22"/>
        </w:rPr>
        <w:t>městem Pardubice zorganizoval</w:t>
      </w:r>
      <w:r>
        <w:rPr>
          <w:sz w:val="22"/>
          <w:szCs w:val="22"/>
        </w:rPr>
        <w:t xml:space="preserve"> v zastupitelském sálu magistrátu téhož města</w:t>
      </w:r>
      <w:r w:rsidRPr="001B1EB3">
        <w:rPr>
          <w:sz w:val="22"/>
          <w:szCs w:val="22"/>
        </w:rPr>
        <w:t xml:space="preserve"> </w:t>
      </w:r>
      <w:r>
        <w:rPr>
          <w:sz w:val="22"/>
          <w:szCs w:val="22"/>
        </w:rPr>
        <w:t xml:space="preserve">úspěšnou </w:t>
      </w:r>
      <w:r w:rsidRPr="001B1EB3">
        <w:rPr>
          <w:sz w:val="22"/>
          <w:szCs w:val="22"/>
        </w:rPr>
        <w:t>„Konferenci IOP a IROP: Úspěchy a nové cíle“</w:t>
      </w:r>
      <w:r>
        <w:rPr>
          <w:sz w:val="22"/>
          <w:szCs w:val="22"/>
        </w:rPr>
        <w:t xml:space="preserve"> dne 24. září 2014.</w:t>
      </w:r>
      <w:r w:rsidRPr="001B1EB3">
        <w:rPr>
          <w:sz w:val="22"/>
          <w:szCs w:val="22"/>
        </w:rPr>
        <w:t xml:space="preserve"> Hlavním tématem bylo </w:t>
      </w:r>
      <w:r w:rsidRPr="00A77887">
        <w:rPr>
          <w:sz w:val="22"/>
          <w:szCs w:val="22"/>
        </w:rPr>
        <w:t xml:space="preserve">zhodnocení zkušeností z </w:t>
      </w:r>
      <w:r>
        <w:rPr>
          <w:sz w:val="22"/>
          <w:szCs w:val="22"/>
        </w:rPr>
        <w:t xml:space="preserve">IOP a </w:t>
      </w:r>
      <w:r w:rsidRPr="00A77887">
        <w:rPr>
          <w:sz w:val="22"/>
          <w:szCs w:val="22"/>
        </w:rPr>
        <w:t>seznámení s novým programovým obdobím a dotačními možnostmi v</w:t>
      </w:r>
      <w:r>
        <w:rPr>
          <w:sz w:val="22"/>
          <w:szCs w:val="22"/>
        </w:rPr>
        <w:t xml:space="preserve"> Integrovaném regionálním operačním programu (IROP). Také byly </w:t>
      </w:r>
      <w:r w:rsidRPr="00AD1D9C">
        <w:rPr>
          <w:sz w:val="22"/>
          <w:szCs w:val="22"/>
        </w:rPr>
        <w:t xml:space="preserve">představeny některé úspěšné projekty IOP </w:t>
      </w:r>
      <w:r w:rsidRPr="001B1EB3">
        <w:rPr>
          <w:sz w:val="22"/>
          <w:szCs w:val="22"/>
        </w:rPr>
        <w:t>a nové specifické cíle IROP. Pozornost byla věnována novinkám</w:t>
      </w:r>
      <w:r>
        <w:rPr>
          <w:sz w:val="22"/>
          <w:szCs w:val="22"/>
        </w:rPr>
        <w:t>,</w:t>
      </w:r>
      <w:r w:rsidRPr="001B1EB3">
        <w:rPr>
          <w:sz w:val="22"/>
          <w:szCs w:val="22"/>
        </w:rPr>
        <w:t xml:space="preserve"> jako jsou Integrované územní investice (ITI).</w:t>
      </w:r>
      <w:r w:rsidR="003E682C" w:rsidRPr="003E682C">
        <w:rPr>
          <w:bCs/>
          <w:sz w:val="22"/>
          <w:szCs w:val="22"/>
        </w:rPr>
        <w:t xml:space="preserve"> </w:t>
      </w:r>
    </w:p>
    <w:p w:rsidR="003E682C" w:rsidRDefault="003E682C" w:rsidP="0077415D">
      <w:pPr>
        <w:autoSpaceDE w:val="0"/>
        <w:autoSpaceDN w:val="0"/>
        <w:adjustRightInd w:val="0"/>
        <w:spacing w:line="348" w:lineRule="auto"/>
        <w:jc w:val="both"/>
        <w:rPr>
          <w:sz w:val="22"/>
          <w:szCs w:val="22"/>
        </w:rPr>
      </w:pPr>
    </w:p>
    <w:p w:rsidR="00C9250D" w:rsidRDefault="00C9250D" w:rsidP="00C9250D">
      <w:pPr>
        <w:pStyle w:val="odrka"/>
        <w:numPr>
          <w:ilvl w:val="0"/>
          <w:numId w:val="0"/>
        </w:numPr>
        <w:ind w:left="700" w:hanging="360"/>
      </w:pPr>
    </w:p>
    <w:p w:rsidR="00C9250D" w:rsidRDefault="00C9250D" w:rsidP="00C9250D">
      <w:pPr>
        <w:pStyle w:val="odrka"/>
        <w:numPr>
          <w:ilvl w:val="0"/>
          <w:numId w:val="0"/>
        </w:numPr>
        <w:ind w:left="700" w:hanging="360"/>
      </w:pPr>
    </w:p>
    <w:p w:rsidR="00A75862" w:rsidRPr="003F4A89" w:rsidRDefault="00A75862" w:rsidP="00EA135A">
      <w:pPr>
        <w:pStyle w:val="Nadpis1"/>
        <w:rPr>
          <w:b w:val="0"/>
          <w:color w:val="FF0000"/>
          <w:sz w:val="22"/>
          <w:szCs w:val="22"/>
        </w:rPr>
      </w:pPr>
      <w:r>
        <w:rPr>
          <w:sz w:val="28"/>
          <w:szCs w:val="28"/>
        </w:rPr>
        <w:br w:type="page"/>
      </w:r>
      <w:bookmarkStart w:id="2" w:name="_Toc417024829"/>
      <w:r w:rsidRPr="00C512CE">
        <w:rPr>
          <w:rFonts w:ascii="Times New Roman" w:hAnsi="Times New Roman"/>
          <w:color w:val="76923C"/>
        </w:rPr>
        <w:lastRenderedPageBreak/>
        <w:t>1 IDENTIFIKACE PROGRAMU</w:t>
      </w:r>
      <w:bookmarkEnd w:id="2"/>
    </w:p>
    <w:tbl>
      <w:tblPr>
        <w:tblW w:w="4942" w:type="pct"/>
        <w:jc w:val="center"/>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000" w:firstRow="0" w:lastRow="0" w:firstColumn="0" w:lastColumn="0" w:noHBand="0" w:noVBand="0"/>
      </w:tblPr>
      <w:tblGrid>
        <w:gridCol w:w="3543"/>
        <w:gridCol w:w="5637"/>
      </w:tblGrid>
      <w:tr w:rsidR="00A75862" w:rsidRPr="00093231" w:rsidTr="009026D3">
        <w:trPr>
          <w:cantSplit/>
          <w:trHeight w:val="478"/>
          <w:jc w:val="center"/>
        </w:trPr>
        <w:tc>
          <w:tcPr>
            <w:tcW w:w="1930" w:type="pct"/>
            <w:vMerge w:val="restart"/>
            <w:vAlign w:val="center"/>
          </w:tcPr>
          <w:p w:rsidR="00A75862" w:rsidRPr="0047183F" w:rsidRDefault="00A75862" w:rsidP="005545E2">
            <w:pPr>
              <w:tabs>
                <w:tab w:val="left" w:pos="709"/>
              </w:tabs>
              <w:jc w:val="center"/>
              <w:rPr>
                <w:sz w:val="22"/>
                <w:szCs w:val="22"/>
                <w:highlight w:val="yellow"/>
                <w:shd w:val="clear" w:color="auto" w:fill="FFFFFF"/>
              </w:rPr>
            </w:pPr>
            <w:r w:rsidRPr="0047183F">
              <w:rPr>
                <w:sz w:val="22"/>
                <w:szCs w:val="22"/>
                <w:shd w:val="clear" w:color="auto" w:fill="FFFFFF"/>
              </w:rPr>
              <w:t>OPERAČNÍ PROGRAM</w:t>
            </w: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Dotčený cíl:</w:t>
            </w:r>
          </w:p>
          <w:p w:rsidR="00A75862" w:rsidRPr="00BC0B5D" w:rsidRDefault="00A75862" w:rsidP="005545E2">
            <w:pPr>
              <w:tabs>
                <w:tab w:val="left" w:pos="709"/>
              </w:tabs>
              <w:rPr>
                <w:sz w:val="22"/>
                <w:szCs w:val="22"/>
                <w:shd w:val="clear" w:color="auto" w:fill="FFFFFF"/>
              </w:rPr>
            </w:pPr>
            <w:r w:rsidRPr="0047183F">
              <w:rPr>
                <w:sz w:val="22"/>
                <w:szCs w:val="22"/>
                <w:shd w:val="clear" w:color="auto" w:fill="FFFFFF"/>
              </w:rPr>
              <w:t xml:space="preserve">Konvergence </w:t>
            </w:r>
            <w:r w:rsidR="00BC0B5D">
              <w:rPr>
                <w:sz w:val="22"/>
                <w:szCs w:val="22"/>
                <w:shd w:val="clear" w:color="auto" w:fill="FFFFFF"/>
              </w:rPr>
              <w:br/>
            </w:r>
            <w:r w:rsidRPr="0047183F">
              <w:rPr>
                <w:sz w:val="22"/>
                <w:szCs w:val="22"/>
                <w:shd w:val="clear" w:color="auto" w:fill="FFFFFF"/>
              </w:rPr>
              <w:t>a Regionální konkurenceschopnost a zaměstnanost</w:t>
            </w:r>
          </w:p>
        </w:tc>
      </w:tr>
      <w:tr w:rsidR="00A75862" w:rsidRPr="00093231" w:rsidTr="009026D3">
        <w:trPr>
          <w:cantSplit/>
          <w:trHeight w:val="513"/>
          <w:jc w:val="center"/>
        </w:trPr>
        <w:tc>
          <w:tcPr>
            <w:tcW w:w="1930" w:type="pct"/>
            <w:vMerge/>
            <w:vAlign w:val="center"/>
          </w:tcPr>
          <w:p w:rsidR="00A75862" w:rsidRPr="0047183F" w:rsidRDefault="00A75862" w:rsidP="005545E2">
            <w:pPr>
              <w:tabs>
                <w:tab w:val="left" w:pos="709"/>
              </w:tabs>
              <w:jc w:val="center"/>
              <w:rPr>
                <w:sz w:val="22"/>
                <w:szCs w:val="22"/>
                <w:highlight w:val="yellow"/>
                <w:shd w:val="clear" w:color="auto" w:fill="FFFFFF"/>
              </w:rPr>
            </w:pP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Dotčená způsobilá oblast:</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NUTS 2 Praha</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NUTS 2 Střední Čechy</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NUTS 2 Jihozápad</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NUTS 2 Severozápad</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NUTS 2 Severovýchod</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NUTS 2 Jihovýchod</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NUTS 2 Střední Morava</w:t>
            </w:r>
          </w:p>
          <w:p w:rsidR="00A75862" w:rsidRPr="0047183F" w:rsidRDefault="00A75862" w:rsidP="002E608B">
            <w:pPr>
              <w:numPr>
                <w:ilvl w:val="0"/>
                <w:numId w:val="7"/>
              </w:numPr>
              <w:rPr>
                <w:sz w:val="22"/>
                <w:szCs w:val="22"/>
                <w:shd w:val="clear" w:color="auto" w:fill="FFFFFF"/>
              </w:rPr>
            </w:pPr>
            <w:r w:rsidRPr="0047183F">
              <w:rPr>
                <w:sz w:val="22"/>
                <w:szCs w:val="22"/>
                <w:shd w:val="clear" w:color="auto" w:fill="FFFFFF"/>
              </w:rPr>
              <w:t xml:space="preserve">NUTS 2 </w:t>
            </w:r>
            <w:proofErr w:type="spellStart"/>
            <w:r w:rsidRPr="0047183F">
              <w:rPr>
                <w:sz w:val="22"/>
                <w:szCs w:val="22"/>
                <w:shd w:val="clear" w:color="auto" w:fill="FFFFFF"/>
              </w:rPr>
              <w:t>Moravskoslezsko</w:t>
            </w:r>
            <w:proofErr w:type="spellEnd"/>
          </w:p>
        </w:tc>
      </w:tr>
      <w:tr w:rsidR="00A75862" w:rsidRPr="00093231" w:rsidTr="009026D3">
        <w:trPr>
          <w:cantSplit/>
          <w:trHeight w:val="475"/>
          <w:jc w:val="center"/>
        </w:trPr>
        <w:tc>
          <w:tcPr>
            <w:tcW w:w="1930" w:type="pct"/>
            <w:vMerge/>
            <w:vAlign w:val="center"/>
          </w:tcPr>
          <w:p w:rsidR="00A75862" w:rsidRPr="0047183F" w:rsidRDefault="00A75862" w:rsidP="005545E2">
            <w:pPr>
              <w:tabs>
                <w:tab w:val="left" w:pos="709"/>
              </w:tabs>
              <w:jc w:val="center"/>
              <w:rPr>
                <w:sz w:val="22"/>
                <w:szCs w:val="22"/>
                <w:highlight w:val="yellow"/>
                <w:shd w:val="clear" w:color="auto" w:fill="FFFFFF"/>
              </w:rPr>
            </w:pP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Programov</w:t>
            </w:r>
            <w:r w:rsidR="00AB5F8D">
              <w:rPr>
                <w:sz w:val="22"/>
                <w:szCs w:val="22"/>
                <w:shd w:val="clear" w:color="auto" w:fill="FFFFFF"/>
              </w:rPr>
              <w:t>ací</w:t>
            </w:r>
            <w:r w:rsidRPr="0047183F">
              <w:rPr>
                <w:sz w:val="22"/>
                <w:szCs w:val="22"/>
                <w:shd w:val="clear" w:color="auto" w:fill="FFFFFF"/>
              </w:rPr>
              <w:t xml:space="preserve"> období:</w:t>
            </w:r>
          </w:p>
          <w:p w:rsidR="00A75862" w:rsidRPr="0047183F" w:rsidRDefault="00A75862" w:rsidP="005545E2">
            <w:pPr>
              <w:tabs>
                <w:tab w:val="left" w:pos="709"/>
              </w:tabs>
              <w:rPr>
                <w:sz w:val="22"/>
                <w:szCs w:val="22"/>
                <w:highlight w:val="yellow"/>
                <w:shd w:val="clear" w:color="auto" w:fill="FFFFFF"/>
              </w:rPr>
            </w:pPr>
            <w:r w:rsidRPr="0047183F">
              <w:rPr>
                <w:sz w:val="22"/>
                <w:szCs w:val="22"/>
                <w:shd w:val="clear" w:color="auto" w:fill="FFFFFF"/>
              </w:rPr>
              <w:t>2007-2013</w:t>
            </w:r>
          </w:p>
        </w:tc>
      </w:tr>
      <w:tr w:rsidR="00A75862" w:rsidRPr="00093231" w:rsidTr="009026D3">
        <w:trPr>
          <w:cantSplit/>
          <w:trHeight w:val="515"/>
          <w:jc w:val="center"/>
        </w:trPr>
        <w:tc>
          <w:tcPr>
            <w:tcW w:w="1930" w:type="pct"/>
            <w:vMerge/>
            <w:vAlign w:val="center"/>
          </w:tcPr>
          <w:p w:rsidR="00A75862" w:rsidRPr="0047183F" w:rsidRDefault="00A75862" w:rsidP="005545E2">
            <w:pPr>
              <w:tabs>
                <w:tab w:val="left" w:pos="709"/>
              </w:tabs>
              <w:jc w:val="center"/>
              <w:rPr>
                <w:sz w:val="22"/>
                <w:szCs w:val="22"/>
                <w:highlight w:val="yellow"/>
                <w:shd w:val="clear" w:color="auto" w:fill="FFFFFF"/>
              </w:rPr>
            </w:pP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Číslo programu (CCI):</w:t>
            </w:r>
          </w:p>
          <w:p w:rsidR="00A75862" w:rsidRPr="0047183F" w:rsidRDefault="00A75862" w:rsidP="005545E2">
            <w:pPr>
              <w:tabs>
                <w:tab w:val="left" w:pos="709"/>
              </w:tabs>
              <w:rPr>
                <w:sz w:val="22"/>
                <w:szCs w:val="22"/>
                <w:highlight w:val="yellow"/>
                <w:shd w:val="clear" w:color="auto" w:fill="FFFFFF"/>
              </w:rPr>
            </w:pPr>
            <w:r w:rsidRPr="0047183F">
              <w:rPr>
                <w:sz w:val="22"/>
                <w:szCs w:val="22"/>
                <w:shd w:val="clear" w:color="auto" w:fill="FFFFFF"/>
              </w:rPr>
              <w:t>2007CZ16UPO002</w:t>
            </w:r>
          </w:p>
        </w:tc>
      </w:tr>
      <w:tr w:rsidR="00A75862" w:rsidRPr="00093231" w:rsidTr="009026D3">
        <w:trPr>
          <w:cantSplit/>
          <w:trHeight w:val="468"/>
          <w:jc w:val="center"/>
        </w:trPr>
        <w:tc>
          <w:tcPr>
            <w:tcW w:w="1930" w:type="pct"/>
            <w:vMerge/>
            <w:vAlign w:val="center"/>
          </w:tcPr>
          <w:p w:rsidR="00A75862" w:rsidRPr="0047183F" w:rsidRDefault="00A75862" w:rsidP="005545E2">
            <w:pPr>
              <w:tabs>
                <w:tab w:val="left" w:pos="709"/>
              </w:tabs>
              <w:jc w:val="center"/>
              <w:rPr>
                <w:sz w:val="22"/>
                <w:szCs w:val="22"/>
                <w:highlight w:val="yellow"/>
                <w:shd w:val="clear" w:color="auto" w:fill="FFFFFF"/>
              </w:rPr>
            </w:pP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Název programu:</w:t>
            </w:r>
          </w:p>
          <w:p w:rsidR="00A75862" w:rsidRPr="0047183F" w:rsidRDefault="00A75862" w:rsidP="005545E2">
            <w:pPr>
              <w:tabs>
                <w:tab w:val="left" w:pos="709"/>
              </w:tabs>
              <w:rPr>
                <w:sz w:val="22"/>
                <w:szCs w:val="22"/>
                <w:highlight w:val="yellow"/>
                <w:shd w:val="clear" w:color="auto" w:fill="FFFFFF"/>
              </w:rPr>
            </w:pPr>
            <w:r w:rsidRPr="0047183F">
              <w:rPr>
                <w:sz w:val="22"/>
                <w:szCs w:val="22"/>
                <w:shd w:val="clear" w:color="auto" w:fill="FFFFFF"/>
              </w:rPr>
              <w:t>Integrovaný operační program</w:t>
            </w:r>
          </w:p>
        </w:tc>
      </w:tr>
      <w:tr w:rsidR="00A75862" w:rsidRPr="00093231" w:rsidTr="009026D3">
        <w:trPr>
          <w:cantSplit/>
          <w:trHeight w:val="385"/>
          <w:jc w:val="center"/>
        </w:trPr>
        <w:tc>
          <w:tcPr>
            <w:tcW w:w="1930" w:type="pct"/>
            <w:vMerge w:val="restart"/>
            <w:vAlign w:val="center"/>
          </w:tcPr>
          <w:p w:rsidR="00A75862" w:rsidRPr="0047183F" w:rsidRDefault="00A75862" w:rsidP="005545E2">
            <w:pPr>
              <w:tabs>
                <w:tab w:val="left" w:pos="709"/>
              </w:tabs>
              <w:jc w:val="center"/>
              <w:rPr>
                <w:sz w:val="22"/>
                <w:szCs w:val="22"/>
                <w:highlight w:val="yellow"/>
                <w:shd w:val="clear" w:color="auto" w:fill="FFFFFF"/>
              </w:rPr>
            </w:pPr>
            <w:r w:rsidRPr="0047183F">
              <w:rPr>
                <w:sz w:val="22"/>
                <w:szCs w:val="22"/>
                <w:shd w:val="clear" w:color="auto" w:fill="FFFFFF"/>
              </w:rPr>
              <w:t xml:space="preserve">VÝROČNÍ ZPRÁVA </w:t>
            </w:r>
            <w:r w:rsidR="00E83369">
              <w:rPr>
                <w:sz w:val="22"/>
                <w:szCs w:val="22"/>
                <w:shd w:val="clear" w:color="auto" w:fill="FFFFFF"/>
              </w:rPr>
              <w:br/>
            </w:r>
            <w:r w:rsidRPr="0047183F">
              <w:rPr>
                <w:sz w:val="22"/>
                <w:szCs w:val="22"/>
                <w:shd w:val="clear" w:color="auto" w:fill="FFFFFF"/>
              </w:rPr>
              <w:t>O PROVÁDĚNÍ</w:t>
            </w: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Rok, za nějž se zpráva podává:</w:t>
            </w:r>
          </w:p>
          <w:p w:rsidR="00A75862" w:rsidRPr="0047183F" w:rsidRDefault="00A75862" w:rsidP="00491180">
            <w:pPr>
              <w:tabs>
                <w:tab w:val="left" w:pos="709"/>
              </w:tabs>
              <w:rPr>
                <w:sz w:val="22"/>
                <w:szCs w:val="22"/>
                <w:highlight w:val="yellow"/>
                <w:shd w:val="clear" w:color="auto" w:fill="FFFFFF"/>
              </w:rPr>
            </w:pPr>
            <w:r w:rsidRPr="0047183F">
              <w:rPr>
                <w:sz w:val="22"/>
                <w:szCs w:val="22"/>
                <w:shd w:val="clear" w:color="auto" w:fill="FFFFFF"/>
              </w:rPr>
              <w:t>20</w:t>
            </w:r>
            <w:r>
              <w:rPr>
                <w:sz w:val="22"/>
                <w:szCs w:val="22"/>
                <w:shd w:val="clear" w:color="auto" w:fill="FFFFFF"/>
              </w:rPr>
              <w:t>1</w:t>
            </w:r>
            <w:r w:rsidR="00491180">
              <w:rPr>
                <w:sz w:val="22"/>
                <w:szCs w:val="22"/>
                <w:shd w:val="clear" w:color="auto" w:fill="FFFFFF"/>
              </w:rPr>
              <w:t>4</w:t>
            </w:r>
          </w:p>
        </w:tc>
      </w:tr>
      <w:tr w:rsidR="00A75862" w:rsidRPr="00105D06" w:rsidTr="009026D3">
        <w:trPr>
          <w:cantSplit/>
          <w:trHeight w:val="423"/>
          <w:jc w:val="center"/>
        </w:trPr>
        <w:tc>
          <w:tcPr>
            <w:tcW w:w="1930" w:type="pct"/>
            <w:vMerge/>
            <w:vAlign w:val="center"/>
          </w:tcPr>
          <w:p w:rsidR="00A75862" w:rsidRPr="0047183F" w:rsidRDefault="00A75862" w:rsidP="005545E2">
            <w:pPr>
              <w:tabs>
                <w:tab w:val="left" w:pos="709"/>
              </w:tabs>
              <w:rPr>
                <w:sz w:val="22"/>
                <w:szCs w:val="22"/>
                <w:highlight w:val="yellow"/>
                <w:shd w:val="clear" w:color="auto" w:fill="FFFFFF"/>
              </w:rPr>
            </w:pPr>
          </w:p>
        </w:tc>
        <w:tc>
          <w:tcPr>
            <w:tcW w:w="3070" w:type="pct"/>
            <w:vAlign w:val="center"/>
          </w:tcPr>
          <w:p w:rsidR="00A75862" w:rsidRDefault="00A75862" w:rsidP="005545E2">
            <w:pPr>
              <w:tabs>
                <w:tab w:val="left" w:pos="709"/>
              </w:tabs>
              <w:rPr>
                <w:sz w:val="22"/>
                <w:szCs w:val="22"/>
                <w:shd w:val="clear" w:color="auto" w:fill="FFFFFF"/>
              </w:rPr>
            </w:pPr>
            <w:r w:rsidRPr="0047183F">
              <w:rPr>
                <w:sz w:val="22"/>
                <w:szCs w:val="22"/>
                <w:shd w:val="clear" w:color="auto" w:fill="FFFFFF"/>
              </w:rPr>
              <w:t>Datum schválení výroční zprávy monitorovacím výborem:</w:t>
            </w:r>
            <w:r>
              <w:rPr>
                <w:sz w:val="22"/>
                <w:szCs w:val="22"/>
                <w:shd w:val="clear" w:color="auto" w:fill="FFFFFF"/>
              </w:rPr>
              <w:t xml:space="preserve"> </w:t>
            </w:r>
          </w:p>
          <w:p w:rsidR="00A75862" w:rsidRPr="0047183F" w:rsidRDefault="00A75862" w:rsidP="005545E2">
            <w:pPr>
              <w:tabs>
                <w:tab w:val="left" w:pos="709"/>
              </w:tabs>
              <w:rPr>
                <w:sz w:val="22"/>
                <w:szCs w:val="22"/>
                <w:shd w:val="clear" w:color="auto" w:fill="FFFFFF"/>
              </w:rPr>
            </w:pPr>
          </w:p>
        </w:tc>
      </w:tr>
    </w:tbl>
    <w:p w:rsidR="00A75862" w:rsidRDefault="00A75862" w:rsidP="0077415D">
      <w:pPr>
        <w:rPr>
          <w:b/>
          <w:sz w:val="28"/>
          <w:szCs w:val="28"/>
        </w:rPr>
      </w:pPr>
    </w:p>
    <w:p w:rsidR="00A75862" w:rsidRPr="0047183F" w:rsidRDefault="00A75862" w:rsidP="0077415D">
      <w:pPr>
        <w:autoSpaceDE w:val="0"/>
        <w:autoSpaceDN w:val="0"/>
        <w:adjustRightInd w:val="0"/>
        <w:jc w:val="both"/>
        <w:rPr>
          <w:bCs/>
          <w:sz w:val="22"/>
          <w:szCs w:val="22"/>
        </w:rPr>
      </w:pPr>
      <w:r w:rsidRPr="0047183F">
        <w:rPr>
          <w:bCs/>
          <w:sz w:val="22"/>
          <w:szCs w:val="22"/>
        </w:rPr>
        <w:t>Integrovaný operační program (</w:t>
      </w:r>
      <w:r w:rsidR="00146D70">
        <w:rPr>
          <w:bCs/>
          <w:sz w:val="22"/>
          <w:szCs w:val="22"/>
        </w:rPr>
        <w:t xml:space="preserve">dále jen </w:t>
      </w:r>
      <w:r w:rsidRPr="0047183F">
        <w:rPr>
          <w:bCs/>
          <w:sz w:val="22"/>
          <w:szCs w:val="22"/>
        </w:rPr>
        <w:t>IOP) je realizovaný v České republice na základě Národního strategického referenčního rámce (dále jen NSRR) pro programov</w:t>
      </w:r>
      <w:r w:rsidR="00AB5F8D">
        <w:rPr>
          <w:bCs/>
          <w:sz w:val="22"/>
          <w:szCs w:val="22"/>
        </w:rPr>
        <w:t>ací</w:t>
      </w:r>
      <w:r w:rsidRPr="0047183F">
        <w:rPr>
          <w:bCs/>
          <w:sz w:val="22"/>
          <w:szCs w:val="22"/>
        </w:rPr>
        <w:t xml:space="preserve"> období 2007-2013. </w:t>
      </w:r>
    </w:p>
    <w:p w:rsidR="00A75862" w:rsidRPr="0047183F" w:rsidRDefault="00A75862" w:rsidP="0077415D">
      <w:pPr>
        <w:autoSpaceDE w:val="0"/>
        <w:autoSpaceDN w:val="0"/>
        <w:adjustRightInd w:val="0"/>
        <w:ind w:left="360"/>
        <w:jc w:val="both"/>
        <w:rPr>
          <w:bCs/>
          <w:sz w:val="22"/>
          <w:szCs w:val="22"/>
        </w:rPr>
      </w:pPr>
    </w:p>
    <w:p w:rsidR="00A75862" w:rsidRDefault="00A75862" w:rsidP="0077415D">
      <w:pPr>
        <w:autoSpaceDE w:val="0"/>
        <w:autoSpaceDN w:val="0"/>
        <w:adjustRightInd w:val="0"/>
        <w:jc w:val="both"/>
        <w:rPr>
          <w:sz w:val="22"/>
          <w:szCs w:val="22"/>
        </w:rPr>
      </w:pPr>
      <w:r w:rsidRPr="0047183F">
        <w:rPr>
          <w:sz w:val="22"/>
          <w:szCs w:val="22"/>
        </w:rPr>
        <w:t>IOP je zaměřený na řešení společných regionálních problémů v oblastech infrastruktury pro veřejnou správu, veřejné služby a územní rozvoj: rozvoj informačních technologií ve veřejné správě, zlepšování infrastruktury pro oblast sociálních služeb, veřejného zdraví, služeb zaměstnanosti a služeb v oblasti bezpečnosti, prevence a řešení rizik, podporu cestovního ruchu, kulturního dědictví, zlepšování prostředí na sídlištích a rozvoj systémů tvorby územních politik.</w:t>
      </w:r>
    </w:p>
    <w:p w:rsidR="00A75862" w:rsidRDefault="00A75862" w:rsidP="0077415D">
      <w:pPr>
        <w:autoSpaceDE w:val="0"/>
        <w:autoSpaceDN w:val="0"/>
        <w:adjustRightInd w:val="0"/>
        <w:jc w:val="both"/>
        <w:rPr>
          <w:sz w:val="22"/>
          <w:szCs w:val="22"/>
        </w:rPr>
      </w:pPr>
    </w:p>
    <w:p w:rsidR="00EA135A" w:rsidRPr="00523F09" w:rsidRDefault="00A75862" w:rsidP="00523F09">
      <w:pPr>
        <w:pStyle w:val="Nadpis2"/>
        <w:rPr>
          <w:rFonts w:ascii="Times New Roman" w:hAnsi="Times New Roman"/>
          <w:i w:val="0"/>
        </w:rPr>
      </w:pPr>
      <w:bookmarkStart w:id="3" w:name="_Toc417024830"/>
      <w:r w:rsidRPr="007C2C22">
        <w:rPr>
          <w:rFonts w:ascii="Times New Roman" w:hAnsi="Times New Roman"/>
          <w:i w:val="0"/>
        </w:rPr>
        <w:t>1.1 Cíle IOP</w:t>
      </w:r>
      <w:bookmarkEnd w:id="3"/>
    </w:p>
    <w:p w:rsidR="00A75862" w:rsidRPr="0047183F" w:rsidRDefault="00A75862" w:rsidP="007213BB">
      <w:pPr>
        <w:autoSpaceDE w:val="0"/>
        <w:autoSpaceDN w:val="0"/>
        <w:adjustRightInd w:val="0"/>
        <w:jc w:val="both"/>
        <w:rPr>
          <w:sz w:val="22"/>
          <w:szCs w:val="22"/>
        </w:rPr>
      </w:pPr>
      <w:r w:rsidRPr="0047183F">
        <w:rPr>
          <w:sz w:val="22"/>
          <w:szCs w:val="22"/>
        </w:rPr>
        <w:t xml:space="preserve">Strategie IOP zahrnuje </w:t>
      </w:r>
      <w:r w:rsidRPr="005F4CDA">
        <w:rPr>
          <w:sz w:val="22"/>
          <w:szCs w:val="22"/>
        </w:rPr>
        <w:t>globální cíl a tři specifické cíle</w:t>
      </w:r>
      <w:r w:rsidRPr="0047183F">
        <w:rPr>
          <w:sz w:val="22"/>
          <w:szCs w:val="22"/>
        </w:rPr>
        <w:t>, z</w:t>
      </w:r>
      <w:r>
        <w:rPr>
          <w:sz w:val="22"/>
          <w:szCs w:val="22"/>
        </w:rPr>
        <w:t>e</w:t>
      </w:r>
      <w:r w:rsidRPr="0047183F">
        <w:rPr>
          <w:sz w:val="22"/>
          <w:szCs w:val="22"/>
        </w:rPr>
        <w:t> </w:t>
      </w:r>
      <w:r>
        <w:rPr>
          <w:sz w:val="22"/>
          <w:szCs w:val="22"/>
        </w:rPr>
        <w:t>kterých</w:t>
      </w:r>
      <w:r w:rsidRPr="0047183F">
        <w:rPr>
          <w:sz w:val="22"/>
          <w:szCs w:val="22"/>
        </w:rPr>
        <w:t xml:space="preserve"> vycházejí je</w:t>
      </w:r>
      <w:r>
        <w:rPr>
          <w:sz w:val="22"/>
          <w:szCs w:val="22"/>
        </w:rPr>
        <w:t xml:space="preserve">dnotlivé prioritní osy </w:t>
      </w:r>
      <w:r w:rsidR="00B91906">
        <w:rPr>
          <w:sz w:val="22"/>
          <w:szCs w:val="22"/>
        </w:rPr>
        <w:br/>
      </w:r>
      <w:r>
        <w:rPr>
          <w:sz w:val="22"/>
          <w:szCs w:val="22"/>
        </w:rPr>
        <w:t>a oblasti</w:t>
      </w:r>
      <w:r w:rsidRPr="0047183F">
        <w:rPr>
          <w:sz w:val="22"/>
          <w:szCs w:val="22"/>
        </w:rPr>
        <w:t xml:space="preserve"> </w:t>
      </w:r>
      <w:r>
        <w:rPr>
          <w:sz w:val="22"/>
          <w:szCs w:val="22"/>
        </w:rPr>
        <w:t>intervence</w:t>
      </w:r>
      <w:r w:rsidRPr="0047183F">
        <w:rPr>
          <w:sz w:val="22"/>
          <w:szCs w:val="22"/>
        </w:rPr>
        <w:t>. Splnění specifických cílů je podmíněno realizací jednotlivých prioritních os, oblast</w:t>
      </w:r>
      <w:r>
        <w:rPr>
          <w:sz w:val="22"/>
          <w:szCs w:val="22"/>
        </w:rPr>
        <w:t>í intervence</w:t>
      </w:r>
      <w:r w:rsidRPr="0047183F">
        <w:rPr>
          <w:sz w:val="22"/>
          <w:szCs w:val="22"/>
        </w:rPr>
        <w:t xml:space="preserve"> a aktivit. </w:t>
      </w:r>
    </w:p>
    <w:p w:rsidR="00A75862" w:rsidRPr="0047183F" w:rsidRDefault="00A75862" w:rsidP="007213BB">
      <w:pPr>
        <w:autoSpaceDE w:val="0"/>
        <w:autoSpaceDN w:val="0"/>
        <w:adjustRightInd w:val="0"/>
        <w:jc w:val="both"/>
        <w:rPr>
          <w:sz w:val="22"/>
          <w:szCs w:val="22"/>
        </w:rPr>
      </w:pPr>
      <w:r w:rsidRPr="0047183F">
        <w:rPr>
          <w:sz w:val="22"/>
          <w:szCs w:val="22"/>
        </w:rPr>
        <w:t xml:space="preserve"> </w:t>
      </w:r>
    </w:p>
    <w:tbl>
      <w:tblPr>
        <w:tblW w:w="0" w:type="auto"/>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1E0" w:firstRow="1" w:lastRow="1" w:firstColumn="1" w:lastColumn="1" w:noHBand="0" w:noVBand="0"/>
      </w:tblPr>
      <w:tblGrid>
        <w:gridCol w:w="3070"/>
        <w:gridCol w:w="3071"/>
        <w:gridCol w:w="3071"/>
      </w:tblGrid>
      <w:tr w:rsidR="00A75862" w:rsidRPr="004D4E66" w:rsidTr="00C454E6">
        <w:trPr>
          <w:jc w:val="center"/>
        </w:trPr>
        <w:tc>
          <w:tcPr>
            <w:tcW w:w="9212" w:type="dxa"/>
            <w:gridSpan w:val="3"/>
            <w:shd w:val="clear" w:color="auto" w:fill="C2D69B" w:themeFill="accent3" w:themeFillTint="99"/>
            <w:vAlign w:val="center"/>
          </w:tcPr>
          <w:p w:rsidR="00A75862" w:rsidRPr="007C2068" w:rsidRDefault="00A75862" w:rsidP="001B4F1C">
            <w:pPr>
              <w:spacing w:after="60"/>
              <w:jc w:val="center"/>
              <w:rPr>
                <w:b/>
                <w:sz w:val="22"/>
                <w:szCs w:val="22"/>
              </w:rPr>
            </w:pPr>
            <w:r w:rsidRPr="007C2068">
              <w:rPr>
                <w:b/>
                <w:sz w:val="22"/>
                <w:szCs w:val="22"/>
              </w:rPr>
              <w:t>Globální cíl IOP</w:t>
            </w:r>
          </w:p>
          <w:p w:rsidR="00A75862" w:rsidRPr="004D4E66" w:rsidRDefault="00A75862" w:rsidP="001B4F1C">
            <w:pPr>
              <w:jc w:val="center"/>
              <w:rPr>
                <w:sz w:val="22"/>
                <w:szCs w:val="22"/>
              </w:rPr>
            </w:pPr>
            <w:r w:rsidRPr="007C2068">
              <w:rPr>
                <w:rFonts w:eastAsia="SimSun"/>
                <w:sz w:val="22"/>
                <w:szCs w:val="22"/>
              </w:rPr>
              <w:t>Prostřednictvím zefektivnění fungování veřejné správy a veřejných služeb podpořit socioekonomický růst ČR a zvýšit kvalitu života občanů.</w:t>
            </w:r>
          </w:p>
        </w:tc>
      </w:tr>
      <w:tr w:rsidR="00A75862" w:rsidRPr="004D4E66" w:rsidTr="00292700">
        <w:trPr>
          <w:trHeight w:val="2020"/>
          <w:jc w:val="center"/>
        </w:trPr>
        <w:tc>
          <w:tcPr>
            <w:tcW w:w="3070" w:type="dxa"/>
            <w:shd w:val="clear" w:color="auto" w:fill="FFFFFF" w:themeFill="background1"/>
          </w:tcPr>
          <w:p w:rsidR="00A75862" w:rsidRPr="004D4E66" w:rsidRDefault="00A75862" w:rsidP="00EA135A">
            <w:pPr>
              <w:spacing w:after="60"/>
              <w:jc w:val="center"/>
              <w:rPr>
                <w:b/>
                <w:sz w:val="22"/>
                <w:szCs w:val="22"/>
              </w:rPr>
            </w:pPr>
            <w:r w:rsidRPr="004D4E66">
              <w:rPr>
                <w:b/>
                <w:sz w:val="22"/>
                <w:szCs w:val="22"/>
              </w:rPr>
              <w:t>Specifický cíl 1</w:t>
            </w:r>
          </w:p>
          <w:p w:rsidR="00A75862" w:rsidRPr="004D4E66" w:rsidRDefault="00A75862" w:rsidP="00EA135A">
            <w:pPr>
              <w:jc w:val="both"/>
              <w:rPr>
                <w:sz w:val="22"/>
                <w:szCs w:val="22"/>
              </w:rPr>
            </w:pPr>
            <w:r w:rsidRPr="004D4E66">
              <w:rPr>
                <w:sz w:val="22"/>
                <w:szCs w:val="22"/>
              </w:rPr>
              <w:t>Zvýšení efektivity a zkvalitnění procesů a zlepšení dostupnosti služeb veřejné správy na národní a regionální úrovni aplikací moderních ICT.</w:t>
            </w:r>
          </w:p>
        </w:tc>
        <w:tc>
          <w:tcPr>
            <w:tcW w:w="3071" w:type="dxa"/>
            <w:shd w:val="clear" w:color="auto" w:fill="FFFFFF" w:themeFill="background1"/>
          </w:tcPr>
          <w:p w:rsidR="00A75862" w:rsidRPr="004D4E66" w:rsidRDefault="00A75862" w:rsidP="00EA135A">
            <w:pPr>
              <w:spacing w:after="60"/>
              <w:jc w:val="center"/>
              <w:rPr>
                <w:b/>
                <w:sz w:val="22"/>
                <w:szCs w:val="22"/>
              </w:rPr>
            </w:pPr>
            <w:r w:rsidRPr="004D4E66">
              <w:rPr>
                <w:b/>
                <w:sz w:val="22"/>
                <w:szCs w:val="22"/>
              </w:rPr>
              <w:t>Specifický cíl 2</w:t>
            </w:r>
          </w:p>
          <w:p w:rsidR="00A75862" w:rsidRPr="004D4E66" w:rsidRDefault="00A75862" w:rsidP="00EA135A">
            <w:pPr>
              <w:jc w:val="both"/>
              <w:rPr>
                <w:sz w:val="22"/>
                <w:szCs w:val="22"/>
              </w:rPr>
            </w:pPr>
            <w:r w:rsidRPr="004D4E66">
              <w:rPr>
                <w:sz w:val="22"/>
                <w:szCs w:val="22"/>
              </w:rPr>
              <w:t>Modernizace a systémová přeměna vybraných veřejných služeb s cílem nastartování procesu celkové transformace veřejných služeb.</w:t>
            </w:r>
          </w:p>
        </w:tc>
        <w:tc>
          <w:tcPr>
            <w:tcW w:w="3071" w:type="dxa"/>
            <w:shd w:val="clear" w:color="auto" w:fill="FFFFFF" w:themeFill="background1"/>
          </w:tcPr>
          <w:p w:rsidR="00A75862" w:rsidRPr="004D4E66" w:rsidRDefault="00A75862" w:rsidP="00EA135A">
            <w:pPr>
              <w:spacing w:after="60"/>
              <w:jc w:val="center"/>
              <w:rPr>
                <w:b/>
                <w:sz w:val="22"/>
                <w:szCs w:val="22"/>
              </w:rPr>
            </w:pPr>
            <w:r w:rsidRPr="004D4E66">
              <w:rPr>
                <w:b/>
                <w:sz w:val="22"/>
                <w:szCs w:val="22"/>
              </w:rPr>
              <w:t>Specifický cíl 3</w:t>
            </w:r>
          </w:p>
          <w:p w:rsidR="00A75862" w:rsidRPr="004D4E66" w:rsidRDefault="00A75862" w:rsidP="0050446D">
            <w:pPr>
              <w:rPr>
                <w:sz w:val="22"/>
                <w:szCs w:val="22"/>
              </w:rPr>
            </w:pPr>
            <w:r w:rsidRPr="004D4E66">
              <w:rPr>
                <w:sz w:val="22"/>
                <w:szCs w:val="22"/>
              </w:rPr>
              <w:t xml:space="preserve">Lepší využití potenciálu území prostřednictvím národních, systémových intervencí </w:t>
            </w:r>
            <w:r w:rsidR="00EA135A">
              <w:rPr>
                <w:sz w:val="22"/>
                <w:szCs w:val="22"/>
              </w:rPr>
              <w:t>v</w:t>
            </w:r>
            <w:r w:rsidRPr="004D4E66">
              <w:rPr>
                <w:sz w:val="22"/>
                <w:szCs w:val="22"/>
              </w:rPr>
              <w:t xml:space="preserve"> oblasti CR, kultury, </w:t>
            </w:r>
            <w:r w:rsidR="00CA1991" w:rsidRPr="004D4E66">
              <w:rPr>
                <w:sz w:val="22"/>
                <w:szCs w:val="22"/>
              </w:rPr>
              <w:t xml:space="preserve">bydlení </w:t>
            </w:r>
            <w:r w:rsidR="00CA1991">
              <w:rPr>
                <w:sz w:val="22"/>
                <w:szCs w:val="22"/>
              </w:rPr>
              <w:br/>
              <w:t>a rozvoje</w:t>
            </w:r>
            <w:r w:rsidRPr="004D4E66">
              <w:rPr>
                <w:sz w:val="22"/>
                <w:szCs w:val="22"/>
              </w:rPr>
              <w:t xml:space="preserve"> systémů územních politik.</w:t>
            </w:r>
          </w:p>
        </w:tc>
      </w:tr>
    </w:tbl>
    <w:p w:rsidR="00A75862" w:rsidRDefault="00A75862" w:rsidP="007213BB">
      <w:pPr>
        <w:jc w:val="both"/>
        <w:rPr>
          <w:b/>
          <w:sz w:val="22"/>
          <w:szCs w:val="22"/>
        </w:rPr>
      </w:pPr>
    </w:p>
    <w:p w:rsidR="00A75862" w:rsidRPr="00344094" w:rsidRDefault="00A75862" w:rsidP="007213BB">
      <w:pPr>
        <w:jc w:val="both"/>
        <w:rPr>
          <w:sz w:val="22"/>
          <w:szCs w:val="22"/>
        </w:rPr>
      </w:pPr>
      <w:r w:rsidRPr="00344094">
        <w:rPr>
          <w:sz w:val="22"/>
          <w:szCs w:val="22"/>
        </w:rPr>
        <w:lastRenderedPageBreak/>
        <w:t>IOP je v souladu s článkem 32 odst.</w:t>
      </w:r>
      <w:r w:rsidR="00DE4832">
        <w:rPr>
          <w:sz w:val="22"/>
          <w:szCs w:val="22"/>
        </w:rPr>
        <w:t xml:space="preserve"> </w:t>
      </w:r>
      <w:r w:rsidRPr="00344094">
        <w:rPr>
          <w:sz w:val="22"/>
          <w:szCs w:val="22"/>
        </w:rPr>
        <w:t xml:space="preserve">1 obecného nařízení a na základě jednání s EK koncipován jako </w:t>
      </w:r>
      <w:proofErr w:type="spellStart"/>
      <w:r w:rsidRPr="00535F64">
        <w:rPr>
          <w:b/>
          <w:sz w:val="22"/>
          <w:szCs w:val="22"/>
        </w:rPr>
        <w:t>vícecílový</w:t>
      </w:r>
      <w:proofErr w:type="spellEnd"/>
      <w:r w:rsidRPr="00535F64">
        <w:rPr>
          <w:b/>
          <w:sz w:val="22"/>
          <w:szCs w:val="22"/>
        </w:rPr>
        <w:t xml:space="preserve"> program</w:t>
      </w:r>
      <w:r w:rsidRPr="00344094">
        <w:rPr>
          <w:sz w:val="22"/>
          <w:szCs w:val="22"/>
        </w:rPr>
        <w:t>, který umožňuje - vedle základního zaměření na podporu regionů v rámci cíle Konvergence - podporu i v rámci cíle Regionální konkurenceschopnost a zaměstnanost (</w:t>
      </w:r>
      <w:r w:rsidR="00E96F23">
        <w:rPr>
          <w:sz w:val="22"/>
          <w:szCs w:val="22"/>
        </w:rPr>
        <w:t xml:space="preserve">dále jen </w:t>
      </w:r>
      <w:proofErr w:type="spellStart"/>
      <w:r w:rsidRPr="00344094">
        <w:rPr>
          <w:sz w:val="22"/>
          <w:szCs w:val="22"/>
        </w:rPr>
        <w:t>RKaZ</w:t>
      </w:r>
      <w:proofErr w:type="spellEnd"/>
      <w:r w:rsidRPr="00344094">
        <w:rPr>
          <w:sz w:val="22"/>
          <w:szCs w:val="22"/>
        </w:rPr>
        <w:t xml:space="preserve">). </w:t>
      </w:r>
    </w:p>
    <w:p w:rsidR="00A75862" w:rsidRDefault="00A75862" w:rsidP="007213BB">
      <w:pPr>
        <w:jc w:val="both"/>
        <w:rPr>
          <w:sz w:val="22"/>
          <w:szCs w:val="22"/>
        </w:rPr>
      </w:pPr>
    </w:p>
    <w:p w:rsidR="00A75862" w:rsidRPr="0047183F" w:rsidRDefault="00A75862" w:rsidP="007213BB">
      <w:pPr>
        <w:jc w:val="both"/>
        <w:rPr>
          <w:sz w:val="22"/>
          <w:szCs w:val="22"/>
        </w:rPr>
      </w:pPr>
      <w:r w:rsidRPr="0047183F">
        <w:rPr>
          <w:sz w:val="22"/>
          <w:szCs w:val="22"/>
        </w:rPr>
        <w:t xml:space="preserve">Sedm z osmi </w:t>
      </w:r>
      <w:r w:rsidRPr="0047183F">
        <w:rPr>
          <w:b/>
          <w:sz w:val="22"/>
          <w:szCs w:val="22"/>
        </w:rPr>
        <w:t>regionů soudržnosti</w:t>
      </w:r>
      <w:r w:rsidRPr="0047183F">
        <w:rPr>
          <w:sz w:val="22"/>
          <w:szCs w:val="22"/>
        </w:rPr>
        <w:t xml:space="preserve"> spadá pod </w:t>
      </w:r>
      <w:r w:rsidRPr="00535F64">
        <w:rPr>
          <w:sz w:val="22"/>
          <w:szCs w:val="22"/>
        </w:rPr>
        <w:t>cíl Konvergence</w:t>
      </w:r>
      <w:r>
        <w:rPr>
          <w:sz w:val="22"/>
          <w:szCs w:val="22"/>
        </w:rPr>
        <w:t xml:space="preserve">, </w:t>
      </w:r>
      <w:r w:rsidRPr="0047183F">
        <w:rPr>
          <w:sz w:val="22"/>
          <w:szCs w:val="22"/>
        </w:rPr>
        <w:t xml:space="preserve">Praha spadá pod </w:t>
      </w:r>
      <w:r w:rsidRPr="00535F64">
        <w:rPr>
          <w:sz w:val="22"/>
          <w:szCs w:val="22"/>
        </w:rPr>
        <w:t xml:space="preserve">cíl </w:t>
      </w:r>
      <w:proofErr w:type="spellStart"/>
      <w:r w:rsidRPr="00535F64">
        <w:rPr>
          <w:sz w:val="22"/>
          <w:szCs w:val="22"/>
        </w:rPr>
        <w:t>R</w:t>
      </w:r>
      <w:r>
        <w:rPr>
          <w:sz w:val="22"/>
          <w:szCs w:val="22"/>
        </w:rPr>
        <w:t>KaZ</w:t>
      </w:r>
      <w:proofErr w:type="spellEnd"/>
      <w:r w:rsidRPr="00535F64">
        <w:rPr>
          <w:sz w:val="22"/>
          <w:szCs w:val="22"/>
        </w:rPr>
        <w:t xml:space="preserve">. </w:t>
      </w:r>
      <w:r w:rsidRPr="0047183F">
        <w:rPr>
          <w:sz w:val="22"/>
          <w:szCs w:val="22"/>
        </w:rPr>
        <w:t xml:space="preserve">V čl. 53 </w:t>
      </w:r>
      <w:r w:rsidR="000B568E">
        <w:rPr>
          <w:sz w:val="22"/>
          <w:szCs w:val="22"/>
        </w:rPr>
        <w:br/>
      </w:r>
      <w:r w:rsidRPr="0047183F">
        <w:rPr>
          <w:sz w:val="22"/>
          <w:szCs w:val="22"/>
        </w:rPr>
        <w:t xml:space="preserve">a příloze III. Nařízení Rady </w:t>
      </w:r>
      <w:r w:rsidR="001874AE">
        <w:rPr>
          <w:sz w:val="22"/>
          <w:szCs w:val="22"/>
        </w:rPr>
        <w:t xml:space="preserve">(ES) </w:t>
      </w:r>
      <w:r w:rsidRPr="0047183F">
        <w:rPr>
          <w:sz w:val="22"/>
          <w:szCs w:val="22"/>
        </w:rPr>
        <w:t>č. 1083/2006 se řeší, jakým způsobem je vypočítáván příspěvek z ERDF pro tyto regiony. Obecně příspěvek z ERDF nepřevýší 85 % způsobilých výdajů pro operační programy (</w:t>
      </w:r>
      <w:r>
        <w:rPr>
          <w:sz w:val="22"/>
          <w:szCs w:val="22"/>
        </w:rPr>
        <w:t>č</w:t>
      </w:r>
      <w:r w:rsidRPr="0047183F">
        <w:rPr>
          <w:sz w:val="22"/>
          <w:szCs w:val="22"/>
        </w:rPr>
        <w:t xml:space="preserve">l. </w:t>
      </w:r>
      <w:proofErr w:type="gramStart"/>
      <w:r w:rsidRPr="0047183F">
        <w:rPr>
          <w:sz w:val="22"/>
          <w:szCs w:val="22"/>
        </w:rPr>
        <w:t>53 (3)</w:t>
      </w:r>
      <w:r w:rsidR="001701A3">
        <w:rPr>
          <w:sz w:val="22"/>
          <w:szCs w:val="22"/>
        </w:rPr>
        <w:t xml:space="preserve"> </w:t>
      </w:r>
      <w:r w:rsidRPr="0047183F">
        <w:rPr>
          <w:sz w:val="22"/>
          <w:szCs w:val="22"/>
        </w:rPr>
        <w:t>(4) a příloha</w:t>
      </w:r>
      <w:proofErr w:type="gramEnd"/>
      <w:r w:rsidRPr="0047183F">
        <w:rPr>
          <w:sz w:val="22"/>
          <w:szCs w:val="22"/>
        </w:rPr>
        <w:t xml:space="preserve"> III.) pro </w:t>
      </w:r>
      <w:r>
        <w:rPr>
          <w:sz w:val="22"/>
          <w:szCs w:val="22"/>
        </w:rPr>
        <w:t>oba cíle; zbytek je příspěvek z</w:t>
      </w:r>
      <w:r w:rsidRPr="0047183F">
        <w:rPr>
          <w:sz w:val="22"/>
          <w:szCs w:val="22"/>
        </w:rPr>
        <w:t xml:space="preserve"> rozpočtů ČR.</w:t>
      </w:r>
      <w:r>
        <w:rPr>
          <w:sz w:val="22"/>
          <w:szCs w:val="22"/>
        </w:rPr>
        <w:t xml:space="preserve"> </w:t>
      </w:r>
    </w:p>
    <w:p w:rsidR="00A75862" w:rsidRPr="003437EB" w:rsidRDefault="00A75862" w:rsidP="007213BB">
      <w:pPr>
        <w:jc w:val="both"/>
        <w:rPr>
          <w:sz w:val="22"/>
          <w:szCs w:val="22"/>
        </w:rPr>
      </w:pPr>
    </w:p>
    <w:p w:rsidR="00A75862" w:rsidRDefault="00EE4C33" w:rsidP="006C36EA">
      <w:pPr>
        <w:pStyle w:val="Tabulkanzev"/>
      </w:pPr>
      <w:r>
        <w:t xml:space="preserve"> </w:t>
      </w:r>
      <w:bookmarkStart w:id="4" w:name="_Toc416431790"/>
      <w:r w:rsidR="00A75862" w:rsidRPr="00A80613">
        <w:t xml:space="preserve">Alokace podle let a </w:t>
      </w:r>
      <w:r w:rsidR="006F4E26">
        <w:t>C</w:t>
      </w:r>
      <w:r w:rsidR="00A75862" w:rsidRPr="00A80613">
        <w:t xml:space="preserve">ílů (v </w:t>
      </w:r>
      <w:proofErr w:type="gramStart"/>
      <w:r w:rsidR="00A75862" w:rsidRPr="00A80613">
        <w:t>EUR</w:t>
      </w:r>
      <w:proofErr w:type="gramEnd"/>
      <w:r w:rsidR="00A75862" w:rsidRPr="00A80613">
        <w:t>)</w:t>
      </w:r>
      <w:bookmarkEnd w:id="4"/>
    </w:p>
    <w:tbl>
      <w:tblPr>
        <w:tblW w:w="9217" w:type="dxa"/>
        <w:tblInd w:w="93" w:type="dxa"/>
        <w:tblLook w:val="0000" w:firstRow="0" w:lastRow="0" w:firstColumn="0" w:lastColumn="0" w:noHBand="0" w:noVBand="0"/>
      </w:tblPr>
      <w:tblGrid>
        <w:gridCol w:w="2283"/>
        <w:gridCol w:w="2268"/>
        <w:gridCol w:w="2835"/>
        <w:gridCol w:w="1831"/>
      </w:tblGrid>
      <w:tr w:rsidR="009D55B2" w:rsidRPr="00B56A0A" w:rsidTr="00F17581">
        <w:trPr>
          <w:trHeight w:val="501"/>
        </w:trPr>
        <w:tc>
          <w:tcPr>
            <w:tcW w:w="2283" w:type="dxa"/>
            <w:tcBorders>
              <w:top w:val="double" w:sz="6" w:space="0" w:color="4F6228"/>
              <w:left w:val="double" w:sz="6" w:space="0" w:color="4F6228"/>
              <w:bottom w:val="nil"/>
              <w:right w:val="single" w:sz="8" w:space="0" w:color="auto"/>
            </w:tcBorders>
            <w:shd w:val="clear" w:color="auto" w:fill="C2D69B" w:themeFill="accent3" w:themeFillTint="99"/>
            <w:noWrap/>
            <w:vAlign w:val="bottom"/>
          </w:tcPr>
          <w:p w:rsidR="009D55B2" w:rsidRPr="006110D5" w:rsidRDefault="006110D5" w:rsidP="006110D5">
            <w:pPr>
              <w:jc w:val="center"/>
              <w:rPr>
                <w:rFonts w:eastAsia="SimSun" w:cs="Arial"/>
                <w:b/>
                <w:bCs/>
                <w:sz w:val="22"/>
                <w:szCs w:val="22"/>
                <w:lang w:eastAsia="zh-CN"/>
              </w:rPr>
            </w:pPr>
            <w:r w:rsidRPr="006110D5">
              <w:rPr>
                <w:rFonts w:eastAsia="SimSun" w:cs="Arial"/>
                <w:b/>
                <w:bCs/>
                <w:sz w:val="22"/>
                <w:szCs w:val="22"/>
                <w:lang w:eastAsia="zh-CN"/>
              </w:rPr>
              <w:t>Rok</w:t>
            </w:r>
          </w:p>
        </w:tc>
        <w:tc>
          <w:tcPr>
            <w:tcW w:w="2268" w:type="dxa"/>
            <w:tcBorders>
              <w:top w:val="double" w:sz="6" w:space="0" w:color="4F6228"/>
              <w:left w:val="nil"/>
              <w:bottom w:val="single" w:sz="4" w:space="0" w:color="auto"/>
              <w:right w:val="single" w:sz="4" w:space="0" w:color="auto"/>
            </w:tcBorders>
            <w:shd w:val="clear" w:color="auto" w:fill="C2D69B" w:themeFill="accent3" w:themeFillTint="99"/>
            <w:vAlign w:val="bottom"/>
          </w:tcPr>
          <w:p w:rsidR="009D55B2" w:rsidRPr="00237EBA" w:rsidRDefault="009D55B2" w:rsidP="00237EBA">
            <w:pPr>
              <w:jc w:val="center"/>
              <w:rPr>
                <w:rFonts w:eastAsia="SimSun" w:cs="Arial"/>
                <w:b/>
                <w:bCs/>
                <w:sz w:val="22"/>
                <w:szCs w:val="22"/>
                <w:lang w:eastAsia="zh-CN"/>
              </w:rPr>
            </w:pPr>
            <w:r w:rsidRPr="00237EBA">
              <w:rPr>
                <w:rFonts w:eastAsia="SimSun" w:cs="Arial"/>
                <w:b/>
                <w:bCs/>
                <w:sz w:val="22"/>
                <w:szCs w:val="22"/>
                <w:lang w:eastAsia="zh-CN"/>
              </w:rPr>
              <w:t>ERDF</w:t>
            </w:r>
          </w:p>
          <w:p w:rsidR="009D55B2" w:rsidRPr="00237EBA" w:rsidRDefault="009D55B2" w:rsidP="00237EBA">
            <w:pPr>
              <w:jc w:val="center"/>
              <w:rPr>
                <w:rFonts w:eastAsia="SimSun" w:cs="Arial"/>
                <w:b/>
                <w:bCs/>
                <w:sz w:val="22"/>
                <w:szCs w:val="22"/>
                <w:lang w:eastAsia="zh-CN"/>
              </w:rPr>
            </w:pPr>
            <w:r w:rsidRPr="00237EBA">
              <w:rPr>
                <w:rFonts w:eastAsia="SimSun" w:cs="Arial"/>
                <w:b/>
                <w:bCs/>
                <w:sz w:val="22"/>
                <w:szCs w:val="22"/>
                <w:lang w:eastAsia="zh-CN"/>
              </w:rPr>
              <w:t>Cíl Konvergence</w:t>
            </w:r>
          </w:p>
        </w:tc>
        <w:tc>
          <w:tcPr>
            <w:tcW w:w="2835" w:type="dxa"/>
            <w:tcBorders>
              <w:top w:val="double" w:sz="6" w:space="0" w:color="4F6228"/>
              <w:left w:val="nil"/>
              <w:bottom w:val="single" w:sz="4" w:space="0" w:color="auto"/>
              <w:right w:val="nil"/>
            </w:tcBorders>
            <w:shd w:val="clear" w:color="auto" w:fill="C2D69B" w:themeFill="accent3" w:themeFillTint="99"/>
            <w:vAlign w:val="bottom"/>
          </w:tcPr>
          <w:p w:rsidR="009D55B2" w:rsidRPr="00237EBA" w:rsidRDefault="009D55B2" w:rsidP="00237EBA">
            <w:pPr>
              <w:jc w:val="center"/>
              <w:rPr>
                <w:rFonts w:eastAsia="SimSun" w:cs="Arial"/>
                <w:b/>
                <w:bCs/>
                <w:sz w:val="22"/>
                <w:szCs w:val="22"/>
                <w:lang w:eastAsia="zh-CN"/>
              </w:rPr>
            </w:pPr>
            <w:r w:rsidRPr="00237EBA">
              <w:rPr>
                <w:rFonts w:eastAsia="SimSun" w:cs="Arial"/>
                <w:b/>
                <w:bCs/>
                <w:sz w:val="22"/>
                <w:szCs w:val="22"/>
                <w:lang w:eastAsia="zh-CN"/>
              </w:rPr>
              <w:t>ERDF</w:t>
            </w:r>
          </w:p>
          <w:p w:rsidR="009D55B2" w:rsidRPr="00237EBA" w:rsidRDefault="009D55B2" w:rsidP="00237EBA">
            <w:pPr>
              <w:jc w:val="center"/>
              <w:rPr>
                <w:rFonts w:eastAsia="SimSun" w:cs="Arial"/>
                <w:b/>
                <w:bCs/>
                <w:sz w:val="22"/>
                <w:szCs w:val="22"/>
                <w:lang w:eastAsia="zh-CN"/>
              </w:rPr>
            </w:pPr>
            <w:r w:rsidRPr="00237EBA">
              <w:rPr>
                <w:rFonts w:eastAsia="SimSun" w:cs="Arial"/>
                <w:b/>
                <w:bCs/>
                <w:sz w:val="22"/>
                <w:szCs w:val="22"/>
                <w:lang w:eastAsia="zh-CN"/>
              </w:rPr>
              <w:t>Cíl Konkurenceschopnost</w:t>
            </w:r>
          </w:p>
        </w:tc>
        <w:tc>
          <w:tcPr>
            <w:tcW w:w="1831" w:type="dxa"/>
            <w:tcBorders>
              <w:top w:val="double" w:sz="6" w:space="0" w:color="4F6228"/>
              <w:left w:val="single" w:sz="8" w:space="0" w:color="auto"/>
              <w:bottom w:val="single" w:sz="4" w:space="0" w:color="auto"/>
              <w:right w:val="double" w:sz="6" w:space="0" w:color="4F6228"/>
            </w:tcBorders>
            <w:shd w:val="clear" w:color="auto" w:fill="C2D69B" w:themeFill="accent3" w:themeFillTint="99"/>
            <w:vAlign w:val="center"/>
          </w:tcPr>
          <w:p w:rsidR="009D55B2" w:rsidRPr="00237EBA" w:rsidRDefault="009D55B2" w:rsidP="00E54DCC">
            <w:pPr>
              <w:jc w:val="center"/>
              <w:rPr>
                <w:rFonts w:eastAsia="SimSun" w:cs="Arial"/>
                <w:b/>
                <w:bCs/>
                <w:sz w:val="22"/>
                <w:szCs w:val="22"/>
                <w:lang w:eastAsia="zh-CN"/>
              </w:rPr>
            </w:pPr>
            <w:r w:rsidRPr="00237EBA">
              <w:rPr>
                <w:rFonts w:eastAsia="SimSun" w:cs="Arial"/>
                <w:b/>
                <w:bCs/>
                <w:sz w:val="22"/>
                <w:szCs w:val="22"/>
                <w:lang w:eastAsia="zh-CN"/>
              </w:rPr>
              <w:t>Celkem</w:t>
            </w:r>
          </w:p>
        </w:tc>
      </w:tr>
      <w:tr w:rsidR="009D55B2" w:rsidRPr="00B56A0A" w:rsidTr="00F17581">
        <w:trPr>
          <w:trHeight w:val="265"/>
        </w:trPr>
        <w:tc>
          <w:tcPr>
            <w:tcW w:w="2283" w:type="dxa"/>
            <w:tcBorders>
              <w:top w:val="nil"/>
              <w:left w:val="double" w:sz="6" w:space="0" w:color="4F6228"/>
              <w:bottom w:val="single" w:sz="8" w:space="0" w:color="auto"/>
              <w:right w:val="single" w:sz="8" w:space="0" w:color="auto"/>
            </w:tcBorders>
            <w:shd w:val="clear" w:color="auto" w:fill="C2D69B" w:themeFill="accent3" w:themeFillTint="99"/>
            <w:noWrap/>
            <w:vAlign w:val="bottom"/>
          </w:tcPr>
          <w:p w:rsidR="009D55B2" w:rsidRPr="00B56A0A" w:rsidRDefault="009D55B2" w:rsidP="00FA47CE">
            <w:pPr>
              <w:rPr>
                <w:rFonts w:eastAsia="SimSun" w:cs="Arial"/>
                <w:b/>
                <w:bCs/>
                <w:lang w:eastAsia="zh-CN"/>
              </w:rPr>
            </w:pPr>
            <w:r w:rsidRPr="00B56A0A">
              <w:rPr>
                <w:rFonts w:eastAsia="SimSun" w:cs="Arial"/>
                <w:b/>
                <w:bCs/>
                <w:lang w:eastAsia="zh-CN"/>
              </w:rPr>
              <w:t> </w:t>
            </w:r>
          </w:p>
        </w:tc>
        <w:tc>
          <w:tcPr>
            <w:tcW w:w="2268" w:type="dxa"/>
            <w:tcBorders>
              <w:top w:val="nil"/>
              <w:left w:val="nil"/>
              <w:bottom w:val="single" w:sz="8" w:space="0" w:color="auto"/>
              <w:right w:val="single" w:sz="4" w:space="0" w:color="auto"/>
            </w:tcBorders>
            <w:shd w:val="clear" w:color="auto" w:fill="C2D69B" w:themeFill="accent3" w:themeFillTint="99"/>
            <w:noWrap/>
            <w:vAlign w:val="bottom"/>
          </w:tcPr>
          <w:p w:rsidR="009D55B2" w:rsidRPr="00237EBA" w:rsidRDefault="009D55B2" w:rsidP="00237EBA">
            <w:pPr>
              <w:jc w:val="center"/>
              <w:rPr>
                <w:rFonts w:eastAsia="SimSun" w:cs="Arial"/>
                <w:b/>
                <w:bCs/>
                <w:sz w:val="22"/>
                <w:szCs w:val="22"/>
                <w:lang w:eastAsia="zh-CN"/>
              </w:rPr>
            </w:pPr>
            <w:r w:rsidRPr="00237EBA">
              <w:rPr>
                <w:rFonts w:eastAsia="SimSun" w:cs="Arial"/>
                <w:b/>
                <w:bCs/>
                <w:sz w:val="22"/>
                <w:szCs w:val="22"/>
                <w:lang w:eastAsia="zh-CN"/>
              </w:rPr>
              <w:t>1</w:t>
            </w:r>
          </w:p>
        </w:tc>
        <w:tc>
          <w:tcPr>
            <w:tcW w:w="2835" w:type="dxa"/>
            <w:tcBorders>
              <w:top w:val="nil"/>
              <w:left w:val="nil"/>
              <w:bottom w:val="single" w:sz="8" w:space="0" w:color="auto"/>
              <w:right w:val="nil"/>
            </w:tcBorders>
            <w:shd w:val="clear" w:color="auto" w:fill="C2D69B" w:themeFill="accent3" w:themeFillTint="99"/>
            <w:noWrap/>
            <w:vAlign w:val="bottom"/>
          </w:tcPr>
          <w:p w:rsidR="009D55B2" w:rsidRPr="00237EBA" w:rsidRDefault="009D55B2" w:rsidP="00237EBA">
            <w:pPr>
              <w:jc w:val="center"/>
              <w:rPr>
                <w:rFonts w:eastAsia="SimSun" w:cs="Arial"/>
                <w:b/>
                <w:bCs/>
                <w:sz w:val="22"/>
                <w:szCs w:val="22"/>
                <w:lang w:eastAsia="zh-CN"/>
              </w:rPr>
            </w:pPr>
            <w:r w:rsidRPr="00237EBA">
              <w:rPr>
                <w:rFonts w:eastAsia="SimSun" w:cs="Arial"/>
                <w:b/>
                <w:bCs/>
                <w:sz w:val="22"/>
                <w:szCs w:val="22"/>
                <w:lang w:eastAsia="zh-CN"/>
              </w:rPr>
              <w:t>2</w:t>
            </w:r>
          </w:p>
        </w:tc>
        <w:tc>
          <w:tcPr>
            <w:tcW w:w="1831" w:type="dxa"/>
            <w:tcBorders>
              <w:top w:val="nil"/>
              <w:left w:val="single" w:sz="8" w:space="0" w:color="auto"/>
              <w:bottom w:val="single" w:sz="8" w:space="0" w:color="auto"/>
              <w:right w:val="double" w:sz="6" w:space="0" w:color="4F6228"/>
            </w:tcBorders>
            <w:shd w:val="clear" w:color="auto" w:fill="C2D69B" w:themeFill="accent3" w:themeFillTint="99"/>
            <w:noWrap/>
            <w:vAlign w:val="bottom"/>
          </w:tcPr>
          <w:p w:rsidR="009D55B2" w:rsidRPr="00237EBA" w:rsidRDefault="009D55B2" w:rsidP="00237EBA">
            <w:pPr>
              <w:jc w:val="center"/>
              <w:rPr>
                <w:rFonts w:eastAsia="SimSun" w:cs="Arial"/>
                <w:b/>
                <w:bCs/>
                <w:sz w:val="22"/>
                <w:szCs w:val="22"/>
                <w:lang w:eastAsia="zh-CN"/>
              </w:rPr>
            </w:pPr>
            <w:r w:rsidRPr="00237EBA">
              <w:rPr>
                <w:rFonts w:eastAsia="SimSun" w:cs="Arial"/>
                <w:b/>
                <w:bCs/>
                <w:sz w:val="22"/>
                <w:szCs w:val="22"/>
                <w:lang w:eastAsia="zh-CN"/>
              </w:rPr>
              <w:t>3=1+2</w:t>
            </w:r>
          </w:p>
        </w:tc>
      </w:tr>
      <w:tr w:rsidR="009D55B2" w:rsidRPr="00B96735"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B96735" w:rsidRDefault="009D55B2" w:rsidP="00C9250D">
            <w:pPr>
              <w:jc w:val="center"/>
              <w:rPr>
                <w:rFonts w:eastAsia="SimSun" w:cs="Arial"/>
                <w:sz w:val="22"/>
                <w:szCs w:val="22"/>
                <w:lang w:eastAsia="zh-CN"/>
              </w:rPr>
            </w:pPr>
            <w:r w:rsidRPr="00B96735">
              <w:rPr>
                <w:rFonts w:eastAsia="SimSun" w:cs="Arial"/>
                <w:sz w:val="22"/>
                <w:szCs w:val="22"/>
                <w:lang w:eastAsia="zh-CN"/>
              </w:rPr>
              <w:t>2007</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192 686 939</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3 951 894</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196 638 833</w:t>
            </w:r>
          </w:p>
        </w:tc>
      </w:tr>
      <w:tr w:rsidR="009D55B2" w:rsidRPr="00B96735"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B96735" w:rsidRDefault="009D55B2" w:rsidP="00C9250D">
            <w:pPr>
              <w:jc w:val="center"/>
              <w:rPr>
                <w:rFonts w:eastAsia="SimSun" w:cs="Arial"/>
                <w:sz w:val="22"/>
                <w:szCs w:val="22"/>
                <w:lang w:eastAsia="zh-CN"/>
              </w:rPr>
            </w:pPr>
            <w:r w:rsidRPr="00B96735">
              <w:rPr>
                <w:rFonts w:eastAsia="SimSun" w:cs="Arial"/>
                <w:sz w:val="22"/>
                <w:szCs w:val="22"/>
                <w:lang w:eastAsia="zh-CN"/>
              </w:rPr>
              <w:t>2008</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202 164 946</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4 030 931</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206 195 877</w:t>
            </w:r>
          </w:p>
        </w:tc>
      </w:tr>
      <w:tr w:rsidR="009D55B2" w:rsidRPr="00B96735"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B96735" w:rsidRDefault="009D55B2" w:rsidP="00C9250D">
            <w:pPr>
              <w:jc w:val="center"/>
              <w:rPr>
                <w:rFonts w:eastAsia="SimSun" w:cs="Arial"/>
                <w:sz w:val="22"/>
                <w:szCs w:val="22"/>
                <w:lang w:eastAsia="zh-CN"/>
              </w:rPr>
            </w:pPr>
            <w:r w:rsidRPr="00B96735">
              <w:rPr>
                <w:rFonts w:eastAsia="SimSun" w:cs="Arial"/>
                <w:sz w:val="22"/>
                <w:szCs w:val="22"/>
                <w:lang w:eastAsia="zh-CN"/>
              </w:rPr>
              <w:t>2009</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211 684 389</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4 111 551</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215 795 940</w:t>
            </w:r>
          </w:p>
        </w:tc>
      </w:tr>
      <w:tr w:rsidR="009D55B2" w:rsidRPr="00B96735"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B96735" w:rsidRDefault="009D55B2" w:rsidP="00C9250D">
            <w:pPr>
              <w:jc w:val="center"/>
              <w:rPr>
                <w:rFonts w:eastAsia="SimSun" w:cs="Arial"/>
                <w:sz w:val="22"/>
                <w:szCs w:val="22"/>
                <w:lang w:eastAsia="zh-CN"/>
              </w:rPr>
            </w:pPr>
            <w:r w:rsidRPr="00B96735">
              <w:rPr>
                <w:rFonts w:eastAsia="SimSun" w:cs="Arial"/>
                <w:sz w:val="22"/>
                <w:szCs w:val="22"/>
                <w:lang w:eastAsia="zh-CN"/>
              </w:rPr>
              <w:t>2010</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221 648 970</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2 635 524</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224 284 494</w:t>
            </w:r>
          </w:p>
        </w:tc>
      </w:tr>
      <w:tr w:rsidR="009D55B2" w:rsidRPr="00B96735"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B96735" w:rsidRDefault="009D55B2" w:rsidP="00C9250D">
            <w:pPr>
              <w:jc w:val="center"/>
              <w:rPr>
                <w:rFonts w:eastAsia="SimSun" w:cs="Arial"/>
                <w:sz w:val="22"/>
                <w:szCs w:val="22"/>
                <w:lang w:eastAsia="zh-CN"/>
              </w:rPr>
            </w:pPr>
            <w:r w:rsidRPr="00B96735">
              <w:rPr>
                <w:rFonts w:eastAsia="SimSun" w:cs="Arial"/>
                <w:sz w:val="22"/>
                <w:szCs w:val="22"/>
                <w:lang w:eastAsia="zh-CN"/>
              </w:rPr>
              <w:t>2011</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cs="Arial"/>
                <w:color w:val="000000"/>
                <w:sz w:val="22"/>
                <w:szCs w:val="22"/>
              </w:rPr>
              <w:t>237 465 225</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4 277 657</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B96735" w:rsidRDefault="009D55B2" w:rsidP="00237EBA">
            <w:pPr>
              <w:jc w:val="center"/>
              <w:rPr>
                <w:rFonts w:eastAsia="SimSun" w:cs="Arial"/>
                <w:sz w:val="22"/>
                <w:szCs w:val="22"/>
                <w:lang w:eastAsia="zh-CN"/>
              </w:rPr>
            </w:pPr>
            <w:r w:rsidRPr="00B96735">
              <w:rPr>
                <w:rFonts w:cs="Arial"/>
                <w:color w:val="000000"/>
                <w:sz w:val="22"/>
                <w:szCs w:val="22"/>
              </w:rPr>
              <w:t>241 742 882</w:t>
            </w:r>
          </w:p>
        </w:tc>
      </w:tr>
      <w:tr w:rsidR="009D55B2" w:rsidRPr="00B96735"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B96735" w:rsidRDefault="009D55B2" w:rsidP="00C9250D">
            <w:pPr>
              <w:jc w:val="center"/>
              <w:rPr>
                <w:rFonts w:eastAsia="SimSun" w:cs="Arial"/>
                <w:sz w:val="22"/>
                <w:szCs w:val="22"/>
                <w:lang w:eastAsia="zh-CN"/>
              </w:rPr>
            </w:pPr>
            <w:r w:rsidRPr="00B96735">
              <w:rPr>
                <w:rFonts w:eastAsia="SimSun" w:cs="Arial"/>
                <w:sz w:val="22"/>
                <w:szCs w:val="22"/>
                <w:lang w:eastAsia="zh-CN"/>
              </w:rPr>
              <w:t>2012</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cs="Arial"/>
                <w:color w:val="000000"/>
                <w:sz w:val="22"/>
                <w:szCs w:val="22"/>
              </w:rPr>
              <w:t>247 398 119</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4 363 210</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B96735" w:rsidRDefault="009D55B2" w:rsidP="00237EBA">
            <w:pPr>
              <w:jc w:val="center"/>
              <w:rPr>
                <w:rFonts w:eastAsia="SimSun" w:cs="Arial"/>
                <w:sz w:val="22"/>
                <w:szCs w:val="22"/>
                <w:lang w:eastAsia="zh-CN"/>
              </w:rPr>
            </w:pPr>
            <w:r w:rsidRPr="00B96735">
              <w:rPr>
                <w:rFonts w:cs="Arial"/>
                <w:color w:val="000000"/>
                <w:sz w:val="22"/>
                <w:szCs w:val="22"/>
              </w:rPr>
              <w:t>251 761 329</w:t>
            </w:r>
          </w:p>
        </w:tc>
      </w:tr>
      <w:tr w:rsidR="009D55B2" w:rsidRPr="00B96735" w:rsidTr="00F17581">
        <w:trPr>
          <w:trHeight w:val="265"/>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B96735" w:rsidRDefault="009D55B2" w:rsidP="00C9250D">
            <w:pPr>
              <w:jc w:val="center"/>
              <w:rPr>
                <w:rFonts w:eastAsia="SimSun" w:cs="Arial"/>
                <w:sz w:val="22"/>
                <w:szCs w:val="22"/>
                <w:lang w:eastAsia="zh-CN"/>
              </w:rPr>
            </w:pPr>
            <w:r w:rsidRPr="00B96735">
              <w:rPr>
                <w:rFonts w:eastAsia="SimSun" w:cs="Arial"/>
                <w:sz w:val="22"/>
                <w:szCs w:val="22"/>
                <w:lang w:eastAsia="zh-CN"/>
              </w:rPr>
              <w:t>2013</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cs="Arial"/>
                <w:color w:val="000000"/>
                <w:sz w:val="22"/>
                <w:szCs w:val="22"/>
              </w:rPr>
              <w:t>278 308 099</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B96735" w:rsidRDefault="009D55B2" w:rsidP="00237EBA">
            <w:pPr>
              <w:jc w:val="center"/>
              <w:rPr>
                <w:rFonts w:eastAsia="SimSun" w:cs="Arial"/>
                <w:sz w:val="22"/>
                <w:szCs w:val="22"/>
                <w:lang w:eastAsia="zh-CN"/>
              </w:rPr>
            </w:pPr>
            <w:r w:rsidRPr="00B96735">
              <w:rPr>
                <w:rFonts w:eastAsia="SimSun" w:cs="Arial"/>
                <w:sz w:val="22"/>
                <w:szCs w:val="22"/>
                <w:lang w:eastAsia="zh-CN"/>
              </w:rPr>
              <w:t>2 736 597</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B96735" w:rsidRDefault="009D55B2" w:rsidP="00237EBA">
            <w:pPr>
              <w:jc w:val="center"/>
              <w:rPr>
                <w:rFonts w:eastAsia="SimSun" w:cs="Arial"/>
                <w:sz w:val="22"/>
                <w:szCs w:val="22"/>
                <w:lang w:eastAsia="zh-CN"/>
              </w:rPr>
            </w:pPr>
            <w:r w:rsidRPr="00B96735">
              <w:rPr>
                <w:rFonts w:cs="Arial"/>
                <w:color w:val="000000"/>
                <w:sz w:val="22"/>
                <w:szCs w:val="22"/>
              </w:rPr>
              <w:t>281 044 696</w:t>
            </w:r>
          </w:p>
        </w:tc>
      </w:tr>
      <w:tr w:rsidR="009D55B2" w:rsidRPr="00B56A0A" w:rsidTr="00E367CD">
        <w:trPr>
          <w:trHeight w:val="357"/>
        </w:trPr>
        <w:tc>
          <w:tcPr>
            <w:tcW w:w="2283" w:type="dxa"/>
            <w:tcBorders>
              <w:top w:val="single" w:sz="8" w:space="0" w:color="auto"/>
              <w:left w:val="double" w:sz="6" w:space="0" w:color="4F6228"/>
              <w:bottom w:val="double" w:sz="6" w:space="0" w:color="4F6228"/>
              <w:right w:val="single" w:sz="8" w:space="0" w:color="auto"/>
            </w:tcBorders>
            <w:shd w:val="clear" w:color="auto" w:fill="C2D69B" w:themeFill="accent3" w:themeFillTint="99"/>
            <w:vAlign w:val="center"/>
          </w:tcPr>
          <w:p w:rsidR="009D55B2" w:rsidRPr="00237EBA" w:rsidRDefault="009D55B2" w:rsidP="00E367CD">
            <w:pPr>
              <w:jc w:val="center"/>
              <w:rPr>
                <w:rFonts w:eastAsia="SimSun" w:cs="Arial"/>
                <w:b/>
                <w:bCs/>
                <w:sz w:val="22"/>
                <w:szCs w:val="22"/>
                <w:lang w:eastAsia="zh-CN"/>
              </w:rPr>
            </w:pPr>
            <w:r w:rsidRPr="00237EBA">
              <w:rPr>
                <w:rFonts w:eastAsia="SimSun" w:cs="Arial"/>
                <w:b/>
                <w:bCs/>
                <w:sz w:val="22"/>
                <w:szCs w:val="22"/>
                <w:lang w:eastAsia="zh-CN"/>
              </w:rPr>
              <w:t>Celkem</w:t>
            </w:r>
            <w:r w:rsidR="00F17581">
              <w:rPr>
                <w:rFonts w:eastAsia="SimSun" w:cs="Arial"/>
                <w:b/>
                <w:bCs/>
                <w:sz w:val="22"/>
                <w:szCs w:val="22"/>
                <w:lang w:eastAsia="zh-CN"/>
              </w:rPr>
              <w:t xml:space="preserve"> </w:t>
            </w:r>
            <w:r w:rsidRPr="00237EBA">
              <w:rPr>
                <w:rFonts w:eastAsia="SimSun" w:cs="Arial"/>
                <w:b/>
                <w:bCs/>
                <w:sz w:val="22"/>
                <w:szCs w:val="22"/>
                <w:lang w:eastAsia="zh-CN"/>
              </w:rPr>
              <w:t>2007 - 2013</w:t>
            </w:r>
          </w:p>
        </w:tc>
        <w:tc>
          <w:tcPr>
            <w:tcW w:w="2268" w:type="dxa"/>
            <w:tcBorders>
              <w:top w:val="single" w:sz="8" w:space="0" w:color="auto"/>
              <w:left w:val="nil"/>
              <w:bottom w:val="double" w:sz="6" w:space="0" w:color="4F6228"/>
              <w:right w:val="single" w:sz="4" w:space="0" w:color="auto"/>
            </w:tcBorders>
            <w:shd w:val="clear" w:color="auto" w:fill="C2D69B" w:themeFill="accent3" w:themeFillTint="99"/>
            <w:noWrap/>
            <w:vAlign w:val="center"/>
          </w:tcPr>
          <w:p w:rsidR="009D55B2" w:rsidRPr="00237EBA" w:rsidRDefault="009D55B2" w:rsidP="00E367CD">
            <w:pPr>
              <w:jc w:val="center"/>
              <w:rPr>
                <w:rFonts w:eastAsia="SimSun" w:cs="Arial"/>
                <w:b/>
                <w:bCs/>
                <w:sz w:val="22"/>
                <w:szCs w:val="22"/>
                <w:lang w:eastAsia="zh-CN"/>
              </w:rPr>
            </w:pPr>
            <w:r w:rsidRPr="00237EBA">
              <w:rPr>
                <w:rFonts w:cs="Arial"/>
                <w:b/>
                <w:bCs/>
                <w:color w:val="000000"/>
                <w:sz w:val="22"/>
                <w:szCs w:val="22"/>
              </w:rPr>
              <w:t>1 591 356 687</w:t>
            </w:r>
          </w:p>
        </w:tc>
        <w:tc>
          <w:tcPr>
            <w:tcW w:w="2835" w:type="dxa"/>
            <w:tcBorders>
              <w:top w:val="single" w:sz="8" w:space="0" w:color="auto"/>
              <w:left w:val="nil"/>
              <w:bottom w:val="double" w:sz="6" w:space="0" w:color="4F6228"/>
              <w:right w:val="nil"/>
            </w:tcBorders>
            <w:shd w:val="clear" w:color="auto" w:fill="C2D69B" w:themeFill="accent3" w:themeFillTint="99"/>
            <w:noWrap/>
            <w:vAlign w:val="center"/>
          </w:tcPr>
          <w:p w:rsidR="009D55B2" w:rsidRPr="00237EBA" w:rsidRDefault="009D55B2" w:rsidP="00E367CD">
            <w:pPr>
              <w:jc w:val="center"/>
              <w:rPr>
                <w:rFonts w:eastAsia="SimSun" w:cs="Arial"/>
                <w:b/>
                <w:bCs/>
                <w:sz w:val="22"/>
                <w:szCs w:val="22"/>
                <w:lang w:eastAsia="zh-CN"/>
              </w:rPr>
            </w:pPr>
            <w:r w:rsidRPr="00237EBA">
              <w:rPr>
                <w:rFonts w:eastAsia="SimSun" w:cs="Arial"/>
                <w:b/>
                <w:bCs/>
                <w:sz w:val="22"/>
                <w:szCs w:val="22"/>
                <w:lang w:eastAsia="zh-CN"/>
              </w:rPr>
              <w:t>26 107 364</w:t>
            </w:r>
          </w:p>
        </w:tc>
        <w:tc>
          <w:tcPr>
            <w:tcW w:w="1831" w:type="dxa"/>
            <w:tcBorders>
              <w:top w:val="single" w:sz="8" w:space="0" w:color="auto"/>
              <w:left w:val="single" w:sz="8" w:space="0" w:color="auto"/>
              <w:bottom w:val="double" w:sz="6" w:space="0" w:color="4F6228"/>
              <w:right w:val="double" w:sz="6" w:space="0" w:color="4F6228"/>
            </w:tcBorders>
            <w:shd w:val="clear" w:color="auto" w:fill="C2D69B" w:themeFill="accent3" w:themeFillTint="99"/>
            <w:noWrap/>
            <w:vAlign w:val="center"/>
          </w:tcPr>
          <w:p w:rsidR="009D55B2" w:rsidRPr="00237EBA" w:rsidRDefault="009D55B2" w:rsidP="00E367CD">
            <w:pPr>
              <w:jc w:val="center"/>
              <w:rPr>
                <w:rFonts w:eastAsia="SimSun" w:cs="Arial"/>
                <w:b/>
                <w:bCs/>
                <w:sz w:val="22"/>
                <w:szCs w:val="22"/>
                <w:lang w:eastAsia="zh-CN"/>
              </w:rPr>
            </w:pPr>
            <w:r w:rsidRPr="00237EBA">
              <w:rPr>
                <w:rFonts w:cs="Arial"/>
                <w:b/>
                <w:bCs/>
                <w:color w:val="000000"/>
                <w:sz w:val="22"/>
                <w:szCs w:val="22"/>
              </w:rPr>
              <w:t>1 617 464 051</w:t>
            </w:r>
          </w:p>
        </w:tc>
      </w:tr>
    </w:tbl>
    <w:p w:rsidR="00A75862" w:rsidRPr="007722D0" w:rsidRDefault="00A75862" w:rsidP="007213BB">
      <w:pPr>
        <w:spacing w:before="60" w:after="60"/>
        <w:rPr>
          <w:i/>
          <w:sz w:val="18"/>
          <w:szCs w:val="18"/>
        </w:rPr>
      </w:pPr>
      <w:r w:rsidRPr="007722D0">
        <w:rPr>
          <w:i/>
          <w:sz w:val="18"/>
          <w:szCs w:val="18"/>
        </w:rPr>
        <w:t>Zdroj: P</w:t>
      </w:r>
      <w:r>
        <w:rPr>
          <w:i/>
          <w:sz w:val="18"/>
          <w:szCs w:val="18"/>
        </w:rPr>
        <w:t xml:space="preserve">rogramový </w:t>
      </w:r>
      <w:r w:rsidRPr="006E301C">
        <w:rPr>
          <w:i/>
          <w:sz w:val="18"/>
          <w:szCs w:val="18"/>
        </w:rPr>
        <w:t xml:space="preserve">dokument, </w:t>
      </w:r>
      <w:r w:rsidR="009D55B2">
        <w:rPr>
          <w:i/>
          <w:sz w:val="18"/>
          <w:szCs w:val="18"/>
        </w:rPr>
        <w:t>listopad</w:t>
      </w:r>
      <w:r w:rsidRPr="006E301C">
        <w:rPr>
          <w:i/>
          <w:sz w:val="18"/>
          <w:szCs w:val="18"/>
        </w:rPr>
        <w:t xml:space="preserve"> 201</w:t>
      </w:r>
      <w:r w:rsidR="009D55B2">
        <w:rPr>
          <w:i/>
          <w:sz w:val="18"/>
          <w:szCs w:val="18"/>
        </w:rPr>
        <w:t>4</w:t>
      </w: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sectPr w:rsidR="00A75862" w:rsidSect="003F08D8">
          <w:headerReference w:type="default" r:id="rId16"/>
          <w:footerReference w:type="default" r:id="rId17"/>
          <w:pgSz w:w="11906" w:h="16838"/>
          <w:pgMar w:top="1417" w:right="1417" w:bottom="1417" w:left="1417" w:header="708" w:footer="708" w:gutter="0"/>
          <w:cols w:space="708"/>
        </w:sectPr>
      </w:pPr>
    </w:p>
    <w:p w:rsidR="00A75862" w:rsidRDefault="00EE4C33" w:rsidP="009D60FB">
      <w:pPr>
        <w:pStyle w:val="Tabulkanzev"/>
      </w:pPr>
      <w:r>
        <w:lastRenderedPageBreak/>
        <w:t xml:space="preserve"> </w:t>
      </w:r>
      <w:bookmarkStart w:id="5" w:name="_Toc416431791"/>
      <w:r w:rsidR="00A75862" w:rsidRPr="000B2088">
        <w:t xml:space="preserve">Alokace podle prioritních os pro období 2007-2013 (v </w:t>
      </w:r>
      <w:proofErr w:type="gramStart"/>
      <w:r w:rsidR="00A75862" w:rsidRPr="000B2088">
        <w:t>EUR</w:t>
      </w:r>
      <w:proofErr w:type="gramEnd"/>
      <w:r w:rsidR="00A75862" w:rsidRPr="000B2088">
        <w:t>)</w:t>
      </w:r>
      <w:bookmarkEnd w:id="5"/>
    </w:p>
    <w:tbl>
      <w:tblPr>
        <w:tblW w:w="5000" w:type="pct"/>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3"/>
        <w:gridCol w:w="2460"/>
        <w:gridCol w:w="2737"/>
        <w:gridCol w:w="1196"/>
        <w:gridCol w:w="1040"/>
        <w:gridCol w:w="1040"/>
        <w:gridCol w:w="985"/>
        <w:gridCol w:w="1068"/>
        <w:gridCol w:w="1148"/>
        <w:gridCol w:w="485"/>
        <w:gridCol w:w="1090"/>
      </w:tblGrid>
      <w:tr w:rsidR="000918E6" w:rsidRPr="000918E6" w:rsidTr="00555975">
        <w:trPr>
          <w:trHeight w:val="510"/>
          <w:tblHeader/>
        </w:trPr>
        <w:tc>
          <w:tcPr>
            <w:tcW w:w="333" w:type="pct"/>
            <w:vMerge w:val="restar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Číslo prioritní osy</w:t>
            </w:r>
          </w:p>
        </w:tc>
        <w:tc>
          <w:tcPr>
            <w:tcW w:w="887" w:type="pct"/>
            <w:vMerge w:val="restart"/>
            <w:shd w:val="clear" w:color="auto" w:fill="C2D69B" w:themeFill="accent3" w:themeFillTint="99"/>
            <w:noWrap/>
            <w:vAlign w:val="center"/>
            <w:hideMark/>
          </w:tcPr>
          <w:p w:rsidR="000918E6" w:rsidRPr="000918E6" w:rsidRDefault="000918E6" w:rsidP="009B7FAA">
            <w:pPr>
              <w:jc w:val="center"/>
              <w:rPr>
                <w:b/>
                <w:bCs/>
                <w:color w:val="000000"/>
              </w:rPr>
            </w:pPr>
            <w:r w:rsidRPr="000918E6">
              <w:rPr>
                <w:b/>
                <w:bCs/>
                <w:color w:val="000000"/>
              </w:rPr>
              <w:t>Název prioritní osy</w:t>
            </w:r>
          </w:p>
        </w:tc>
        <w:tc>
          <w:tcPr>
            <w:tcW w:w="984" w:type="pct"/>
            <w:vMerge w:val="restart"/>
            <w:shd w:val="clear" w:color="auto" w:fill="C2D69B" w:themeFill="accent3" w:themeFillTint="99"/>
            <w:vAlign w:val="center"/>
            <w:hideMark/>
          </w:tcPr>
          <w:p w:rsidR="000918E6" w:rsidRPr="000918E6" w:rsidRDefault="000918E6" w:rsidP="009B7FAA">
            <w:pPr>
              <w:jc w:val="center"/>
              <w:rPr>
                <w:b/>
                <w:bCs/>
                <w:color w:val="000000"/>
              </w:rPr>
            </w:pPr>
            <w:r w:rsidRPr="000918E6">
              <w:rPr>
                <w:b/>
                <w:bCs/>
                <w:color w:val="000000"/>
              </w:rPr>
              <w:t>Fond/míra spolufinancování vztahována k</w:t>
            </w:r>
          </w:p>
        </w:tc>
        <w:tc>
          <w:tcPr>
            <w:tcW w:w="415" w:type="pct"/>
            <w:vMerge w:val="restar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Příspěvek Společenství</w:t>
            </w:r>
          </w:p>
        </w:tc>
        <w:tc>
          <w:tcPr>
            <w:tcW w:w="347" w:type="pct"/>
            <w:vMerge w:val="restar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Národní zdroje</w:t>
            </w:r>
          </w:p>
        </w:tc>
        <w:tc>
          <w:tcPr>
            <w:tcW w:w="688" w:type="pct"/>
            <w:gridSpan w:val="2"/>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Indikativní rozdělení národních zdrojů</w:t>
            </w:r>
          </w:p>
        </w:tc>
        <w:tc>
          <w:tcPr>
            <w:tcW w:w="395" w:type="pct"/>
            <w:vMerge w:val="restar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Celkové zdroje</w:t>
            </w:r>
          </w:p>
        </w:tc>
        <w:tc>
          <w:tcPr>
            <w:tcW w:w="423" w:type="pct"/>
            <w:vMerge w:val="restar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 xml:space="preserve">Míra </w:t>
            </w:r>
            <w:proofErr w:type="spellStart"/>
            <w:r w:rsidRPr="000918E6">
              <w:rPr>
                <w:b/>
                <w:bCs/>
                <w:color w:val="000000"/>
              </w:rPr>
              <w:t>spolufinan-cování</w:t>
            </w:r>
            <w:proofErr w:type="spellEnd"/>
          </w:p>
        </w:tc>
        <w:tc>
          <w:tcPr>
            <w:tcW w:w="528" w:type="pct"/>
            <w:gridSpan w:val="2"/>
            <w:vMerge w:val="restar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Pro informaci</w:t>
            </w:r>
          </w:p>
        </w:tc>
      </w:tr>
      <w:tr w:rsidR="00DD3D4C" w:rsidRPr="000918E6" w:rsidTr="00555975">
        <w:trPr>
          <w:trHeight w:val="780"/>
          <w:tblHeader/>
        </w:trPr>
        <w:tc>
          <w:tcPr>
            <w:tcW w:w="333" w:type="pct"/>
            <w:vMerge/>
            <w:shd w:val="clear" w:color="auto" w:fill="C2D69B" w:themeFill="accent3" w:themeFillTint="99"/>
            <w:vAlign w:val="center"/>
            <w:hideMark/>
          </w:tcPr>
          <w:p w:rsidR="000918E6" w:rsidRPr="000918E6" w:rsidRDefault="000918E6" w:rsidP="000918E6">
            <w:pPr>
              <w:rPr>
                <w:b/>
                <w:bCs/>
                <w:color w:val="000000"/>
              </w:rPr>
            </w:pPr>
          </w:p>
        </w:tc>
        <w:tc>
          <w:tcPr>
            <w:tcW w:w="887" w:type="pct"/>
            <w:vMerge/>
            <w:shd w:val="clear" w:color="auto" w:fill="C2D69B" w:themeFill="accent3" w:themeFillTint="99"/>
            <w:vAlign w:val="center"/>
            <w:hideMark/>
          </w:tcPr>
          <w:p w:rsidR="000918E6" w:rsidRPr="000918E6" w:rsidRDefault="000918E6" w:rsidP="000918E6">
            <w:pPr>
              <w:rPr>
                <w:b/>
                <w:bCs/>
                <w:color w:val="000000"/>
              </w:rPr>
            </w:pPr>
          </w:p>
        </w:tc>
        <w:tc>
          <w:tcPr>
            <w:tcW w:w="984" w:type="pct"/>
            <w:vMerge/>
            <w:shd w:val="clear" w:color="auto" w:fill="C2D69B" w:themeFill="accent3" w:themeFillTint="99"/>
            <w:vAlign w:val="center"/>
            <w:hideMark/>
          </w:tcPr>
          <w:p w:rsidR="000918E6" w:rsidRPr="000918E6" w:rsidRDefault="000918E6" w:rsidP="000918E6">
            <w:pPr>
              <w:rPr>
                <w:b/>
                <w:bCs/>
                <w:color w:val="000000"/>
              </w:rPr>
            </w:pPr>
          </w:p>
        </w:tc>
        <w:tc>
          <w:tcPr>
            <w:tcW w:w="415" w:type="pct"/>
            <w:vMerge/>
            <w:shd w:val="clear" w:color="auto" w:fill="C2D69B" w:themeFill="accent3" w:themeFillTint="99"/>
            <w:vAlign w:val="center"/>
            <w:hideMark/>
          </w:tcPr>
          <w:p w:rsidR="000918E6" w:rsidRPr="000918E6" w:rsidRDefault="000918E6" w:rsidP="000918E6">
            <w:pPr>
              <w:rPr>
                <w:b/>
                <w:bCs/>
                <w:color w:val="000000"/>
              </w:rPr>
            </w:pPr>
          </w:p>
        </w:tc>
        <w:tc>
          <w:tcPr>
            <w:tcW w:w="347" w:type="pct"/>
            <w:vMerge/>
            <w:shd w:val="clear" w:color="auto" w:fill="C2D69B" w:themeFill="accent3" w:themeFillTint="99"/>
            <w:vAlign w:val="center"/>
            <w:hideMark/>
          </w:tcPr>
          <w:p w:rsidR="000918E6" w:rsidRPr="000918E6" w:rsidRDefault="000918E6" w:rsidP="000918E6">
            <w:pPr>
              <w:rPr>
                <w:b/>
                <w:bCs/>
                <w:color w:val="000000"/>
              </w:rPr>
            </w:pPr>
          </w:p>
        </w:tc>
        <w:tc>
          <w:tcPr>
            <w:tcW w:w="347" w:type="pc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Národní veřejné zdroje</w:t>
            </w:r>
          </w:p>
        </w:tc>
        <w:tc>
          <w:tcPr>
            <w:tcW w:w="341" w:type="pct"/>
            <w:shd w:val="clear" w:color="auto" w:fill="C2D69B" w:themeFill="accent3" w:themeFillTint="99"/>
            <w:vAlign w:val="center"/>
            <w:hideMark/>
          </w:tcPr>
          <w:p w:rsidR="000918E6" w:rsidRPr="000918E6" w:rsidRDefault="000918E6" w:rsidP="000918E6">
            <w:pPr>
              <w:rPr>
                <w:b/>
                <w:bCs/>
                <w:color w:val="000000"/>
              </w:rPr>
            </w:pPr>
            <w:r w:rsidRPr="000918E6">
              <w:rPr>
                <w:b/>
                <w:bCs/>
                <w:color w:val="000000"/>
              </w:rPr>
              <w:t>Národní soukromé zdroje</w:t>
            </w:r>
          </w:p>
        </w:tc>
        <w:tc>
          <w:tcPr>
            <w:tcW w:w="395" w:type="pct"/>
            <w:vMerge/>
            <w:shd w:val="clear" w:color="auto" w:fill="C2D69B" w:themeFill="accent3" w:themeFillTint="99"/>
            <w:vAlign w:val="center"/>
            <w:hideMark/>
          </w:tcPr>
          <w:p w:rsidR="000918E6" w:rsidRPr="000918E6" w:rsidRDefault="000918E6" w:rsidP="000918E6">
            <w:pPr>
              <w:rPr>
                <w:b/>
                <w:bCs/>
                <w:color w:val="000000"/>
              </w:rPr>
            </w:pPr>
          </w:p>
        </w:tc>
        <w:tc>
          <w:tcPr>
            <w:tcW w:w="423" w:type="pct"/>
            <w:vMerge/>
            <w:shd w:val="clear" w:color="auto" w:fill="C2D69B" w:themeFill="accent3" w:themeFillTint="99"/>
            <w:vAlign w:val="center"/>
            <w:hideMark/>
          </w:tcPr>
          <w:p w:rsidR="000918E6" w:rsidRPr="000918E6" w:rsidRDefault="000918E6" w:rsidP="000918E6">
            <w:pPr>
              <w:rPr>
                <w:b/>
                <w:bCs/>
                <w:color w:val="000000"/>
              </w:rPr>
            </w:pPr>
          </w:p>
        </w:tc>
        <w:tc>
          <w:tcPr>
            <w:tcW w:w="528" w:type="pct"/>
            <w:gridSpan w:val="2"/>
            <w:vMerge/>
            <w:shd w:val="clear" w:color="auto" w:fill="C2D69B" w:themeFill="accent3" w:themeFillTint="99"/>
            <w:vAlign w:val="center"/>
            <w:hideMark/>
          </w:tcPr>
          <w:p w:rsidR="000918E6" w:rsidRPr="000918E6" w:rsidRDefault="000918E6" w:rsidP="000918E6">
            <w:pPr>
              <w:rPr>
                <w:b/>
                <w:bCs/>
                <w:color w:val="000000"/>
              </w:rPr>
            </w:pPr>
          </w:p>
        </w:tc>
      </w:tr>
      <w:tr w:rsidR="000918E6" w:rsidRPr="000918E6" w:rsidTr="00555975">
        <w:trPr>
          <w:trHeight w:val="315"/>
          <w:tblHeader/>
        </w:trPr>
        <w:tc>
          <w:tcPr>
            <w:tcW w:w="333" w:type="pct"/>
            <w:vMerge/>
            <w:shd w:val="clear" w:color="auto" w:fill="C2D69B" w:themeFill="accent3" w:themeFillTint="99"/>
            <w:vAlign w:val="center"/>
            <w:hideMark/>
          </w:tcPr>
          <w:p w:rsidR="000918E6" w:rsidRPr="000918E6" w:rsidRDefault="000918E6" w:rsidP="000918E6">
            <w:pPr>
              <w:rPr>
                <w:b/>
                <w:bCs/>
                <w:color w:val="000000"/>
              </w:rPr>
            </w:pPr>
          </w:p>
        </w:tc>
        <w:tc>
          <w:tcPr>
            <w:tcW w:w="887" w:type="pct"/>
            <w:vMerge/>
            <w:shd w:val="clear" w:color="auto" w:fill="C2D69B" w:themeFill="accent3" w:themeFillTint="99"/>
            <w:vAlign w:val="center"/>
            <w:hideMark/>
          </w:tcPr>
          <w:p w:rsidR="000918E6" w:rsidRPr="000918E6" w:rsidRDefault="000918E6" w:rsidP="000918E6">
            <w:pPr>
              <w:rPr>
                <w:b/>
                <w:bCs/>
                <w:color w:val="000000"/>
              </w:rPr>
            </w:pPr>
          </w:p>
        </w:tc>
        <w:tc>
          <w:tcPr>
            <w:tcW w:w="984" w:type="pct"/>
            <w:vMerge/>
            <w:shd w:val="clear" w:color="auto" w:fill="C2D69B" w:themeFill="accent3" w:themeFillTint="99"/>
            <w:vAlign w:val="center"/>
            <w:hideMark/>
          </w:tcPr>
          <w:p w:rsidR="000918E6" w:rsidRPr="000918E6" w:rsidRDefault="000918E6" w:rsidP="000918E6">
            <w:pPr>
              <w:rPr>
                <w:b/>
                <w:bCs/>
                <w:color w:val="000000"/>
              </w:rPr>
            </w:pPr>
          </w:p>
        </w:tc>
        <w:tc>
          <w:tcPr>
            <w:tcW w:w="415" w:type="pct"/>
            <w:shd w:val="clear" w:color="auto" w:fill="C2D69B" w:themeFill="accent3" w:themeFillTint="99"/>
            <w:vAlign w:val="center"/>
            <w:hideMark/>
          </w:tcPr>
          <w:p w:rsidR="000918E6" w:rsidRPr="000918E6" w:rsidRDefault="000918E6" w:rsidP="00AC1399">
            <w:pPr>
              <w:jc w:val="center"/>
              <w:rPr>
                <w:b/>
                <w:bCs/>
                <w:color w:val="000000"/>
              </w:rPr>
            </w:pPr>
            <w:r w:rsidRPr="000918E6">
              <w:rPr>
                <w:b/>
                <w:bCs/>
                <w:color w:val="000000"/>
              </w:rPr>
              <w:t>a</w:t>
            </w:r>
          </w:p>
        </w:tc>
        <w:tc>
          <w:tcPr>
            <w:tcW w:w="347" w:type="pct"/>
            <w:shd w:val="clear" w:color="auto" w:fill="C2D69B" w:themeFill="accent3" w:themeFillTint="99"/>
            <w:noWrap/>
            <w:vAlign w:val="center"/>
            <w:hideMark/>
          </w:tcPr>
          <w:p w:rsidR="000918E6" w:rsidRPr="000918E6" w:rsidRDefault="000918E6" w:rsidP="006F2B3E">
            <w:pPr>
              <w:jc w:val="center"/>
              <w:rPr>
                <w:b/>
                <w:bCs/>
                <w:color w:val="000000"/>
              </w:rPr>
            </w:pPr>
            <w:r w:rsidRPr="000918E6">
              <w:rPr>
                <w:b/>
                <w:bCs/>
                <w:color w:val="000000"/>
              </w:rPr>
              <w:t>b</w:t>
            </w:r>
            <w:r w:rsidR="006D13B2">
              <w:rPr>
                <w:b/>
                <w:bCs/>
                <w:color w:val="000000"/>
              </w:rPr>
              <w:t xml:space="preserve"> </w:t>
            </w:r>
            <w:r w:rsidRPr="000918E6">
              <w:rPr>
                <w:b/>
                <w:bCs/>
                <w:color w:val="000000"/>
              </w:rPr>
              <w:t>=</w:t>
            </w:r>
            <w:r w:rsidR="006F2B3E">
              <w:rPr>
                <w:b/>
                <w:bCs/>
                <w:color w:val="000000"/>
              </w:rPr>
              <w:t xml:space="preserve"> </w:t>
            </w:r>
            <w:r w:rsidRPr="000918E6">
              <w:rPr>
                <w:b/>
                <w:bCs/>
                <w:color w:val="000000"/>
              </w:rPr>
              <w:t>c</w:t>
            </w:r>
            <w:r w:rsidR="00BD0F4E">
              <w:rPr>
                <w:b/>
                <w:bCs/>
                <w:color w:val="000000"/>
              </w:rPr>
              <w:t xml:space="preserve"> </w:t>
            </w:r>
            <w:r w:rsidRPr="000918E6">
              <w:rPr>
                <w:b/>
                <w:bCs/>
                <w:color w:val="000000"/>
              </w:rPr>
              <w:t>+</w:t>
            </w:r>
            <w:r w:rsidR="00BD0F4E">
              <w:rPr>
                <w:b/>
                <w:bCs/>
                <w:color w:val="000000"/>
              </w:rPr>
              <w:t xml:space="preserve"> </w:t>
            </w:r>
            <w:r w:rsidRPr="000918E6">
              <w:rPr>
                <w:b/>
                <w:bCs/>
                <w:color w:val="000000"/>
              </w:rPr>
              <w:t>d</w:t>
            </w:r>
          </w:p>
        </w:tc>
        <w:tc>
          <w:tcPr>
            <w:tcW w:w="347" w:type="pct"/>
            <w:shd w:val="clear" w:color="auto" w:fill="C2D69B" w:themeFill="accent3" w:themeFillTint="99"/>
            <w:noWrap/>
            <w:vAlign w:val="center"/>
            <w:hideMark/>
          </w:tcPr>
          <w:p w:rsidR="000918E6" w:rsidRPr="000918E6" w:rsidRDefault="000918E6" w:rsidP="00AC1399">
            <w:pPr>
              <w:jc w:val="center"/>
              <w:rPr>
                <w:b/>
                <w:bCs/>
                <w:color w:val="000000"/>
              </w:rPr>
            </w:pPr>
            <w:r w:rsidRPr="000918E6">
              <w:rPr>
                <w:b/>
                <w:bCs/>
                <w:color w:val="000000"/>
              </w:rPr>
              <w:t>c</w:t>
            </w:r>
          </w:p>
        </w:tc>
        <w:tc>
          <w:tcPr>
            <w:tcW w:w="341" w:type="pct"/>
            <w:shd w:val="clear" w:color="auto" w:fill="C2D69B" w:themeFill="accent3" w:themeFillTint="99"/>
            <w:noWrap/>
            <w:vAlign w:val="center"/>
            <w:hideMark/>
          </w:tcPr>
          <w:p w:rsidR="000918E6" w:rsidRPr="000918E6" w:rsidRDefault="000918E6" w:rsidP="00AC1399">
            <w:pPr>
              <w:jc w:val="center"/>
              <w:rPr>
                <w:b/>
                <w:bCs/>
                <w:color w:val="000000"/>
              </w:rPr>
            </w:pPr>
            <w:r w:rsidRPr="000918E6">
              <w:rPr>
                <w:b/>
                <w:bCs/>
                <w:color w:val="000000"/>
              </w:rPr>
              <w:t>d</w:t>
            </w:r>
          </w:p>
        </w:tc>
        <w:tc>
          <w:tcPr>
            <w:tcW w:w="395" w:type="pct"/>
            <w:shd w:val="clear" w:color="auto" w:fill="C2D69B" w:themeFill="accent3" w:themeFillTint="99"/>
            <w:noWrap/>
            <w:vAlign w:val="center"/>
            <w:hideMark/>
          </w:tcPr>
          <w:p w:rsidR="000918E6" w:rsidRPr="000918E6" w:rsidRDefault="000918E6" w:rsidP="00AC1399">
            <w:pPr>
              <w:jc w:val="center"/>
              <w:rPr>
                <w:b/>
                <w:bCs/>
                <w:color w:val="000000"/>
              </w:rPr>
            </w:pPr>
            <w:r w:rsidRPr="000918E6">
              <w:rPr>
                <w:b/>
                <w:bCs/>
                <w:color w:val="000000"/>
              </w:rPr>
              <w:t>e</w:t>
            </w:r>
            <w:r w:rsidR="006F2B3E">
              <w:rPr>
                <w:b/>
                <w:bCs/>
                <w:color w:val="000000"/>
              </w:rPr>
              <w:t xml:space="preserve"> </w:t>
            </w:r>
            <w:r w:rsidRPr="000918E6">
              <w:rPr>
                <w:b/>
                <w:bCs/>
                <w:color w:val="000000"/>
              </w:rPr>
              <w:t>=</w:t>
            </w:r>
            <w:r w:rsidR="006F2B3E">
              <w:rPr>
                <w:b/>
                <w:bCs/>
                <w:color w:val="000000"/>
              </w:rPr>
              <w:t xml:space="preserve"> </w:t>
            </w:r>
            <w:r w:rsidRPr="000918E6">
              <w:rPr>
                <w:b/>
                <w:bCs/>
                <w:color w:val="000000"/>
              </w:rPr>
              <w:t>a</w:t>
            </w:r>
            <w:r w:rsidR="00BD0F4E">
              <w:rPr>
                <w:b/>
                <w:bCs/>
                <w:color w:val="000000"/>
              </w:rPr>
              <w:t xml:space="preserve"> </w:t>
            </w:r>
            <w:r w:rsidRPr="000918E6">
              <w:rPr>
                <w:b/>
                <w:bCs/>
                <w:color w:val="000000"/>
              </w:rPr>
              <w:t>+</w:t>
            </w:r>
            <w:r w:rsidR="00BD0F4E">
              <w:rPr>
                <w:b/>
                <w:bCs/>
                <w:color w:val="000000"/>
              </w:rPr>
              <w:t xml:space="preserve"> </w:t>
            </w:r>
            <w:r w:rsidRPr="000918E6">
              <w:rPr>
                <w:b/>
                <w:bCs/>
                <w:color w:val="000000"/>
              </w:rPr>
              <w:t>b</w:t>
            </w:r>
          </w:p>
        </w:tc>
        <w:tc>
          <w:tcPr>
            <w:tcW w:w="423" w:type="pct"/>
            <w:shd w:val="clear" w:color="auto" w:fill="C2D69B" w:themeFill="accent3" w:themeFillTint="99"/>
            <w:vAlign w:val="center"/>
            <w:hideMark/>
          </w:tcPr>
          <w:p w:rsidR="000918E6" w:rsidRPr="000918E6" w:rsidRDefault="000918E6" w:rsidP="00AC1399">
            <w:pPr>
              <w:jc w:val="center"/>
              <w:rPr>
                <w:b/>
                <w:bCs/>
                <w:color w:val="000000"/>
              </w:rPr>
            </w:pPr>
            <w:r w:rsidRPr="000918E6">
              <w:rPr>
                <w:b/>
                <w:bCs/>
                <w:color w:val="000000"/>
              </w:rPr>
              <w:t>f</w:t>
            </w:r>
            <w:r w:rsidR="006F2B3E">
              <w:rPr>
                <w:b/>
                <w:bCs/>
                <w:color w:val="000000"/>
              </w:rPr>
              <w:t xml:space="preserve"> </w:t>
            </w:r>
            <w:r w:rsidRPr="000918E6">
              <w:rPr>
                <w:b/>
                <w:bCs/>
                <w:color w:val="000000"/>
              </w:rPr>
              <w:t>=</w:t>
            </w:r>
            <w:r w:rsidR="006F2B3E">
              <w:rPr>
                <w:b/>
                <w:bCs/>
                <w:color w:val="000000"/>
              </w:rPr>
              <w:t xml:space="preserve"> </w:t>
            </w:r>
            <w:r w:rsidRPr="000918E6">
              <w:rPr>
                <w:b/>
                <w:bCs/>
                <w:color w:val="000000"/>
              </w:rPr>
              <w:t>a/e</w:t>
            </w:r>
          </w:p>
        </w:tc>
        <w:tc>
          <w:tcPr>
            <w:tcW w:w="168" w:type="pct"/>
            <w:shd w:val="clear" w:color="auto" w:fill="C2D69B" w:themeFill="accent3" w:themeFillTint="99"/>
            <w:noWrap/>
            <w:vAlign w:val="center"/>
            <w:hideMark/>
          </w:tcPr>
          <w:p w:rsidR="000918E6" w:rsidRPr="000918E6" w:rsidRDefault="000918E6" w:rsidP="00AC1399">
            <w:pPr>
              <w:jc w:val="center"/>
              <w:rPr>
                <w:b/>
                <w:bCs/>
                <w:color w:val="000000"/>
              </w:rPr>
            </w:pPr>
            <w:r w:rsidRPr="000918E6">
              <w:rPr>
                <w:b/>
                <w:bCs/>
                <w:color w:val="000000"/>
              </w:rPr>
              <w:t>EIB</w:t>
            </w:r>
          </w:p>
        </w:tc>
        <w:tc>
          <w:tcPr>
            <w:tcW w:w="360" w:type="pct"/>
            <w:shd w:val="clear" w:color="auto" w:fill="C2D69B" w:themeFill="accent3" w:themeFillTint="99"/>
            <w:noWrap/>
            <w:vAlign w:val="center"/>
            <w:hideMark/>
          </w:tcPr>
          <w:p w:rsidR="000918E6" w:rsidRPr="000918E6" w:rsidRDefault="000918E6" w:rsidP="00AC1399">
            <w:pPr>
              <w:jc w:val="center"/>
              <w:rPr>
                <w:b/>
                <w:bCs/>
                <w:color w:val="000000"/>
              </w:rPr>
            </w:pPr>
            <w:r w:rsidRPr="000918E6">
              <w:rPr>
                <w:b/>
                <w:bCs/>
                <w:color w:val="000000"/>
              </w:rPr>
              <w:t>Jiné zdroje</w:t>
            </w:r>
          </w:p>
        </w:tc>
      </w:tr>
      <w:tr w:rsidR="00DD3D4C" w:rsidRPr="000918E6" w:rsidTr="00AE7F0B">
        <w:trPr>
          <w:trHeight w:val="495"/>
        </w:trPr>
        <w:tc>
          <w:tcPr>
            <w:tcW w:w="333" w:type="pct"/>
            <w:shd w:val="clear" w:color="auto" w:fill="auto"/>
            <w:noWrap/>
            <w:vAlign w:val="center"/>
            <w:hideMark/>
          </w:tcPr>
          <w:p w:rsidR="000918E6" w:rsidRPr="000918E6" w:rsidRDefault="000918E6" w:rsidP="006F2B3E">
            <w:pPr>
              <w:rPr>
                <w:color w:val="000000"/>
                <w:sz w:val="18"/>
                <w:szCs w:val="18"/>
              </w:rPr>
            </w:pPr>
            <w:r w:rsidRPr="000918E6">
              <w:rPr>
                <w:color w:val="000000"/>
                <w:sz w:val="18"/>
                <w:szCs w:val="18"/>
              </w:rPr>
              <w:t>1a</w:t>
            </w:r>
          </w:p>
        </w:tc>
        <w:tc>
          <w:tcPr>
            <w:tcW w:w="887"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Modernizace veřejné správy – Cíl Konvergence</w:t>
            </w:r>
          </w:p>
        </w:tc>
        <w:tc>
          <w:tcPr>
            <w:tcW w:w="984"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ERDF/celkové způsobilé výdaje</w:t>
            </w:r>
            <w:r w:rsidRPr="000918E6">
              <w:rPr>
                <w:color w:val="000000"/>
                <w:sz w:val="18"/>
                <w:szCs w:val="18"/>
              </w:rPr>
              <w:br/>
              <w:t>Cíl Konvergence</w:t>
            </w:r>
          </w:p>
        </w:tc>
        <w:tc>
          <w:tcPr>
            <w:tcW w:w="41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290 942 083</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51 342 721</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51 342 721</w:t>
            </w:r>
          </w:p>
        </w:tc>
        <w:tc>
          <w:tcPr>
            <w:tcW w:w="341" w:type="pct"/>
            <w:vMerge w:val="restar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 </w:t>
            </w:r>
          </w:p>
        </w:tc>
        <w:tc>
          <w:tcPr>
            <w:tcW w:w="39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342 284 804</w:t>
            </w:r>
          </w:p>
        </w:tc>
        <w:tc>
          <w:tcPr>
            <w:tcW w:w="423"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85%</w:t>
            </w:r>
          </w:p>
        </w:tc>
        <w:tc>
          <w:tcPr>
            <w:tcW w:w="168" w:type="pct"/>
            <w:vMerge w:val="restar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c>
          <w:tcPr>
            <w:tcW w:w="360" w:type="pct"/>
            <w:vMerge w:val="restar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r>
      <w:tr w:rsidR="00DD3D4C" w:rsidRPr="000918E6" w:rsidTr="00AE7F0B">
        <w:trPr>
          <w:trHeight w:val="975"/>
        </w:trPr>
        <w:tc>
          <w:tcPr>
            <w:tcW w:w="333" w:type="pct"/>
            <w:shd w:val="clear" w:color="auto" w:fill="auto"/>
            <w:noWrap/>
            <w:vAlign w:val="center"/>
            <w:hideMark/>
          </w:tcPr>
          <w:p w:rsidR="000918E6" w:rsidRPr="00450694" w:rsidRDefault="000918E6" w:rsidP="006F2B3E">
            <w:pPr>
              <w:rPr>
                <w:color w:val="C00000"/>
                <w:sz w:val="18"/>
                <w:szCs w:val="18"/>
              </w:rPr>
            </w:pPr>
            <w:r w:rsidRPr="00450694">
              <w:rPr>
                <w:color w:val="C00000"/>
                <w:sz w:val="18"/>
                <w:szCs w:val="18"/>
              </w:rPr>
              <w:t>1b</w:t>
            </w:r>
          </w:p>
        </w:tc>
        <w:tc>
          <w:tcPr>
            <w:tcW w:w="887" w:type="pct"/>
            <w:shd w:val="clear" w:color="auto" w:fill="auto"/>
            <w:vAlign w:val="center"/>
            <w:hideMark/>
          </w:tcPr>
          <w:p w:rsidR="000918E6" w:rsidRPr="00450694" w:rsidRDefault="000918E6" w:rsidP="006F2B3E">
            <w:pPr>
              <w:rPr>
                <w:color w:val="C00000"/>
                <w:sz w:val="18"/>
                <w:szCs w:val="18"/>
              </w:rPr>
            </w:pPr>
            <w:r w:rsidRPr="00450694">
              <w:rPr>
                <w:color w:val="C00000"/>
                <w:sz w:val="18"/>
                <w:szCs w:val="18"/>
              </w:rPr>
              <w:t xml:space="preserve">Modernizace veřejné správy – Cíl Regionální konkurenceschopnost </w:t>
            </w:r>
            <w:r w:rsidRPr="00450694">
              <w:rPr>
                <w:color w:val="C00000"/>
                <w:sz w:val="18"/>
                <w:szCs w:val="18"/>
              </w:rPr>
              <w:br/>
              <w:t>a zaměstnanost</w:t>
            </w:r>
          </w:p>
        </w:tc>
        <w:tc>
          <w:tcPr>
            <w:tcW w:w="984" w:type="pct"/>
            <w:shd w:val="clear" w:color="auto" w:fill="auto"/>
            <w:vAlign w:val="center"/>
            <w:hideMark/>
          </w:tcPr>
          <w:p w:rsidR="000918E6" w:rsidRPr="00450694" w:rsidRDefault="000918E6" w:rsidP="006F2B3E">
            <w:pPr>
              <w:rPr>
                <w:color w:val="C00000"/>
                <w:sz w:val="18"/>
                <w:szCs w:val="18"/>
              </w:rPr>
            </w:pPr>
            <w:r w:rsidRPr="00450694">
              <w:rPr>
                <w:color w:val="C00000"/>
                <w:sz w:val="18"/>
                <w:szCs w:val="18"/>
              </w:rPr>
              <w:t>ERDF/veřejné</w:t>
            </w:r>
            <w:r w:rsidRPr="00450694">
              <w:rPr>
                <w:color w:val="C00000"/>
                <w:sz w:val="18"/>
                <w:szCs w:val="18"/>
              </w:rPr>
              <w:br/>
              <w:t xml:space="preserve">Cíl </w:t>
            </w:r>
            <w:proofErr w:type="spellStart"/>
            <w:r w:rsidRPr="00450694">
              <w:rPr>
                <w:color w:val="C00000"/>
                <w:sz w:val="18"/>
                <w:szCs w:val="18"/>
              </w:rPr>
              <w:t>RKaZ</w:t>
            </w:r>
            <w:proofErr w:type="spellEnd"/>
          </w:p>
        </w:tc>
        <w:tc>
          <w:tcPr>
            <w:tcW w:w="415"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22 380 161</w:t>
            </w:r>
          </w:p>
        </w:tc>
        <w:tc>
          <w:tcPr>
            <w:tcW w:w="347"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3 949 441</w:t>
            </w:r>
          </w:p>
        </w:tc>
        <w:tc>
          <w:tcPr>
            <w:tcW w:w="347"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3 949 441</w:t>
            </w:r>
          </w:p>
        </w:tc>
        <w:tc>
          <w:tcPr>
            <w:tcW w:w="341" w:type="pct"/>
            <w:vMerge/>
            <w:vAlign w:val="center"/>
            <w:hideMark/>
          </w:tcPr>
          <w:p w:rsidR="000918E6" w:rsidRPr="00450694" w:rsidRDefault="000918E6" w:rsidP="00CA445B">
            <w:pPr>
              <w:jc w:val="right"/>
              <w:rPr>
                <w:color w:val="C00000"/>
                <w:sz w:val="18"/>
                <w:szCs w:val="18"/>
              </w:rPr>
            </w:pPr>
          </w:p>
        </w:tc>
        <w:tc>
          <w:tcPr>
            <w:tcW w:w="395"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26 329 602</w:t>
            </w:r>
          </w:p>
        </w:tc>
        <w:tc>
          <w:tcPr>
            <w:tcW w:w="423" w:type="pct"/>
            <w:shd w:val="clear" w:color="auto" w:fill="auto"/>
            <w:noWrap/>
            <w:vAlign w:val="center"/>
            <w:hideMark/>
          </w:tcPr>
          <w:p w:rsidR="000918E6" w:rsidRPr="00450694" w:rsidRDefault="000918E6" w:rsidP="00467E9B">
            <w:pPr>
              <w:jc w:val="right"/>
              <w:rPr>
                <w:color w:val="C00000"/>
                <w:sz w:val="18"/>
                <w:szCs w:val="18"/>
              </w:rPr>
            </w:pPr>
            <w:r w:rsidRPr="00450694">
              <w:rPr>
                <w:color w:val="C00000"/>
                <w:sz w:val="18"/>
                <w:szCs w:val="18"/>
              </w:rPr>
              <w:t>85%</w:t>
            </w:r>
          </w:p>
        </w:tc>
        <w:tc>
          <w:tcPr>
            <w:tcW w:w="168" w:type="pct"/>
            <w:vMerge/>
            <w:vAlign w:val="center"/>
            <w:hideMark/>
          </w:tcPr>
          <w:p w:rsidR="000918E6" w:rsidRPr="000918E6" w:rsidRDefault="000918E6" w:rsidP="000918E6">
            <w:pPr>
              <w:rPr>
                <w:color w:val="000000"/>
                <w:sz w:val="18"/>
                <w:szCs w:val="18"/>
              </w:rPr>
            </w:pPr>
          </w:p>
        </w:tc>
        <w:tc>
          <w:tcPr>
            <w:tcW w:w="360" w:type="pct"/>
            <w:vMerge/>
            <w:vAlign w:val="center"/>
            <w:hideMark/>
          </w:tcPr>
          <w:p w:rsidR="000918E6" w:rsidRPr="000918E6" w:rsidRDefault="000918E6" w:rsidP="000918E6">
            <w:pPr>
              <w:rPr>
                <w:color w:val="000000"/>
                <w:sz w:val="18"/>
                <w:szCs w:val="18"/>
              </w:rPr>
            </w:pPr>
          </w:p>
        </w:tc>
      </w:tr>
      <w:tr w:rsidR="00DD3D4C" w:rsidRPr="000918E6" w:rsidTr="006F2B3E">
        <w:trPr>
          <w:trHeight w:val="840"/>
        </w:trPr>
        <w:tc>
          <w:tcPr>
            <w:tcW w:w="333" w:type="pct"/>
            <w:shd w:val="clear" w:color="auto" w:fill="auto"/>
            <w:noWrap/>
            <w:vAlign w:val="center"/>
            <w:hideMark/>
          </w:tcPr>
          <w:p w:rsidR="000918E6" w:rsidRPr="000918E6" w:rsidRDefault="000918E6" w:rsidP="006F2B3E">
            <w:pPr>
              <w:rPr>
                <w:color w:val="000000"/>
                <w:sz w:val="18"/>
                <w:szCs w:val="18"/>
              </w:rPr>
            </w:pPr>
            <w:r w:rsidRPr="000918E6">
              <w:rPr>
                <w:color w:val="000000"/>
                <w:sz w:val="18"/>
                <w:szCs w:val="18"/>
              </w:rPr>
              <w:t>2</w:t>
            </w:r>
          </w:p>
        </w:tc>
        <w:tc>
          <w:tcPr>
            <w:tcW w:w="887"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Zavádění  ICT v územní veřejné správě – Cíl Konverg</w:t>
            </w:r>
            <w:r w:rsidR="006F19BC">
              <w:rPr>
                <w:color w:val="000000"/>
                <w:sz w:val="18"/>
                <w:szCs w:val="18"/>
              </w:rPr>
              <w:t>e</w:t>
            </w:r>
            <w:r w:rsidRPr="000918E6">
              <w:rPr>
                <w:color w:val="000000"/>
                <w:sz w:val="18"/>
                <w:szCs w:val="18"/>
              </w:rPr>
              <w:t>nce</w:t>
            </w:r>
          </w:p>
        </w:tc>
        <w:tc>
          <w:tcPr>
            <w:tcW w:w="984"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ERDF/celkové způsobilé výdaje</w:t>
            </w:r>
            <w:r w:rsidRPr="000918E6">
              <w:rPr>
                <w:color w:val="000000"/>
                <w:sz w:val="18"/>
                <w:szCs w:val="18"/>
              </w:rPr>
              <w:br/>
              <w:t>Cíl Konvergence</w:t>
            </w:r>
          </w:p>
        </w:tc>
        <w:tc>
          <w:tcPr>
            <w:tcW w:w="41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148 510 867</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26 207 801</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26 207 801</w:t>
            </w:r>
          </w:p>
        </w:tc>
        <w:tc>
          <w:tcPr>
            <w:tcW w:w="341"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 </w:t>
            </w:r>
          </w:p>
        </w:tc>
        <w:tc>
          <w:tcPr>
            <w:tcW w:w="39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174 718 668</w:t>
            </w:r>
          </w:p>
        </w:tc>
        <w:tc>
          <w:tcPr>
            <w:tcW w:w="423"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85%</w:t>
            </w:r>
          </w:p>
        </w:tc>
        <w:tc>
          <w:tcPr>
            <w:tcW w:w="168" w:type="pc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c>
          <w:tcPr>
            <w:tcW w:w="360" w:type="pc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r>
      <w:tr w:rsidR="00DD3D4C" w:rsidRPr="000918E6" w:rsidTr="006F2B3E">
        <w:trPr>
          <w:trHeight w:val="996"/>
        </w:trPr>
        <w:tc>
          <w:tcPr>
            <w:tcW w:w="333" w:type="pct"/>
            <w:shd w:val="clear" w:color="auto" w:fill="auto"/>
            <w:noWrap/>
            <w:vAlign w:val="center"/>
            <w:hideMark/>
          </w:tcPr>
          <w:p w:rsidR="000918E6" w:rsidRPr="000918E6" w:rsidRDefault="000918E6" w:rsidP="006F2B3E">
            <w:pPr>
              <w:rPr>
                <w:color w:val="000000"/>
                <w:sz w:val="18"/>
                <w:szCs w:val="18"/>
              </w:rPr>
            </w:pPr>
            <w:r w:rsidRPr="000918E6">
              <w:rPr>
                <w:color w:val="000000"/>
                <w:sz w:val="18"/>
                <w:szCs w:val="18"/>
              </w:rPr>
              <w:t>3</w:t>
            </w:r>
          </w:p>
        </w:tc>
        <w:tc>
          <w:tcPr>
            <w:tcW w:w="887"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Zvýšení kvality a dostupnosti veřejných služeb – Cíl Konvergence</w:t>
            </w:r>
          </w:p>
        </w:tc>
        <w:tc>
          <w:tcPr>
            <w:tcW w:w="984"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ERDF/celkové způsobilé výdaje</w:t>
            </w:r>
            <w:r w:rsidRPr="000918E6">
              <w:rPr>
                <w:color w:val="000000"/>
                <w:sz w:val="18"/>
                <w:szCs w:val="18"/>
              </w:rPr>
              <w:br/>
              <w:t>Cíl Konvergence</w:t>
            </w:r>
          </w:p>
        </w:tc>
        <w:tc>
          <w:tcPr>
            <w:tcW w:w="41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614 618 060</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108 462 012</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105 334 619</w:t>
            </w:r>
          </w:p>
        </w:tc>
        <w:tc>
          <w:tcPr>
            <w:tcW w:w="341"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3 127 393</w:t>
            </w:r>
          </w:p>
        </w:tc>
        <w:tc>
          <w:tcPr>
            <w:tcW w:w="39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723 080 072</w:t>
            </w:r>
          </w:p>
        </w:tc>
        <w:tc>
          <w:tcPr>
            <w:tcW w:w="423"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85%</w:t>
            </w:r>
          </w:p>
        </w:tc>
        <w:tc>
          <w:tcPr>
            <w:tcW w:w="168" w:type="pc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c>
          <w:tcPr>
            <w:tcW w:w="360" w:type="pc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r>
      <w:tr w:rsidR="00DD3D4C" w:rsidRPr="000918E6" w:rsidTr="00AE7F0B">
        <w:trPr>
          <w:trHeight w:val="495"/>
        </w:trPr>
        <w:tc>
          <w:tcPr>
            <w:tcW w:w="333" w:type="pct"/>
            <w:shd w:val="clear" w:color="auto" w:fill="auto"/>
            <w:noWrap/>
            <w:vAlign w:val="center"/>
            <w:hideMark/>
          </w:tcPr>
          <w:p w:rsidR="000918E6" w:rsidRPr="000918E6" w:rsidRDefault="000918E6" w:rsidP="006F2B3E">
            <w:pPr>
              <w:rPr>
                <w:color w:val="000000"/>
                <w:sz w:val="18"/>
                <w:szCs w:val="18"/>
              </w:rPr>
            </w:pPr>
            <w:r w:rsidRPr="000918E6">
              <w:rPr>
                <w:color w:val="000000"/>
                <w:sz w:val="18"/>
                <w:szCs w:val="18"/>
              </w:rPr>
              <w:t>4a</w:t>
            </w:r>
          </w:p>
        </w:tc>
        <w:tc>
          <w:tcPr>
            <w:tcW w:w="887"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 xml:space="preserve">Národní </w:t>
            </w:r>
            <w:r w:rsidR="00D16F4D" w:rsidRPr="000918E6">
              <w:rPr>
                <w:color w:val="000000"/>
                <w:sz w:val="18"/>
                <w:szCs w:val="18"/>
              </w:rPr>
              <w:t>podpora CR</w:t>
            </w:r>
            <w:r w:rsidRPr="000918E6">
              <w:rPr>
                <w:color w:val="000000"/>
                <w:sz w:val="18"/>
                <w:szCs w:val="18"/>
              </w:rPr>
              <w:t xml:space="preserve"> – Cíl Konvergence</w:t>
            </w:r>
          </w:p>
        </w:tc>
        <w:tc>
          <w:tcPr>
            <w:tcW w:w="984"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ERDF/celkové způsobilé výdaje</w:t>
            </w:r>
            <w:r w:rsidRPr="000918E6">
              <w:rPr>
                <w:color w:val="000000"/>
                <w:sz w:val="18"/>
                <w:szCs w:val="18"/>
              </w:rPr>
              <w:br/>
              <w:t>Cíl Konvergence</w:t>
            </w:r>
          </w:p>
        </w:tc>
        <w:tc>
          <w:tcPr>
            <w:tcW w:w="41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60 567 416</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10 688 368</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10 014 023</w:t>
            </w:r>
          </w:p>
        </w:tc>
        <w:tc>
          <w:tcPr>
            <w:tcW w:w="341"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674 345</w:t>
            </w:r>
          </w:p>
        </w:tc>
        <w:tc>
          <w:tcPr>
            <w:tcW w:w="39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71 255 784</w:t>
            </w:r>
          </w:p>
        </w:tc>
        <w:tc>
          <w:tcPr>
            <w:tcW w:w="423"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85%</w:t>
            </w:r>
          </w:p>
        </w:tc>
        <w:tc>
          <w:tcPr>
            <w:tcW w:w="168" w:type="pct"/>
            <w:vMerge w:val="restar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c>
          <w:tcPr>
            <w:tcW w:w="360" w:type="pct"/>
            <w:vMerge w:val="restar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r>
      <w:tr w:rsidR="00DD3D4C" w:rsidRPr="000918E6" w:rsidTr="00AE7F0B">
        <w:trPr>
          <w:trHeight w:val="735"/>
        </w:trPr>
        <w:tc>
          <w:tcPr>
            <w:tcW w:w="333" w:type="pct"/>
            <w:shd w:val="clear" w:color="auto" w:fill="auto"/>
            <w:noWrap/>
            <w:vAlign w:val="center"/>
            <w:hideMark/>
          </w:tcPr>
          <w:p w:rsidR="000918E6" w:rsidRPr="00450694" w:rsidRDefault="000918E6" w:rsidP="006F2B3E">
            <w:pPr>
              <w:rPr>
                <w:color w:val="C00000"/>
                <w:sz w:val="18"/>
                <w:szCs w:val="18"/>
              </w:rPr>
            </w:pPr>
            <w:r w:rsidRPr="00450694">
              <w:rPr>
                <w:color w:val="C00000"/>
                <w:sz w:val="18"/>
                <w:szCs w:val="18"/>
              </w:rPr>
              <w:t>4 b</w:t>
            </w:r>
          </w:p>
        </w:tc>
        <w:tc>
          <w:tcPr>
            <w:tcW w:w="887" w:type="pct"/>
            <w:shd w:val="clear" w:color="auto" w:fill="auto"/>
            <w:vAlign w:val="center"/>
            <w:hideMark/>
          </w:tcPr>
          <w:p w:rsidR="000918E6" w:rsidRPr="00450694" w:rsidRDefault="000918E6" w:rsidP="006F2B3E">
            <w:pPr>
              <w:rPr>
                <w:color w:val="C00000"/>
                <w:sz w:val="18"/>
                <w:szCs w:val="18"/>
              </w:rPr>
            </w:pPr>
            <w:r w:rsidRPr="00450694">
              <w:rPr>
                <w:color w:val="C00000"/>
                <w:sz w:val="18"/>
                <w:szCs w:val="18"/>
              </w:rPr>
              <w:t xml:space="preserve">Národní podpora CR – Cíl Regionální konkurenceschopnost </w:t>
            </w:r>
            <w:r w:rsidR="006F19BC">
              <w:rPr>
                <w:color w:val="C00000"/>
                <w:sz w:val="18"/>
                <w:szCs w:val="18"/>
              </w:rPr>
              <w:br/>
            </w:r>
            <w:r w:rsidRPr="00450694">
              <w:rPr>
                <w:color w:val="C00000"/>
                <w:sz w:val="18"/>
                <w:szCs w:val="18"/>
              </w:rPr>
              <w:t>a zaměstnanost</w:t>
            </w:r>
          </w:p>
        </w:tc>
        <w:tc>
          <w:tcPr>
            <w:tcW w:w="984" w:type="pct"/>
            <w:shd w:val="clear" w:color="auto" w:fill="auto"/>
            <w:vAlign w:val="center"/>
            <w:hideMark/>
          </w:tcPr>
          <w:p w:rsidR="000918E6" w:rsidRPr="00450694" w:rsidRDefault="000918E6" w:rsidP="006F2B3E">
            <w:pPr>
              <w:rPr>
                <w:color w:val="C00000"/>
                <w:sz w:val="18"/>
                <w:szCs w:val="18"/>
              </w:rPr>
            </w:pPr>
            <w:r w:rsidRPr="00450694">
              <w:rPr>
                <w:color w:val="C00000"/>
                <w:sz w:val="18"/>
                <w:szCs w:val="18"/>
              </w:rPr>
              <w:t>ERDF/veřejné</w:t>
            </w:r>
            <w:r w:rsidRPr="00450694">
              <w:rPr>
                <w:color w:val="C00000"/>
                <w:sz w:val="18"/>
                <w:szCs w:val="18"/>
              </w:rPr>
              <w:br/>
              <w:t xml:space="preserve">Cíl </w:t>
            </w:r>
            <w:proofErr w:type="spellStart"/>
            <w:r w:rsidRPr="00450694">
              <w:rPr>
                <w:color w:val="C00000"/>
                <w:sz w:val="18"/>
                <w:szCs w:val="18"/>
              </w:rPr>
              <w:t>RKaZ</w:t>
            </w:r>
            <w:proofErr w:type="spellEnd"/>
          </w:p>
        </w:tc>
        <w:tc>
          <w:tcPr>
            <w:tcW w:w="415"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3 100 775</w:t>
            </w:r>
          </w:p>
        </w:tc>
        <w:tc>
          <w:tcPr>
            <w:tcW w:w="347"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547 196</w:t>
            </w:r>
          </w:p>
        </w:tc>
        <w:tc>
          <w:tcPr>
            <w:tcW w:w="347"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512 672</w:t>
            </w:r>
          </w:p>
        </w:tc>
        <w:tc>
          <w:tcPr>
            <w:tcW w:w="341"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34 524</w:t>
            </w:r>
          </w:p>
        </w:tc>
        <w:tc>
          <w:tcPr>
            <w:tcW w:w="395"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3 647 971</w:t>
            </w:r>
          </w:p>
        </w:tc>
        <w:tc>
          <w:tcPr>
            <w:tcW w:w="423"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85%</w:t>
            </w:r>
          </w:p>
        </w:tc>
        <w:tc>
          <w:tcPr>
            <w:tcW w:w="168" w:type="pct"/>
            <w:vMerge/>
            <w:vAlign w:val="center"/>
            <w:hideMark/>
          </w:tcPr>
          <w:p w:rsidR="000918E6" w:rsidRPr="000918E6" w:rsidRDefault="000918E6" w:rsidP="000918E6">
            <w:pPr>
              <w:rPr>
                <w:color w:val="000000"/>
                <w:sz w:val="18"/>
                <w:szCs w:val="18"/>
              </w:rPr>
            </w:pPr>
          </w:p>
        </w:tc>
        <w:tc>
          <w:tcPr>
            <w:tcW w:w="360" w:type="pct"/>
            <w:vMerge/>
            <w:vAlign w:val="center"/>
            <w:hideMark/>
          </w:tcPr>
          <w:p w:rsidR="000918E6" w:rsidRPr="000918E6" w:rsidRDefault="000918E6" w:rsidP="000918E6">
            <w:pPr>
              <w:rPr>
                <w:color w:val="000000"/>
                <w:sz w:val="18"/>
                <w:szCs w:val="18"/>
              </w:rPr>
            </w:pPr>
          </w:p>
        </w:tc>
      </w:tr>
      <w:tr w:rsidR="00DD3D4C" w:rsidRPr="000918E6" w:rsidTr="006F2B3E">
        <w:trPr>
          <w:trHeight w:val="916"/>
        </w:trPr>
        <w:tc>
          <w:tcPr>
            <w:tcW w:w="333" w:type="pct"/>
            <w:shd w:val="clear" w:color="auto" w:fill="auto"/>
            <w:noWrap/>
            <w:vAlign w:val="center"/>
            <w:hideMark/>
          </w:tcPr>
          <w:p w:rsidR="000918E6" w:rsidRPr="000918E6" w:rsidRDefault="000918E6" w:rsidP="006F2B3E">
            <w:pPr>
              <w:rPr>
                <w:color w:val="000000"/>
                <w:sz w:val="18"/>
                <w:szCs w:val="18"/>
              </w:rPr>
            </w:pPr>
            <w:r w:rsidRPr="000918E6">
              <w:rPr>
                <w:color w:val="000000"/>
                <w:sz w:val="18"/>
                <w:szCs w:val="18"/>
              </w:rPr>
              <w:t>5</w:t>
            </w:r>
          </w:p>
        </w:tc>
        <w:tc>
          <w:tcPr>
            <w:tcW w:w="887"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Národní podpora územního rozvoje – Cíl Konvergence</w:t>
            </w:r>
          </w:p>
        </w:tc>
        <w:tc>
          <w:tcPr>
            <w:tcW w:w="984" w:type="pct"/>
            <w:shd w:val="clear" w:color="auto" w:fill="auto"/>
            <w:vAlign w:val="center"/>
            <w:hideMark/>
          </w:tcPr>
          <w:p w:rsidR="000918E6" w:rsidRPr="000918E6" w:rsidRDefault="000918E6" w:rsidP="006F2B3E">
            <w:pPr>
              <w:rPr>
                <w:color w:val="000000"/>
                <w:sz w:val="18"/>
                <w:szCs w:val="18"/>
              </w:rPr>
            </w:pPr>
            <w:r w:rsidRPr="000918E6">
              <w:rPr>
                <w:color w:val="000000"/>
                <w:sz w:val="18"/>
                <w:szCs w:val="18"/>
              </w:rPr>
              <w:t>ERDF/celkové způsobilé výdaje</w:t>
            </w:r>
            <w:r w:rsidRPr="000918E6">
              <w:rPr>
                <w:color w:val="000000"/>
                <w:sz w:val="18"/>
                <w:szCs w:val="18"/>
              </w:rPr>
              <w:br/>
              <w:t>Cíl Konvergence</w:t>
            </w:r>
          </w:p>
        </w:tc>
        <w:tc>
          <w:tcPr>
            <w:tcW w:w="41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442 643 474</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78 113 556</w:t>
            </w:r>
          </w:p>
        </w:tc>
        <w:tc>
          <w:tcPr>
            <w:tcW w:w="347"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48 946 987</w:t>
            </w:r>
          </w:p>
        </w:tc>
        <w:tc>
          <w:tcPr>
            <w:tcW w:w="341"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29 166 569</w:t>
            </w:r>
          </w:p>
        </w:tc>
        <w:tc>
          <w:tcPr>
            <w:tcW w:w="395"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520 757 030</w:t>
            </w:r>
          </w:p>
        </w:tc>
        <w:tc>
          <w:tcPr>
            <w:tcW w:w="423" w:type="pc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85%</w:t>
            </w:r>
          </w:p>
        </w:tc>
        <w:tc>
          <w:tcPr>
            <w:tcW w:w="168" w:type="pc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c>
          <w:tcPr>
            <w:tcW w:w="360" w:type="pc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 </w:t>
            </w:r>
          </w:p>
        </w:tc>
      </w:tr>
      <w:tr w:rsidR="00DD3D4C" w:rsidRPr="000918E6" w:rsidTr="00AE7F0B">
        <w:trPr>
          <w:trHeight w:val="495"/>
        </w:trPr>
        <w:tc>
          <w:tcPr>
            <w:tcW w:w="333" w:type="pct"/>
            <w:shd w:val="clear" w:color="auto" w:fill="auto"/>
            <w:noWrap/>
            <w:vAlign w:val="center"/>
            <w:hideMark/>
          </w:tcPr>
          <w:p w:rsidR="000918E6" w:rsidRPr="000918E6" w:rsidRDefault="000918E6" w:rsidP="000918E6">
            <w:pPr>
              <w:rPr>
                <w:color w:val="000000"/>
                <w:sz w:val="18"/>
                <w:szCs w:val="18"/>
              </w:rPr>
            </w:pPr>
            <w:r w:rsidRPr="000918E6">
              <w:rPr>
                <w:color w:val="000000"/>
                <w:sz w:val="18"/>
                <w:szCs w:val="18"/>
              </w:rPr>
              <w:t>6a</w:t>
            </w:r>
          </w:p>
        </w:tc>
        <w:tc>
          <w:tcPr>
            <w:tcW w:w="887" w:type="pct"/>
            <w:shd w:val="clear" w:color="auto" w:fill="auto"/>
            <w:vAlign w:val="center"/>
            <w:hideMark/>
          </w:tcPr>
          <w:p w:rsidR="000918E6" w:rsidRPr="000918E6" w:rsidRDefault="000918E6" w:rsidP="000918E6">
            <w:pPr>
              <w:rPr>
                <w:color w:val="000000"/>
                <w:sz w:val="18"/>
                <w:szCs w:val="18"/>
              </w:rPr>
            </w:pPr>
            <w:r w:rsidRPr="000918E6">
              <w:rPr>
                <w:color w:val="000000"/>
                <w:sz w:val="18"/>
                <w:szCs w:val="18"/>
              </w:rPr>
              <w:t>Technická pomoc – Cíl Konvergence</w:t>
            </w:r>
          </w:p>
        </w:tc>
        <w:tc>
          <w:tcPr>
            <w:tcW w:w="984" w:type="pct"/>
            <w:shd w:val="clear" w:color="auto" w:fill="auto"/>
            <w:vAlign w:val="center"/>
            <w:hideMark/>
          </w:tcPr>
          <w:p w:rsidR="000918E6" w:rsidRPr="000918E6" w:rsidRDefault="000918E6" w:rsidP="000918E6">
            <w:pPr>
              <w:rPr>
                <w:color w:val="000000"/>
                <w:sz w:val="18"/>
                <w:szCs w:val="18"/>
              </w:rPr>
            </w:pPr>
            <w:r w:rsidRPr="000918E6">
              <w:rPr>
                <w:color w:val="000000"/>
                <w:sz w:val="18"/>
                <w:szCs w:val="18"/>
              </w:rPr>
              <w:t>ERDF/celkové způsobilé výdaje</w:t>
            </w:r>
            <w:r w:rsidRPr="000918E6">
              <w:rPr>
                <w:color w:val="000000"/>
                <w:sz w:val="18"/>
                <w:szCs w:val="18"/>
              </w:rPr>
              <w:br/>
              <w:t>Cíl Konvergence</w:t>
            </w:r>
          </w:p>
        </w:tc>
        <w:tc>
          <w:tcPr>
            <w:tcW w:w="415" w:type="pct"/>
            <w:shd w:val="clear" w:color="auto" w:fill="auto"/>
            <w:noWrap/>
            <w:vAlign w:val="center"/>
            <w:hideMark/>
          </w:tcPr>
          <w:p w:rsidR="000918E6" w:rsidRPr="000918E6" w:rsidRDefault="000918E6" w:rsidP="006F2B3E">
            <w:pPr>
              <w:jc w:val="right"/>
              <w:rPr>
                <w:sz w:val="18"/>
                <w:szCs w:val="18"/>
              </w:rPr>
            </w:pPr>
            <w:r w:rsidRPr="000918E6">
              <w:rPr>
                <w:sz w:val="18"/>
                <w:szCs w:val="18"/>
              </w:rPr>
              <w:t>34 074 787</w:t>
            </w:r>
          </w:p>
        </w:tc>
        <w:tc>
          <w:tcPr>
            <w:tcW w:w="347" w:type="pct"/>
            <w:shd w:val="clear" w:color="auto" w:fill="auto"/>
            <w:noWrap/>
            <w:vAlign w:val="center"/>
            <w:hideMark/>
          </w:tcPr>
          <w:p w:rsidR="000918E6" w:rsidRPr="000918E6" w:rsidRDefault="000918E6" w:rsidP="006F2B3E">
            <w:pPr>
              <w:jc w:val="right"/>
              <w:rPr>
                <w:sz w:val="18"/>
                <w:szCs w:val="18"/>
              </w:rPr>
            </w:pPr>
            <w:r w:rsidRPr="000918E6">
              <w:rPr>
                <w:sz w:val="18"/>
                <w:szCs w:val="18"/>
              </w:rPr>
              <w:t>6 013 199</w:t>
            </w:r>
          </w:p>
        </w:tc>
        <w:tc>
          <w:tcPr>
            <w:tcW w:w="347" w:type="pct"/>
            <w:shd w:val="clear" w:color="auto" w:fill="auto"/>
            <w:noWrap/>
            <w:vAlign w:val="center"/>
            <w:hideMark/>
          </w:tcPr>
          <w:p w:rsidR="000918E6" w:rsidRPr="000918E6" w:rsidRDefault="000918E6" w:rsidP="006F2B3E">
            <w:pPr>
              <w:jc w:val="right"/>
              <w:rPr>
                <w:sz w:val="18"/>
                <w:szCs w:val="18"/>
              </w:rPr>
            </w:pPr>
            <w:r w:rsidRPr="000918E6">
              <w:rPr>
                <w:sz w:val="18"/>
                <w:szCs w:val="18"/>
              </w:rPr>
              <w:t>6 013 199</w:t>
            </w:r>
          </w:p>
        </w:tc>
        <w:tc>
          <w:tcPr>
            <w:tcW w:w="341" w:type="pct"/>
            <w:vMerge w:val="restart"/>
            <w:shd w:val="clear" w:color="auto" w:fill="auto"/>
            <w:noWrap/>
            <w:vAlign w:val="center"/>
            <w:hideMark/>
          </w:tcPr>
          <w:p w:rsidR="000918E6" w:rsidRPr="000918E6" w:rsidRDefault="000918E6" w:rsidP="006F2B3E">
            <w:pPr>
              <w:jc w:val="right"/>
              <w:rPr>
                <w:color w:val="FF0000"/>
                <w:sz w:val="18"/>
                <w:szCs w:val="18"/>
              </w:rPr>
            </w:pPr>
            <w:r w:rsidRPr="000918E6">
              <w:rPr>
                <w:color w:val="FF0000"/>
                <w:sz w:val="18"/>
                <w:szCs w:val="18"/>
              </w:rPr>
              <w:t> </w:t>
            </w:r>
          </w:p>
        </w:tc>
        <w:tc>
          <w:tcPr>
            <w:tcW w:w="395" w:type="pct"/>
            <w:shd w:val="clear" w:color="auto" w:fill="auto"/>
            <w:noWrap/>
            <w:vAlign w:val="center"/>
            <w:hideMark/>
          </w:tcPr>
          <w:p w:rsidR="000918E6" w:rsidRPr="000918E6" w:rsidRDefault="000918E6" w:rsidP="006F2B3E">
            <w:pPr>
              <w:jc w:val="right"/>
              <w:rPr>
                <w:sz w:val="18"/>
                <w:szCs w:val="18"/>
              </w:rPr>
            </w:pPr>
            <w:r w:rsidRPr="000918E6">
              <w:rPr>
                <w:sz w:val="18"/>
                <w:szCs w:val="18"/>
              </w:rPr>
              <w:t>40 087 986</w:t>
            </w:r>
          </w:p>
        </w:tc>
        <w:tc>
          <w:tcPr>
            <w:tcW w:w="423" w:type="pct"/>
            <w:shd w:val="clear" w:color="auto" w:fill="auto"/>
            <w:noWrap/>
            <w:vAlign w:val="center"/>
            <w:hideMark/>
          </w:tcPr>
          <w:p w:rsidR="000918E6" w:rsidRPr="000918E6" w:rsidRDefault="000918E6" w:rsidP="006F2B3E">
            <w:pPr>
              <w:jc w:val="right"/>
              <w:rPr>
                <w:sz w:val="18"/>
                <w:szCs w:val="18"/>
              </w:rPr>
            </w:pPr>
            <w:r w:rsidRPr="000918E6">
              <w:rPr>
                <w:sz w:val="18"/>
                <w:szCs w:val="18"/>
              </w:rPr>
              <w:t>85%</w:t>
            </w:r>
          </w:p>
        </w:tc>
        <w:tc>
          <w:tcPr>
            <w:tcW w:w="168" w:type="pct"/>
            <w:vMerge w:val="restar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 </w:t>
            </w:r>
          </w:p>
        </w:tc>
        <w:tc>
          <w:tcPr>
            <w:tcW w:w="360" w:type="pct"/>
            <w:vMerge w:val="restart"/>
            <w:shd w:val="clear" w:color="auto" w:fill="auto"/>
            <w:noWrap/>
            <w:vAlign w:val="center"/>
            <w:hideMark/>
          </w:tcPr>
          <w:p w:rsidR="000918E6" w:rsidRPr="000918E6" w:rsidRDefault="000918E6" w:rsidP="006F2B3E">
            <w:pPr>
              <w:jc w:val="right"/>
              <w:rPr>
                <w:color w:val="000000"/>
                <w:sz w:val="18"/>
                <w:szCs w:val="18"/>
              </w:rPr>
            </w:pPr>
            <w:r w:rsidRPr="000918E6">
              <w:rPr>
                <w:color w:val="000000"/>
                <w:sz w:val="18"/>
                <w:szCs w:val="18"/>
              </w:rPr>
              <w:t> </w:t>
            </w:r>
          </w:p>
        </w:tc>
      </w:tr>
      <w:tr w:rsidR="00DD3D4C" w:rsidRPr="000918E6" w:rsidTr="00AE7F0B">
        <w:trPr>
          <w:trHeight w:val="735"/>
        </w:trPr>
        <w:tc>
          <w:tcPr>
            <w:tcW w:w="333" w:type="pct"/>
            <w:shd w:val="clear" w:color="auto" w:fill="auto"/>
            <w:noWrap/>
            <w:vAlign w:val="center"/>
            <w:hideMark/>
          </w:tcPr>
          <w:p w:rsidR="000918E6" w:rsidRPr="000918E6" w:rsidRDefault="000918E6" w:rsidP="000918E6">
            <w:pPr>
              <w:rPr>
                <w:color w:val="FF0000"/>
                <w:sz w:val="18"/>
                <w:szCs w:val="18"/>
              </w:rPr>
            </w:pPr>
            <w:r w:rsidRPr="000918E6">
              <w:rPr>
                <w:color w:val="FF0000"/>
                <w:sz w:val="18"/>
                <w:szCs w:val="18"/>
              </w:rPr>
              <w:t>6b</w:t>
            </w:r>
          </w:p>
        </w:tc>
        <w:tc>
          <w:tcPr>
            <w:tcW w:w="887" w:type="pct"/>
            <w:shd w:val="clear" w:color="auto" w:fill="auto"/>
            <w:vAlign w:val="center"/>
            <w:hideMark/>
          </w:tcPr>
          <w:p w:rsidR="000918E6" w:rsidRPr="00450694" w:rsidRDefault="000918E6" w:rsidP="000918E6">
            <w:pPr>
              <w:rPr>
                <w:color w:val="C00000"/>
                <w:sz w:val="18"/>
                <w:szCs w:val="18"/>
              </w:rPr>
            </w:pPr>
            <w:r w:rsidRPr="00450694">
              <w:rPr>
                <w:color w:val="C00000"/>
                <w:sz w:val="18"/>
                <w:szCs w:val="18"/>
              </w:rPr>
              <w:t xml:space="preserve">Technická pomoc – Cíl Regionální konkurenceschopnost </w:t>
            </w:r>
            <w:r w:rsidR="00740B01">
              <w:rPr>
                <w:color w:val="C00000"/>
                <w:sz w:val="18"/>
                <w:szCs w:val="18"/>
              </w:rPr>
              <w:br/>
            </w:r>
            <w:r w:rsidRPr="00450694">
              <w:rPr>
                <w:color w:val="C00000"/>
                <w:sz w:val="18"/>
                <w:szCs w:val="18"/>
              </w:rPr>
              <w:t>a zaměstnanost</w:t>
            </w:r>
          </w:p>
        </w:tc>
        <w:tc>
          <w:tcPr>
            <w:tcW w:w="984" w:type="pct"/>
            <w:shd w:val="clear" w:color="auto" w:fill="auto"/>
            <w:vAlign w:val="center"/>
            <w:hideMark/>
          </w:tcPr>
          <w:p w:rsidR="000918E6" w:rsidRPr="00450694" w:rsidRDefault="000918E6" w:rsidP="000918E6">
            <w:pPr>
              <w:rPr>
                <w:color w:val="C00000"/>
                <w:sz w:val="18"/>
                <w:szCs w:val="18"/>
              </w:rPr>
            </w:pPr>
            <w:r w:rsidRPr="00450694">
              <w:rPr>
                <w:color w:val="C00000"/>
                <w:sz w:val="18"/>
                <w:szCs w:val="18"/>
              </w:rPr>
              <w:t>ERDF/celkové způsobilé výdaje</w:t>
            </w:r>
            <w:r w:rsidRPr="00450694">
              <w:rPr>
                <w:color w:val="C00000"/>
                <w:sz w:val="18"/>
                <w:szCs w:val="18"/>
              </w:rPr>
              <w:br/>
              <w:t xml:space="preserve">Cíl </w:t>
            </w:r>
            <w:proofErr w:type="spellStart"/>
            <w:r w:rsidRPr="00450694">
              <w:rPr>
                <w:color w:val="C00000"/>
                <w:sz w:val="18"/>
                <w:szCs w:val="18"/>
              </w:rPr>
              <w:t>RKaZ</w:t>
            </w:r>
            <w:proofErr w:type="spellEnd"/>
          </w:p>
        </w:tc>
        <w:tc>
          <w:tcPr>
            <w:tcW w:w="415"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626 428</w:t>
            </w:r>
          </w:p>
        </w:tc>
        <w:tc>
          <w:tcPr>
            <w:tcW w:w="347" w:type="pct"/>
            <w:shd w:val="clear" w:color="auto" w:fill="auto"/>
            <w:noWrap/>
            <w:vAlign w:val="center"/>
            <w:hideMark/>
          </w:tcPr>
          <w:p w:rsidR="000918E6" w:rsidRPr="00450694" w:rsidRDefault="000918E6" w:rsidP="00467E9B">
            <w:pPr>
              <w:jc w:val="right"/>
              <w:rPr>
                <w:color w:val="C00000"/>
                <w:sz w:val="18"/>
                <w:szCs w:val="18"/>
              </w:rPr>
            </w:pPr>
            <w:r w:rsidRPr="00450694">
              <w:rPr>
                <w:color w:val="C00000"/>
                <w:sz w:val="18"/>
                <w:szCs w:val="18"/>
              </w:rPr>
              <w:t>110 548</w:t>
            </w:r>
          </w:p>
        </w:tc>
        <w:tc>
          <w:tcPr>
            <w:tcW w:w="347" w:type="pct"/>
            <w:shd w:val="clear" w:color="auto" w:fill="auto"/>
            <w:noWrap/>
            <w:vAlign w:val="center"/>
            <w:hideMark/>
          </w:tcPr>
          <w:p w:rsidR="000918E6" w:rsidRPr="00450694" w:rsidRDefault="000918E6" w:rsidP="00BD0F4E">
            <w:pPr>
              <w:jc w:val="right"/>
              <w:rPr>
                <w:color w:val="C00000"/>
                <w:sz w:val="18"/>
                <w:szCs w:val="18"/>
              </w:rPr>
            </w:pPr>
            <w:r w:rsidRPr="00450694">
              <w:rPr>
                <w:color w:val="C00000"/>
                <w:sz w:val="18"/>
                <w:szCs w:val="18"/>
              </w:rPr>
              <w:t>110 548</w:t>
            </w:r>
          </w:p>
        </w:tc>
        <w:tc>
          <w:tcPr>
            <w:tcW w:w="341" w:type="pct"/>
            <w:vMerge/>
            <w:vAlign w:val="center"/>
            <w:hideMark/>
          </w:tcPr>
          <w:p w:rsidR="000918E6" w:rsidRPr="00450694" w:rsidRDefault="000918E6" w:rsidP="00CA445B">
            <w:pPr>
              <w:jc w:val="right"/>
              <w:rPr>
                <w:color w:val="C00000"/>
                <w:sz w:val="18"/>
                <w:szCs w:val="18"/>
              </w:rPr>
            </w:pPr>
          </w:p>
        </w:tc>
        <w:tc>
          <w:tcPr>
            <w:tcW w:w="395" w:type="pct"/>
            <w:shd w:val="clear" w:color="auto" w:fill="auto"/>
            <w:noWrap/>
            <w:vAlign w:val="center"/>
            <w:hideMark/>
          </w:tcPr>
          <w:p w:rsidR="000918E6" w:rsidRPr="00450694" w:rsidRDefault="000918E6" w:rsidP="006F2B3E">
            <w:pPr>
              <w:jc w:val="right"/>
              <w:rPr>
                <w:color w:val="C00000"/>
                <w:sz w:val="18"/>
                <w:szCs w:val="18"/>
              </w:rPr>
            </w:pPr>
            <w:r w:rsidRPr="00450694">
              <w:rPr>
                <w:color w:val="C00000"/>
                <w:sz w:val="18"/>
                <w:szCs w:val="18"/>
              </w:rPr>
              <w:t>736 976</w:t>
            </w:r>
          </w:p>
        </w:tc>
        <w:tc>
          <w:tcPr>
            <w:tcW w:w="423" w:type="pct"/>
            <w:shd w:val="clear" w:color="auto" w:fill="auto"/>
            <w:noWrap/>
            <w:vAlign w:val="center"/>
            <w:hideMark/>
          </w:tcPr>
          <w:p w:rsidR="000918E6" w:rsidRPr="00450694" w:rsidRDefault="000918E6" w:rsidP="00467E9B">
            <w:pPr>
              <w:jc w:val="right"/>
              <w:rPr>
                <w:color w:val="C00000"/>
                <w:sz w:val="18"/>
                <w:szCs w:val="18"/>
              </w:rPr>
            </w:pPr>
            <w:r w:rsidRPr="00450694">
              <w:rPr>
                <w:color w:val="C00000"/>
                <w:sz w:val="18"/>
                <w:szCs w:val="18"/>
              </w:rPr>
              <w:t>85%</w:t>
            </w:r>
          </w:p>
        </w:tc>
        <w:tc>
          <w:tcPr>
            <w:tcW w:w="168" w:type="pct"/>
            <w:vMerge/>
            <w:vAlign w:val="center"/>
            <w:hideMark/>
          </w:tcPr>
          <w:p w:rsidR="000918E6" w:rsidRPr="000918E6" w:rsidRDefault="000918E6" w:rsidP="00CA445B">
            <w:pPr>
              <w:jc w:val="right"/>
              <w:rPr>
                <w:color w:val="000000"/>
                <w:sz w:val="18"/>
                <w:szCs w:val="18"/>
              </w:rPr>
            </w:pPr>
          </w:p>
        </w:tc>
        <w:tc>
          <w:tcPr>
            <w:tcW w:w="360" w:type="pct"/>
            <w:vMerge/>
            <w:vAlign w:val="center"/>
            <w:hideMark/>
          </w:tcPr>
          <w:p w:rsidR="000918E6" w:rsidRPr="000918E6" w:rsidRDefault="000918E6" w:rsidP="00CA445B">
            <w:pPr>
              <w:jc w:val="right"/>
              <w:rPr>
                <w:color w:val="000000"/>
                <w:sz w:val="18"/>
                <w:szCs w:val="18"/>
              </w:rPr>
            </w:pPr>
          </w:p>
        </w:tc>
      </w:tr>
      <w:tr w:rsidR="000918E6" w:rsidRPr="000918E6" w:rsidTr="00AE7F0B">
        <w:trPr>
          <w:trHeight w:val="315"/>
        </w:trPr>
        <w:tc>
          <w:tcPr>
            <w:tcW w:w="2205" w:type="pct"/>
            <w:gridSpan w:val="3"/>
            <w:shd w:val="clear" w:color="000000" w:fill="C4D79B"/>
            <w:noWrap/>
            <w:vAlign w:val="center"/>
            <w:hideMark/>
          </w:tcPr>
          <w:p w:rsidR="000918E6" w:rsidRPr="000918E6" w:rsidRDefault="000918E6" w:rsidP="000918E6">
            <w:pPr>
              <w:rPr>
                <w:b/>
                <w:bCs/>
                <w:color w:val="000000"/>
                <w:sz w:val="16"/>
                <w:szCs w:val="16"/>
              </w:rPr>
            </w:pPr>
            <w:r w:rsidRPr="000918E6">
              <w:rPr>
                <w:b/>
                <w:bCs/>
                <w:color w:val="000000"/>
                <w:sz w:val="16"/>
                <w:szCs w:val="16"/>
              </w:rPr>
              <w:lastRenderedPageBreak/>
              <w:t>Celkem</w:t>
            </w:r>
          </w:p>
        </w:tc>
        <w:tc>
          <w:tcPr>
            <w:tcW w:w="415" w:type="pct"/>
            <w:vMerge w:val="restart"/>
            <w:shd w:val="clear" w:color="000000" w:fill="C4D79B"/>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1 617 464 051</w:t>
            </w:r>
          </w:p>
        </w:tc>
        <w:tc>
          <w:tcPr>
            <w:tcW w:w="347" w:type="pct"/>
            <w:vMerge w:val="restart"/>
            <w:shd w:val="clear" w:color="000000" w:fill="C4D79B"/>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285 434 842</w:t>
            </w:r>
          </w:p>
        </w:tc>
        <w:tc>
          <w:tcPr>
            <w:tcW w:w="347" w:type="pct"/>
            <w:vMerge w:val="restart"/>
            <w:shd w:val="clear" w:color="000000" w:fill="C4D79B"/>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252 432 011</w:t>
            </w:r>
          </w:p>
        </w:tc>
        <w:tc>
          <w:tcPr>
            <w:tcW w:w="341" w:type="pct"/>
            <w:vMerge w:val="restart"/>
            <w:shd w:val="clear" w:color="000000" w:fill="C4D79B"/>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33 002 831</w:t>
            </w:r>
          </w:p>
        </w:tc>
        <w:tc>
          <w:tcPr>
            <w:tcW w:w="395" w:type="pct"/>
            <w:vMerge w:val="restart"/>
            <w:shd w:val="clear" w:color="000000" w:fill="C4D79B"/>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1 902 898 893</w:t>
            </w:r>
          </w:p>
        </w:tc>
        <w:tc>
          <w:tcPr>
            <w:tcW w:w="423" w:type="pct"/>
            <w:vMerge w:val="restart"/>
            <w:shd w:val="clear" w:color="000000" w:fill="C4D79B"/>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85%</w:t>
            </w:r>
          </w:p>
        </w:tc>
        <w:tc>
          <w:tcPr>
            <w:tcW w:w="168" w:type="pct"/>
            <w:vMerge w:val="restart"/>
            <w:shd w:val="clear" w:color="000000" w:fill="C4D79B"/>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 </w:t>
            </w:r>
          </w:p>
        </w:tc>
        <w:tc>
          <w:tcPr>
            <w:tcW w:w="360" w:type="pct"/>
            <w:vMerge w:val="restart"/>
            <w:shd w:val="clear" w:color="000000" w:fill="C4D79B"/>
            <w:vAlign w:val="center"/>
            <w:hideMark/>
          </w:tcPr>
          <w:p w:rsidR="000918E6" w:rsidRPr="000918E6" w:rsidRDefault="000918E6" w:rsidP="006F2B3E">
            <w:pPr>
              <w:jc w:val="right"/>
              <w:rPr>
                <w:color w:val="000000"/>
              </w:rPr>
            </w:pPr>
            <w:r w:rsidRPr="000918E6">
              <w:rPr>
                <w:color w:val="000000"/>
              </w:rPr>
              <w:t> </w:t>
            </w:r>
          </w:p>
        </w:tc>
      </w:tr>
      <w:tr w:rsidR="000918E6" w:rsidRPr="000918E6" w:rsidTr="00AE7F0B">
        <w:trPr>
          <w:trHeight w:val="315"/>
        </w:trPr>
        <w:tc>
          <w:tcPr>
            <w:tcW w:w="2205" w:type="pct"/>
            <w:gridSpan w:val="3"/>
            <w:shd w:val="clear" w:color="000000" w:fill="C4D79B"/>
            <w:noWrap/>
            <w:vAlign w:val="center"/>
            <w:hideMark/>
          </w:tcPr>
          <w:p w:rsidR="000918E6" w:rsidRPr="000918E6" w:rsidRDefault="000918E6" w:rsidP="000918E6">
            <w:pPr>
              <w:rPr>
                <w:b/>
                <w:bCs/>
                <w:color w:val="000000"/>
                <w:sz w:val="16"/>
                <w:szCs w:val="16"/>
              </w:rPr>
            </w:pPr>
            <w:r w:rsidRPr="000918E6">
              <w:rPr>
                <w:b/>
                <w:bCs/>
                <w:color w:val="000000"/>
                <w:sz w:val="16"/>
                <w:szCs w:val="16"/>
              </w:rPr>
              <w:t>(Cíl Konvergence + Cíl Konkurenceschopnost)</w:t>
            </w:r>
          </w:p>
        </w:tc>
        <w:tc>
          <w:tcPr>
            <w:tcW w:w="415" w:type="pct"/>
            <w:vMerge/>
            <w:vAlign w:val="center"/>
            <w:hideMark/>
          </w:tcPr>
          <w:p w:rsidR="000918E6" w:rsidRPr="000918E6" w:rsidRDefault="000918E6" w:rsidP="00CA445B">
            <w:pPr>
              <w:jc w:val="right"/>
              <w:rPr>
                <w:b/>
                <w:bCs/>
                <w:color w:val="000000"/>
                <w:sz w:val="16"/>
                <w:szCs w:val="16"/>
              </w:rPr>
            </w:pPr>
          </w:p>
        </w:tc>
        <w:tc>
          <w:tcPr>
            <w:tcW w:w="347" w:type="pct"/>
            <w:vMerge/>
            <w:vAlign w:val="center"/>
            <w:hideMark/>
          </w:tcPr>
          <w:p w:rsidR="000918E6" w:rsidRPr="000918E6" w:rsidRDefault="000918E6" w:rsidP="00CA445B">
            <w:pPr>
              <w:jc w:val="right"/>
              <w:rPr>
                <w:b/>
                <w:bCs/>
                <w:color w:val="000000"/>
                <w:sz w:val="16"/>
                <w:szCs w:val="16"/>
              </w:rPr>
            </w:pPr>
          </w:p>
        </w:tc>
        <w:tc>
          <w:tcPr>
            <w:tcW w:w="347" w:type="pct"/>
            <w:vMerge/>
            <w:vAlign w:val="center"/>
            <w:hideMark/>
          </w:tcPr>
          <w:p w:rsidR="000918E6" w:rsidRPr="000918E6" w:rsidRDefault="000918E6" w:rsidP="00CA445B">
            <w:pPr>
              <w:jc w:val="right"/>
              <w:rPr>
                <w:b/>
                <w:bCs/>
                <w:color w:val="000000"/>
                <w:sz w:val="16"/>
                <w:szCs w:val="16"/>
              </w:rPr>
            </w:pPr>
          </w:p>
        </w:tc>
        <w:tc>
          <w:tcPr>
            <w:tcW w:w="341" w:type="pct"/>
            <w:vMerge/>
            <w:vAlign w:val="center"/>
            <w:hideMark/>
          </w:tcPr>
          <w:p w:rsidR="000918E6" w:rsidRPr="000918E6" w:rsidRDefault="000918E6" w:rsidP="00CA445B">
            <w:pPr>
              <w:jc w:val="right"/>
              <w:rPr>
                <w:b/>
                <w:bCs/>
                <w:color w:val="000000"/>
                <w:sz w:val="16"/>
                <w:szCs w:val="16"/>
              </w:rPr>
            </w:pPr>
          </w:p>
        </w:tc>
        <w:tc>
          <w:tcPr>
            <w:tcW w:w="395" w:type="pct"/>
            <w:vMerge/>
            <w:vAlign w:val="center"/>
            <w:hideMark/>
          </w:tcPr>
          <w:p w:rsidR="000918E6" w:rsidRPr="000918E6" w:rsidRDefault="000918E6" w:rsidP="00CA445B">
            <w:pPr>
              <w:jc w:val="right"/>
              <w:rPr>
                <w:b/>
                <w:bCs/>
                <w:color w:val="000000"/>
                <w:sz w:val="16"/>
                <w:szCs w:val="16"/>
              </w:rPr>
            </w:pPr>
          </w:p>
        </w:tc>
        <w:tc>
          <w:tcPr>
            <w:tcW w:w="423" w:type="pct"/>
            <w:vMerge/>
            <w:vAlign w:val="center"/>
            <w:hideMark/>
          </w:tcPr>
          <w:p w:rsidR="000918E6" w:rsidRPr="000918E6" w:rsidRDefault="000918E6" w:rsidP="00CA445B">
            <w:pPr>
              <w:jc w:val="right"/>
              <w:rPr>
                <w:b/>
                <w:bCs/>
                <w:color w:val="000000"/>
                <w:sz w:val="16"/>
                <w:szCs w:val="16"/>
              </w:rPr>
            </w:pPr>
          </w:p>
        </w:tc>
        <w:tc>
          <w:tcPr>
            <w:tcW w:w="168" w:type="pct"/>
            <w:vMerge/>
            <w:vAlign w:val="center"/>
            <w:hideMark/>
          </w:tcPr>
          <w:p w:rsidR="000918E6" w:rsidRPr="000918E6" w:rsidRDefault="000918E6" w:rsidP="00CA445B">
            <w:pPr>
              <w:jc w:val="right"/>
              <w:rPr>
                <w:b/>
                <w:bCs/>
                <w:color w:val="000000"/>
                <w:sz w:val="16"/>
                <w:szCs w:val="16"/>
              </w:rPr>
            </w:pPr>
          </w:p>
        </w:tc>
        <w:tc>
          <w:tcPr>
            <w:tcW w:w="360" w:type="pct"/>
            <w:vMerge/>
            <w:vAlign w:val="center"/>
            <w:hideMark/>
          </w:tcPr>
          <w:p w:rsidR="000918E6" w:rsidRPr="000918E6" w:rsidRDefault="000918E6" w:rsidP="00CA445B">
            <w:pPr>
              <w:jc w:val="right"/>
              <w:rPr>
                <w:color w:val="000000"/>
              </w:rPr>
            </w:pPr>
          </w:p>
        </w:tc>
      </w:tr>
      <w:tr w:rsidR="000918E6" w:rsidRPr="000918E6" w:rsidTr="00AE7F0B">
        <w:trPr>
          <w:trHeight w:val="315"/>
        </w:trPr>
        <w:tc>
          <w:tcPr>
            <w:tcW w:w="2205" w:type="pct"/>
            <w:gridSpan w:val="3"/>
            <w:shd w:val="clear" w:color="000000" w:fill="D8E4BC"/>
            <w:noWrap/>
            <w:vAlign w:val="center"/>
            <w:hideMark/>
          </w:tcPr>
          <w:p w:rsidR="000918E6" w:rsidRPr="000918E6" w:rsidRDefault="000918E6" w:rsidP="0073376F">
            <w:pPr>
              <w:rPr>
                <w:b/>
                <w:bCs/>
                <w:color w:val="000000"/>
                <w:sz w:val="16"/>
                <w:szCs w:val="16"/>
              </w:rPr>
            </w:pPr>
            <w:r w:rsidRPr="000918E6">
              <w:rPr>
                <w:b/>
                <w:bCs/>
                <w:color w:val="000000"/>
                <w:sz w:val="16"/>
                <w:szCs w:val="16"/>
              </w:rPr>
              <w:t>Z toho: Cíl Konvergence</w:t>
            </w:r>
          </w:p>
        </w:tc>
        <w:tc>
          <w:tcPr>
            <w:tcW w:w="415" w:type="pct"/>
            <w:shd w:val="clear" w:color="000000" w:fill="D8E4BC"/>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1 591 356 687</w:t>
            </w:r>
          </w:p>
        </w:tc>
        <w:tc>
          <w:tcPr>
            <w:tcW w:w="347" w:type="pct"/>
            <w:shd w:val="clear" w:color="000000" w:fill="D8E4BC"/>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280 827 657</w:t>
            </w:r>
          </w:p>
        </w:tc>
        <w:tc>
          <w:tcPr>
            <w:tcW w:w="347" w:type="pct"/>
            <w:shd w:val="clear" w:color="000000" w:fill="D8E4BC"/>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247 859 350</w:t>
            </w:r>
          </w:p>
        </w:tc>
        <w:tc>
          <w:tcPr>
            <w:tcW w:w="341" w:type="pct"/>
            <w:shd w:val="clear" w:color="000000" w:fill="D8E4BC"/>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32 968 307</w:t>
            </w:r>
          </w:p>
        </w:tc>
        <w:tc>
          <w:tcPr>
            <w:tcW w:w="395" w:type="pct"/>
            <w:shd w:val="clear" w:color="000000" w:fill="D8E4BC"/>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1 872 184 344</w:t>
            </w:r>
          </w:p>
        </w:tc>
        <w:tc>
          <w:tcPr>
            <w:tcW w:w="423" w:type="pct"/>
            <w:shd w:val="clear" w:color="000000" w:fill="D8E4BC"/>
            <w:noWrap/>
            <w:vAlign w:val="center"/>
            <w:hideMark/>
          </w:tcPr>
          <w:p w:rsidR="000918E6" w:rsidRPr="000918E6" w:rsidRDefault="000918E6" w:rsidP="006F2B3E">
            <w:pPr>
              <w:jc w:val="right"/>
              <w:rPr>
                <w:b/>
                <w:bCs/>
                <w:color w:val="000000"/>
                <w:sz w:val="16"/>
                <w:szCs w:val="16"/>
              </w:rPr>
            </w:pPr>
            <w:r w:rsidRPr="000918E6">
              <w:rPr>
                <w:b/>
                <w:bCs/>
                <w:color w:val="000000"/>
                <w:sz w:val="16"/>
                <w:szCs w:val="16"/>
              </w:rPr>
              <w:t>85%</w:t>
            </w:r>
          </w:p>
        </w:tc>
        <w:tc>
          <w:tcPr>
            <w:tcW w:w="168" w:type="pct"/>
            <w:shd w:val="clear" w:color="000000" w:fill="D8E4BC"/>
            <w:noWrap/>
            <w:vAlign w:val="center"/>
            <w:hideMark/>
          </w:tcPr>
          <w:p w:rsidR="000918E6" w:rsidRPr="000918E6" w:rsidRDefault="000918E6" w:rsidP="006F2B3E">
            <w:pPr>
              <w:jc w:val="right"/>
              <w:rPr>
                <w:color w:val="000000"/>
                <w:sz w:val="16"/>
                <w:szCs w:val="16"/>
              </w:rPr>
            </w:pPr>
            <w:r w:rsidRPr="000918E6">
              <w:rPr>
                <w:color w:val="000000"/>
                <w:sz w:val="16"/>
                <w:szCs w:val="16"/>
              </w:rPr>
              <w:t> </w:t>
            </w:r>
          </w:p>
        </w:tc>
        <w:tc>
          <w:tcPr>
            <w:tcW w:w="360" w:type="pct"/>
            <w:shd w:val="clear" w:color="000000" w:fill="D8E4BC"/>
            <w:noWrap/>
            <w:vAlign w:val="center"/>
            <w:hideMark/>
          </w:tcPr>
          <w:p w:rsidR="000918E6" w:rsidRPr="000918E6" w:rsidRDefault="000918E6" w:rsidP="006F2B3E">
            <w:pPr>
              <w:jc w:val="right"/>
              <w:rPr>
                <w:color w:val="000000"/>
                <w:sz w:val="16"/>
                <w:szCs w:val="16"/>
              </w:rPr>
            </w:pPr>
            <w:r w:rsidRPr="000918E6">
              <w:rPr>
                <w:color w:val="000000"/>
                <w:sz w:val="16"/>
                <w:szCs w:val="16"/>
              </w:rPr>
              <w:t> </w:t>
            </w:r>
          </w:p>
        </w:tc>
      </w:tr>
      <w:tr w:rsidR="000918E6" w:rsidRPr="000918E6" w:rsidTr="00AE7F0B">
        <w:trPr>
          <w:trHeight w:val="315"/>
        </w:trPr>
        <w:tc>
          <w:tcPr>
            <w:tcW w:w="2205" w:type="pct"/>
            <w:gridSpan w:val="3"/>
            <w:shd w:val="clear" w:color="000000" w:fill="FFFFFF"/>
            <w:noWrap/>
            <w:vAlign w:val="center"/>
            <w:hideMark/>
          </w:tcPr>
          <w:p w:rsidR="000918E6" w:rsidRPr="00450694" w:rsidRDefault="000918E6" w:rsidP="0073376F">
            <w:pPr>
              <w:rPr>
                <w:b/>
                <w:bCs/>
                <w:color w:val="C00000"/>
                <w:sz w:val="16"/>
                <w:szCs w:val="16"/>
              </w:rPr>
            </w:pPr>
            <w:r w:rsidRPr="00450694">
              <w:rPr>
                <w:b/>
                <w:bCs/>
                <w:color w:val="C00000"/>
                <w:sz w:val="16"/>
                <w:szCs w:val="16"/>
              </w:rPr>
              <w:t>Cíl Konkurenceschopnost</w:t>
            </w:r>
          </w:p>
        </w:tc>
        <w:tc>
          <w:tcPr>
            <w:tcW w:w="415" w:type="pct"/>
            <w:shd w:val="clear" w:color="000000" w:fill="FFFFFF"/>
            <w:noWrap/>
            <w:vAlign w:val="center"/>
            <w:hideMark/>
          </w:tcPr>
          <w:p w:rsidR="000918E6" w:rsidRPr="00450694" w:rsidRDefault="000918E6" w:rsidP="006F2B3E">
            <w:pPr>
              <w:jc w:val="right"/>
              <w:rPr>
                <w:b/>
                <w:bCs/>
                <w:color w:val="C00000"/>
                <w:sz w:val="16"/>
                <w:szCs w:val="16"/>
              </w:rPr>
            </w:pPr>
            <w:r w:rsidRPr="00450694">
              <w:rPr>
                <w:b/>
                <w:bCs/>
                <w:color w:val="C00000"/>
                <w:sz w:val="16"/>
                <w:szCs w:val="16"/>
              </w:rPr>
              <w:t>26 107 364</w:t>
            </w:r>
          </w:p>
        </w:tc>
        <w:tc>
          <w:tcPr>
            <w:tcW w:w="347" w:type="pct"/>
            <w:shd w:val="clear" w:color="000000" w:fill="FFFFFF"/>
            <w:noWrap/>
            <w:vAlign w:val="center"/>
            <w:hideMark/>
          </w:tcPr>
          <w:p w:rsidR="000918E6" w:rsidRPr="00450694" w:rsidRDefault="000918E6" w:rsidP="006F2B3E">
            <w:pPr>
              <w:jc w:val="right"/>
              <w:rPr>
                <w:b/>
                <w:bCs/>
                <w:color w:val="C00000"/>
                <w:sz w:val="16"/>
                <w:szCs w:val="16"/>
              </w:rPr>
            </w:pPr>
            <w:r w:rsidRPr="00450694">
              <w:rPr>
                <w:b/>
                <w:bCs/>
                <w:color w:val="C00000"/>
                <w:sz w:val="16"/>
                <w:szCs w:val="16"/>
              </w:rPr>
              <w:t>4 607 185</w:t>
            </w:r>
          </w:p>
        </w:tc>
        <w:tc>
          <w:tcPr>
            <w:tcW w:w="347" w:type="pct"/>
            <w:shd w:val="clear" w:color="000000" w:fill="FFFFFF"/>
            <w:noWrap/>
            <w:vAlign w:val="center"/>
            <w:hideMark/>
          </w:tcPr>
          <w:p w:rsidR="000918E6" w:rsidRPr="00450694" w:rsidRDefault="000918E6" w:rsidP="006F2B3E">
            <w:pPr>
              <w:jc w:val="right"/>
              <w:rPr>
                <w:b/>
                <w:bCs/>
                <w:color w:val="C00000"/>
                <w:sz w:val="16"/>
                <w:szCs w:val="16"/>
              </w:rPr>
            </w:pPr>
            <w:r w:rsidRPr="00450694">
              <w:rPr>
                <w:b/>
                <w:bCs/>
                <w:color w:val="C00000"/>
                <w:sz w:val="16"/>
                <w:szCs w:val="16"/>
              </w:rPr>
              <w:t>4 572 661</w:t>
            </w:r>
          </w:p>
        </w:tc>
        <w:tc>
          <w:tcPr>
            <w:tcW w:w="341" w:type="pct"/>
            <w:shd w:val="clear" w:color="000000" w:fill="FFFFFF"/>
            <w:noWrap/>
            <w:vAlign w:val="center"/>
            <w:hideMark/>
          </w:tcPr>
          <w:p w:rsidR="000918E6" w:rsidRPr="00450694" w:rsidRDefault="000918E6" w:rsidP="006F2B3E">
            <w:pPr>
              <w:jc w:val="right"/>
              <w:rPr>
                <w:b/>
                <w:bCs/>
                <w:color w:val="C00000"/>
                <w:sz w:val="16"/>
                <w:szCs w:val="16"/>
              </w:rPr>
            </w:pPr>
            <w:r w:rsidRPr="00450694">
              <w:rPr>
                <w:b/>
                <w:bCs/>
                <w:color w:val="C00000"/>
                <w:sz w:val="16"/>
                <w:szCs w:val="16"/>
              </w:rPr>
              <w:t>34 524</w:t>
            </w:r>
          </w:p>
        </w:tc>
        <w:tc>
          <w:tcPr>
            <w:tcW w:w="395" w:type="pct"/>
            <w:shd w:val="clear" w:color="000000" w:fill="FFFFFF"/>
            <w:noWrap/>
            <w:vAlign w:val="center"/>
            <w:hideMark/>
          </w:tcPr>
          <w:p w:rsidR="000918E6" w:rsidRPr="00450694" w:rsidRDefault="000918E6" w:rsidP="006F2B3E">
            <w:pPr>
              <w:jc w:val="right"/>
              <w:rPr>
                <w:b/>
                <w:bCs/>
                <w:color w:val="C00000"/>
                <w:sz w:val="16"/>
                <w:szCs w:val="16"/>
              </w:rPr>
            </w:pPr>
            <w:r w:rsidRPr="00450694">
              <w:rPr>
                <w:b/>
                <w:bCs/>
                <w:color w:val="C00000"/>
                <w:sz w:val="16"/>
                <w:szCs w:val="16"/>
              </w:rPr>
              <w:t>30 714 549</w:t>
            </w:r>
          </w:p>
        </w:tc>
        <w:tc>
          <w:tcPr>
            <w:tcW w:w="423" w:type="pct"/>
            <w:shd w:val="clear" w:color="000000" w:fill="FFFFFF"/>
            <w:noWrap/>
            <w:vAlign w:val="center"/>
            <w:hideMark/>
          </w:tcPr>
          <w:p w:rsidR="000918E6" w:rsidRPr="00450694" w:rsidRDefault="000918E6" w:rsidP="006F2B3E">
            <w:pPr>
              <w:jc w:val="right"/>
              <w:rPr>
                <w:b/>
                <w:bCs/>
                <w:color w:val="C00000"/>
                <w:sz w:val="16"/>
                <w:szCs w:val="16"/>
              </w:rPr>
            </w:pPr>
            <w:r w:rsidRPr="00450694">
              <w:rPr>
                <w:b/>
                <w:bCs/>
                <w:color w:val="C00000"/>
                <w:sz w:val="16"/>
                <w:szCs w:val="16"/>
              </w:rPr>
              <w:t>85%</w:t>
            </w:r>
          </w:p>
        </w:tc>
        <w:tc>
          <w:tcPr>
            <w:tcW w:w="168" w:type="pct"/>
            <w:shd w:val="clear" w:color="000000" w:fill="FFFFFF"/>
            <w:noWrap/>
            <w:vAlign w:val="center"/>
            <w:hideMark/>
          </w:tcPr>
          <w:p w:rsidR="000918E6" w:rsidRPr="000918E6" w:rsidRDefault="000918E6" w:rsidP="006F2B3E">
            <w:pPr>
              <w:jc w:val="right"/>
              <w:rPr>
                <w:b/>
                <w:bCs/>
                <w:color w:val="FF0000"/>
                <w:sz w:val="16"/>
                <w:szCs w:val="16"/>
              </w:rPr>
            </w:pPr>
            <w:r w:rsidRPr="000918E6">
              <w:rPr>
                <w:b/>
                <w:bCs/>
                <w:color w:val="FF0000"/>
                <w:sz w:val="16"/>
                <w:szCs w:val="16"/>
              </w:rPr>
              <w:t> </w:t>
            </w:r>
          </w:p>
        </w:tc>
        <w:tc>
          <w:tcPr>
            <w:tcW w:w="360" w:type="pct"/>
            <w:shd w:val="clear" w:color="000000" w:fill="FFFFFF"/>
            <w:noWrap/>
            <w:vAlign w:val="center"/>
            <w:hideMark/>
          </w:tcPr>
          <w:p w:rsidR="000918E6" w:rsidRPr="000918E6" w:rsidRDefault="000918E6" w:rsidP="006F2B3E">
            <w:pPr>
              <w:jc w:val="right"/>
              <w:rPr>
                <w:b/>
                <w:bCs/>
                <w:color w:val="FF0000"/>
                <w:sz w:val="16"/>
                <w:szCs w:val="16"/>
              </w:rPr>
            </w:pPr>
            <w:r w:rsidRPr="000918E6">
              <w:rPr>
                <w:b/>
                <w:bCs/>
                <w:color w:val="FF0000"/>
                <w:sz w:val="16"/>
                <w:szCs w:val="16"/>
              </w:rPr>
              <w:t> </w:t>
            </w:r>
          </w:p>
        </w:tc>
      </w:tr>
    </w:tbl>
    <w:p w:rsidR="00A75862" w:rsidRPr="00F95266" w:rsidRDefault="00A75862" w:rsidP="00DE7062">
      <w:pPr>
        <w:rPr>
          <w:i/>
          <w:sz w:val="18"/>
          <w:szCs w:val="18"/>
        </w:rPr>
      </w:pPr>
      <w:r w:rsidRPr="00F95266">
        <w:rPr>
          <w:i/>
          <w:sz w:val="18"/>
          <w:szCs w:val="18"/>
        </w:rPr>
        <w:t xml:space="preserve">Zdroj: Programový dokument, </w:t>
      </w:r>
      <w:r w:rsidR="00561801">
        <w:rPr>
          <w:i/>
          <w:sz w:val="18"/>
          <w:szCs w:val="18"/>
        </w:rPr>
        <w:t>listopad 2014</w:t>
      </w:r>
    </w:p>
    <w:p w:rsidR="00A75862" w:rsidRDefault="00A75862" w:rsidP="007213BB">
      <w:pPr>
        <w:rPr>
          <w:b/>
          <w:sz w:val="22"/>
          <w:szCs w:val="22"/>
        </w:rPr>
        <w:sectPr w:rsidR="00A75862" w:rsidSect="003F08D8">
          <w:type w:val="continuous"/>
          <w:pgSz w:w="16838" w:h="11906" w:orient="landscape"/>
          <w:pgMar w:top="1418" w:right="1418" w:bottom="1418" w:left="1418" w:header="709" w:footer="709" w:gutter="0"/>
          <w:cols w:space="708"/>
        </w:sectPr>
      </w:pPr>
    </w:p>
    <w:p w:rsidR="00A75862" w:rsidRPr="009C2AC0" w:rsidRDefault="00A75862" w:rsidP="007213BB">
      <w:pPr>
        <w:pStyle w:val="Nadpis2"/>
        <w:rPr>
          <w:rFonts w:ascii="Times New Roman" w:hAnsi="Times New Roman"/>
          <w:i w:val="0"/>
        </w:rPr>
      </w:pPr>
      <w:bookmarkStart w:id="6" w:name="_Toc417024831"/>
      <w:r w:rsidRPr="009026D3">
        <w:rPr>
          <w:rFonts w:ascii="Times New Roman" w:hAnsi="Times New Roman"/>
          <w:i w:val="0"/>
        </w:rPr>
        <w:lastRenderedPageBreak/>
        <w:t>1.2 Rozdělení kompetencí mezi Řídícím orgánem a zprostředkujícími subjekty</w:t>
      </w:r>
      <w:bookmarkEnd w:id="6"/>
    </w:p>
    <w:p w:rsidR="00A75862" w:rsidRDefault="00A75862" w:rsidP="007213BB">
      <w:pPr>
        <w:jc w:val="both"/>
        <w:rPr>
          <w:sz w:val="22"/>
          <w:szCs w:val="22"/>
        </w:rPr>
      </w:pPr>
      <w:r w:rsidRPr="0083500F">
        <w:rPr>
          <w:sz w:val="22"/>
          <w:szCs w:val="22"/>
        </w:rPr>
        <w:t xml:space="preserve">Rozdělení činností </w:t>
      </w:r>
      <w:r>
        <w:rPr>
          <w:sz w:val="22"/>
          <w:szCs w:val="22"/>
        </w:rPr>
        <w:t xml:space="preserve">mezi ŘO a ZS </w:t>
      </w:r>
      <w:r w:rsidRPr="0083500F">
        <w:rPr>
          <w:sz w:val="22"/>
          <w:szCs w:val="22"/>
        </w:rPr>
        <w:t xml:space="preserve">je uvedeno v </w:t>
      </w:r>
      <w:r w:rsidR="00C66053">
        <w:rPr>
          <w:sz w:val="22"/>
          <w:szCs w:val="22"/>
        </w:rPr>
        <w:t>P</w:t>
      </w:r>
      <w:r w:rsidRPr="0083500F">
        <w:rPr>
          <w:sz w:val="22"/>
          <w:szCs w:val="22"/>
        </w:rPr>
        <w:t xml:space="preserve">rogramovém dokumentu </w:t>
      </w:r>
      <w:r>
        <w:rPr>
          <w:sz w:val="22"/>
          <w:szCs w:val="22"/>
        </w:rPr>
        <w:t xml:space="preserve">IOP </w:t>
      </w:r>
      <w:r w:rsidRPr="0083500F">
        <w:rPr>
          <w:sz w:val="22"/>
          <w:szCs w:val="22"/>
        </w:rPr>
        <w:t xml:space="preserve">v kapitole </w:t>
      </w:r>
      <w:r w:rsidR="000B568E">
        <w:rPr>
          <w:sz w:val="22"/>
          <w:szCs w:val="22"/>
        </w:rPr>
        <w:br/>
      </w:r>
      <w:r>
        <w:rPr>
          <w:sz w:val="22"/>
          <w:szCs w:val="22"/>
        </w:rPr>
        <w:t>4</w:t>
      </w:r>
      <w:r w:rsidRPr="0083500F">
        <w:rPr>
          <w:sz w:val="22"/>
          <w:szCs w:val="22"/>
        </w:rPr>
        <w:t xml:space="preserve"> „Implementace </w:t>
      </w:r>
      <w:r>
        <w:rPr>
          <w:sz w:val="22"/>
          <w:szCs w:val="22"/>
        </w:rPr>
        <w:t>programu</w:t>
      </w:r>
      <w:r w:rsidRPr="0083500F">
        <w:rPr>
          <w:sz w:val="22"/>
          <w:szCs w:val="22"/>
        </w:rPr>
        <w:t xml:space="preserve">“, resp. </w:t>
      </w:r>
      <w:r>
        <w:rPr>
          <w:sz w:val="22"/>
          <w:szCs w:val="22"/>
        </w:rPr>
        <w:t>v podkapitole 4.1 „Implementační struktura IOP“</w:t>
      </w:r>
      <w:r w:rsidRPr="0083500F">
        <w:rPr>
          <w:sz w:val="22"/>
          <w:szCs w:val="22"/>
        </w:rPr>
        <w:t xml:space="preserve">. </w:t>
      </w:r>
    </w:p>
    <w:p w:rsidR="00A75862" w:rsidRDefault="00A75862" w:rsidP="007213BB">
      <w:pPr>
        <w:jc w:val="both"/>
        <w:rPr>
          <w:sz w:val="22"/>
          <w:szCs w:val="22"/>
        </w:rPr>
      </w:pPr>
    </w:p>
    <w:p w:rsidR="00A75862" w:rsidRDefault="00A75862" w:rsidP="007213BB">
      <w:pPr>
        <w:jc w:val="both"/>
        <w:rPr>
          <w:sz w:val="22"/>
          <w:szCs w:val="22"/>
        </w:rPr>
      </w:pPr>
      <w:r w:rsidRPr="00820225">
        <w:rPr>
          <w:sz w:val="22"/>
          <w:szCs w:val="22"/>
        </w:rPr>
        <w:t xml:space="preserve">Řídícím orgánem pro IOP bylo na základě usnesení </w:t>
      </w:r>
      <w:r w:rsidR="00D619C9">
        <w:rPr>
          <w:sz w:val="22"/>
          <w:szCs w:val="22"/>
        </w:rPr>
        <w:t>Vlády</w:t>
      </w:r>
      <w:r w:rsidRPr="00820225">
        <w:rPr>
          <w:sz w:val="22"/>
          <w:szCs w:val="22"/>
        </w:rPr>
        <w:t xml:space="preserve"> č. 175/2006 stanoveno Ministerstvo pro místní rozvoj</w:t>
      </w:r>
      <w:r>
        <w:rPr>
          <w:sz w:val="22"/>
          <w:szCs w:val="22"/>
        </w:rPr>
        <w:t xml:space="preserve"> ČR</w:t>
      </w:r>
      <w:r w:rsidRPr="00820225">
        <w:rPr>
          <w:sz w:val="22"/>
          <w:szCs w:val="22"/>
        </w:rPr>
        <w:t>. ŘO IOP plní úkoly v souladu s nařízením čl. 60 Nařízení Rady</w:t>
      </w:r>
      <w:r w:rsidR="001874AE">
        <w:rPr>
          <w:sz w:val="22"/>
          <w:szCs w:val="22"/>
        </w:rPr>
        <w:t xml:space="preserve"> (ES)</w:t>
      </w:r>
      <w:r w:rsidRPr="00820225">
        <w:rPr>
          <w:sz w:val="22"/>
          <w:szCs w:val="22"/>
        </w:rPr>
        <w:t xml:space="preserve"> č. 1083/2006. V souladu s čl. 59, odst. 2, resp. 42 odst. 1 Nařízení Rady </w:t>
      </w:r>
      <w:r w:rsidR="001874AE">
        <w:rPr>
          <w:sz w:val="22"/>
          <w:szCs w:val="22"/>
        </w:rPr>
        <w:t xml:space="preserve">(ES) </w:t>
      </w:r>
      <w:r w:rsidRPr="00820225">
        <w:rPr>
          <w:sz w:val="22"/>
          <w:szCs w:val="22"/>
        </w:rPr>
        <w:t>č. 1083/2006</w:t>
      </w:r>
      <w:r w:rsidR="001874AE">
        <w:rPr>
          <w:sz w:val="22"/>
          <w:szCs w:val="22"/>
        </w:rPr>
        <w:t xml:space="preserve"> </w:t>
      </w:r>
      <w:r w:rsidRPr="00820225">
        <w:rPr>
          <w:sz w:val="22"/>
          <w:szCs w:val="22"/>
        </w:rPr>
        <w:t>deleguje ŘO některé úkoly na zprostředkující subjekty.</w:t>
      </w:r>
      <w:r w:rsidRPr="0047183F">
        <w:rPr>
          <w:sz w:val="22"/>
          <w:szCs w:val="22"/>
        </w:rPr>
        <w:t xml:space="preserve"> </w:t>
      </w:r>
    </w:p>
    <w:p w:rsidR="00A75862" w:rsidRDefault="00A75862" w:rsidP="007213BB">
      <w:pPr>
        <w:jc w:val="both"/>
        <w:rPr>
          <w:sz w:val="22"/>
          <w:szCs w:val="22"/>
        </w:rPr>
      </w:pPr>
    </w:p>
    <w:p w:rsidR="00A75862" w:rsidRDefault="00A75862" w:rsidP="007213BB">
      <w:pPr>
        <w:jc w:val="both"/>
        <w:rPr>
          <w:sz w:val="22"/>
          <w:szCs w:val="22"/>
        </w:rPr>
      </w:pPr>
      <w:r w:rsidRPr="004D4C94">
        <w:rPr>
          <w:sz w:val="22"/>
          <w:szCs w:val="22"/>
        </w:rPr>
        <w:t xml:space="preserve">Z důvodu nedostatečné personální kapacity uzavřelo </w:t>
      </w:r>
      <w:r w:rsidR="00CA6C1E">
        <w:rPr>
          <w:sz w:val="22"/>
          <w:szCs w:val="22"/>
        </w:rPr>
        <w:t xml:space="preserve">MMR </w:t>
      </w:r>
      <w:r w:rsidR="00672B0B">
        <w:rPr>
          <w:sz w:val="22"/>
          <w:szCs w:val="22"/>
        </w:rPr>
        <w:t xml:space="preserve"> ČR</w:t>
      </w:r>
      <w:r w:rsidRPr="004D4C94">
        <w:rPr>
          <w:sz w:val="22"/>
          <w:szCs w:val="22"/>
        </w:rPr>
        <w:t xml:space="preserve"> v roce 2009 s MPS</w:t>
      </w:r>
      <w:r>
        <w:rPr>
          <w:sz w:val="22"/>
          <w:szCs w:val="22"/>
        </w:rPr>
        <w:t xml:space="preserve">V </w:t>
      </w:r>
      <w:r w:rsidR="00B6522E">
        <w:rPr>
          <w:sz w:val="22"/>
          <w:szCs w:val="22"/>
        </w:rPr>
        <w:t xml:space="preserve">ČR </w:t>
      </w:r>
      <w:r>
        <w:rPr>
          <w:sz w:val="22"/>
          <w:szCs w:val="22"/>
        </w:rPr>
        <w:t xml:space="preserve">a MV </w:t>
      </w:r>
      <w:r w:rsidR="00B6522E">
        <w:rPr>
          <w:sz w:val="22"/>
          <w:szCs w:val="22"/>
        </w:rPr>
        <w:t xml:space="preserve">ČR </w:t>
      </w:r>
      <w:r>
        <w:rPr>
          <w:sz w:val="22"/>
          <w:szCs w:val="22"/>
        </w:rPr>
        <w:t>Dodatek</w:t>
      </w:r>
      <w:r w:rsidRPr="004D4C94">
        <w:rPr>
          <w:sz w:val="22"/>
          <w:szCs w:val="22"/>
        </w:rPr>
        <w:t xml:space="preserve"> k</w:t>
      </w:r>
      <w:r>
        <w:rPr>
          <w:sz w:val="22"/>
          <w:szCs w:val="22"/>
        </w:rPr>
        <w:t xml:space="preserve"> </w:t>
      </w:r>
      <w:r w:rsidRPr="004D4C94">
        <w:rPr>
          <w:sz w:val="22"/>
          <w:szCs w:val="22"/>
        </w:rPr>
        <w:t xml:space="preserve">Dohodě o delegování úkolů Řídícího orgánu IOP. Dodatky se týkaly zapojení </w:t>
      </w:r>
      <w:r w:rsidR="004614A2">
        <w:rPr>
          <w:sz w:val="22"/>
          <w:szCs w:val="22"/>
        </w:rPr>
        <w:t>CRR ČR</w:t>
      </w:r>
      <w:r w:rsidRPr="004D4C94">
        <w:rPr>
          <w:sz w:val="22"/>
          <w:szCs w:val="22"/>
        </w:rPr>
        <w:t xml:space="preserve"> do administrace projektů v oblastech intervence 2.1, 3.1, 3.3 a 3.4.</w:t>
      </w:r>
      <w:r>
        <w:rPr>
          <w:sz w:val="22"/>
          <w:szCs w:val="22"/>
        </w:rPr>
        <w:t xml:space="preserve"> </w:t>
      </w:r>
    </w:p>
    <w:p w:rsidR="00A75862" w:rsidRDefault="00A75862" w:rsidP="007213BB">
      <w:pPr>
        <w:jc w:val="both"/>
        <w:rPr>
          <w:sz w:val="22"/>
          <w:szCs w:val="22"/>
        </w:rPr>
      </w:pPr>
    </w:p>
    <w:p w:rsidR="00A75862" w:rsidRDefault="00A75862" w:rsidP="007213BB">
      <w:pPr>
        <w:jc w:val="both"/>
        <w:rPr>
          <w:sz w:val="22"/>
          <w:szCs w:val="22"/>
        </w:rPr>
      </w:pPr>
      <w:r>
        <w:rPr>
          <w:sz w:val="22"/>
          <w:szCs w:val="22"/>
        </w:rPr>
        <w:t xml:space="preserve">Od </w:t>
      </w:r>
      <w:r w:rsidR="0076027F">
        <w:rPr>
          <w:sz w:val="22"/>
          <w:szCs w:val="22"/>
        </w:rPr>
        <w:t>1. 7. 2012</w:t>
      </w:r>
      <w:r>
        <w:rPr>
          <w:sz w:val="22"/>
          <w:szCs w:val="22"/>
        </w:rPr>
        <w:t xml:space="preserve"> proběhla změna delegovaných činností v oblastech intervence 2.1 a 3.4 ŘO IOP ve spolupráci s </w:t>
      </w:r>
      <w:r w:rsidR="004614A2">
        <w:rPr>
          <w:sz w:val="22"/>
          <w:szCs w:val="22"/>
        </w:rPr>
        <w:t>CRR ČR</w:t>
      </w:r>
      <w:r>
        <w:rPr>
          <w:sz w:val="22"/>
          <w:szCs w:val="22"/>
        </w:rPr>
        <w:t xml:space="preserve"> převedl delegované činnosti v oblastech intervence 2.1 a 3.4 z MV ČR na MMR ČR a CRR ČR. Záměrem bylo zlepšení kvality, snížení chybovosti a zrychlení administrace. </w:t>
      </w:r>
    </w:p>
    <w:p w:rsidR="00A61D16" w:rsidRPr="00C1629D" w:rsidRDefault="00A61D16" w:rsidP="007213BB">
      <w:pPr>
        <w:jc w:val="both"/>
        <w:rPr>
          <w:sz w:val="22"/>
          <w:szCs w:val="22"/>
        </w:rPr>
      </w:pPr>
    </w:p>
    <w:p w:rsidR="00A75862" w:rsidRPr="00C1629D" w:rsidRDefault="00A75862" w:rsidP="00C1629D">
      <w:pPr>
        <w:autoSpaceDE w:val="0"/>
        <w:autoSpaceDN w:val="0"/>
        <w:adjustRightInd w:val="0"/>
        <w:spacing w:after="120"/>
        <w:jc w:val="both"/>
        <w:rPr>
          <w:sz w:val="22"/>
          <w:szCs w:val="22"/>
        </w:rPr>
      </w:pPr>
      <w:r w:rsidRPr="00C1629D">
        <w:rPr>
          <w:sz w:val="22"/>
          <w:szCs w:val="22"/>
        </w:rPr>
        <w:t xml:space="preserve">V průběhu roku 2013 byla provedena změna v Dohodě o delegování úkolů Řídícího orgánu Integrovaného operačního programu na Ministerstvo kultury </w:t>
      </w:r>
      <w:r w:rsidR="00364D83">
        <w:rPr>
          <w:sz w:val="22"/>
          <w:szCs w:val="22"/>
        </w:rPr>
        <w:t xml:space="preserve">ČR </w:t>
      </w:r>
      <w:r w:rsidRPr="00C1629D">
        <w:rPr>
          <w:sz w:val="22"/>
          <w:szCs w:val="22"/>
        </w:rPr>
        <w:t xml:space="preserve">jako zprostředkující subjekt pro oblast intervence 5.1 </w:t>
      </w:r>
      <w:r w:rsidR="00A61D16">
        <w:rPr>
          <w:sz w:val="22"/>
          <w:szCs w:val="22"/>
        </w:rPr>
        <w:t>N</w:t>
      </w:r>
      <w:r w:rsidRPr="00C1629D">
        <w:rPr>
          <w:sz w:val="22"/>
          <w:szCs w:val="22"/>
        </w:rPr>
        <w:t>árodní podpora využití potenciálu kulturního dědictví</w:t>
      </w:r>
      <w:r w:rsidR="00364D83">
        <w:rPr>
          <w:sz w:val="22"/>
          <w:szCs w:val="22"/>
        </w:rPr>
        <w:t xml:space="preserve">. Činnosti </w:t>
      </w:r>
      <w:r w:rsidR="00F97472">
        <w:rPr>
          <w:sz w:val="22"/>
          <w:szCs w:val="22"/>
        </w:rPr>
        <w:t>MK ČR</w:t>
      </w:r>
      <w:r w:rsidR="00364D83">
        <w:rPr>
          <w:sz w:val="22"/>
          <w:szCs w:val="22"/>
        </w:rPr>
        <w:t xml:space="preserve"> </w:t>
      </w:r>
      <w:r w:rsidRPr="00C1629D">
        <w:rPr>
          <w:sz w:val="22"/>
          <w:szCs w:val="22"/>
        </w:rPr>
        <w:t>byl</w:t>
      </w:r>
      <w:r w:rsidR="00364D83">
        <w:rPr>
          <w:sz w:val="22"/>
          <w:szCs w:val="22"/>
        </w:rPr>
        <w:t>y</w:t>
      </w:r>
      <w:r w:rsidRPr="00C1629D">
        <w:rPr>
          <w:sz w:val="22"/>
          <w:szCs w:val="22"/>
        </w:rPr>
        <w:t xml:space="preserve"> převeden</w:t>
      </w:r>
      <w:r w:rsidR="00364D83">
        <w:rPr>
          <w:sz w:val="22"/>
          <w:szCs w:val="22"/>
        </w:rPr>
        <w:t>y</w:t>
      </w:r>
      <w:r w:rsidRPr="00C1629D">
        <w:rPr>
          <w:sz w:val="22"/>
          <w:szCs w:val="22"/>
        </w:rPr>
        <w:t xml:space="preserve"> od </w:t>
      </w:r>
      <w:r w:rsidR="0076027F" w:rsidRPr="00C1629D">
        <w:rPr>
          <w:sz w:val="22"/>
          <w:szCs w:val="22"/>
        </w:rPr>
        <w:t>1. 11. 2013</w:t>
      </w:r>
      <w:r w:rsidRPr="00C1629D">
        <w:rPr>
          <w:sz w:val="22"/>
          <w:szCs w:val="22"/>
        </w:rPr>
        <w:t xml:space="preserve"> na Ministerstvo pro místní rozvoj</w:t>
      </w:r>
      <w:r w:rsidR="00364D83">
        <w:rPr>
          <w:sz w:val="22"/>
          <w:szCs w:val="22"/>
        </w:rPr>
        <w:t xml:space="preserve"> ČR a Centrum pro regionální rozvoj ČR</w:t>
      </w:r>
      <w:r w:rsidRPr="00C1629D">
        <w:rPr>
          <w:sz w:val="22"/>
          <w:szCs w:val="22"/>
        </w:rPr>
        <w:t xml:space="preserve">.  </w:t>
      </w:r>
    </w:p>
    <w:p w:rsidR="00A75862" w:rsidRPr="0047183F" w:rsidRDefault="00A75862" w:rsidP="007213BB">
      <w:pPr>
        <w:jc w:val="both"/>
        <w:rPr>
          <w:sz w:val="22"/>
          <w:szCs w:val="22"/>
        </w:rPr>
      </w:pPr>
    </w:p>
    <w:p w:rsidR="00A75862" w:rsidRPr="00A80613" w:rsidRDefault="00D0378D" w:rsidP="009D60FB">
      <w:pPr>
        <w:pStyle w:val="Tabulkanzev"/>
      </w:pPr>
      <w:r>
        <w:t xml:space="preserve"> </w:t>
      </w:r>
      <w:bookmarkStart w:id="7" w:name="_Toc416431792"/>
      <w:r w:rsidR="00A75862" w:rsidRPr="009026D3">
        <w:t>Zprostředkující subjekty IOP podle oblastí intervence</w:t>
      </w:r>
      <w:bookmarkEnd w:id="7"/>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000" w:firstRow="0" w:lastRow="0" w:firstColumn="0" w:lastColumn="0" w:noHBand="0" w:noVBand="0"/>
      </w:tblPr>
      <w:tblGrid>
        <w:gridCol w:w="4960"/>
        <w:gridCol w:w="4101"/>
      </w:tblGrid>
      <w:tr w:rsidR="00A75862" w:rsidRPr="00D47C6F" w:rsidTr="00292700">
        <w:trPr>
          <w:trHeight w:val="502"/>
          <w:tblHeader/>
          <w:jc w:val="center"/>
        </w:trPr>
        <w:tc>
          <w:tcPr>
            <w:tcW w:w="4928"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noWrap/>
            <w:vAlign w:val="center"/>
          </w:tcPr>
          <w:p w:rsidR="00A75862" w:rsidRPr="00E96F23" w:rsidRDefault="00A75862" w:rsidP="001B4F1C">
            <w:pPr>
              <w:jc w:val="center"/>
              <w:rPr>
                <w:b/>
                <w:bCs/>
              </w:rPr>
            </w:pPr>
            <w:r w:rsidRPr="00E96F23">
              <w:rPr>
                <w:b/>
                <w:bCs/>
              </w:rPr>
              <w:t>Oblast intervence</w:t>
            </w:r>
          </w:p>
        </w:tc>
        <w:tc>
          <w:tcPr>
            <w:tcW w:w="4075"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A75862" w:rsidRPr="00E96F23" w:rsidRDefault="00A75862" w:rsidP="001B4F1C">
            <w:pPr>
              <w:jc w:val="center"/>
              <w:rPr>
                <w:b/>
                <w:bCs/>
              </w:rPr>
            </w:pPr>
            <w:r w:rsidRPr="00E96F23">
              <w:rPr>
                <w:b/>
                <w:bCs/>
              </w:rPr>
              <w:t>Zprostředkující subjekt</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762273" w:rsidP="001B4F1C">
            <w:r w:rsidRPr="00F95266">
              <w:rPr>
                <w:b/>
              </w:rPr>
              <w:t>1.1 a, b Rozvoj</w:t>
            </w:r>
            <w:r w:rsidR="00A75862" w:rsidRPr="00F95266">
              <w:t xml:space="preserve"> informační společnosti ve veřejné správě</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Ministerstvo vnitra ČR (Odbor SF)</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pPr>
              <w:rPr>
                <w:b/>
              </w:rPr>
            </w:pPr>
            <w:r w:rsidRPr="00F95266">
              <w:rPr>
                <w:b/>
              </w:rPr>
              <w:t>2.1</w:t>
            </w:r>
            <w:r w:rsidRPr="00F95266">
              <w:t xml:space="preserve"> Zavádění ICT v územní veřejné správě</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 xml:space="preserve">Ministerstvo vnitra ČR (Odbor SF) do </w:t>
            </w:r>
            <w:r w:rsidR="0076027F" w:rsidRPr="00F95266">
              <w:t>30. 6. 2012</w:t>
            </w:r>
            <w:r w:rsidRPr="00F95266">
              <w:t xml:space="preserve">, </w:t>
            </w:r>
          </w:p>
          <w:p w:rsidR="00A75862" w:rsidRPr="00F95266" w:rsidRDefault="00A75862" w:rsidP="00477DAB">
            <w:r w:rsidRPr="00F95266">
              <w:t>Centrum pro regionální rozvoj ČR</w:t>
            </w:r>
            <w:r w:rsidR="002F0053" w:rsidRPr="00F95266">
              <w:t xml:space="preserve"> od </w:t>
            </w:r>
            <w:r w:rsidR="0076027F" w:rsidRPr="00F95266">
              <w:t>1. 7. 2012</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3.1</w:t>
            </w:r>
            <w:r w:rsidRPr="00F95266">
              <w:t xml:space="preserve"> Služby v oblasti sociální integrace</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 xml:space="preserve">Ministerstvo práce a sociálních věcí ČR (Odbor implementace fondů EU a Odbor programového financování), </w:t>
            </w:r>
          </w:p>
          <w:p w:rsidR="00A75862" w:rsidRPr="00F95266" w:rsidRDefault="00A75862" w:rsidP="001B4F1C">
            <w:r w:rsidRPr="00F95266">
              <w:t xml:space="preserve">Centrum pro regionální rozvoj ČR </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3.2</w:t>
            </w:r>
            <w:r w:rsidRPr="00F95266">
              <w:t xml:space="preserve"> Služby v oblasti veřejného zdraví</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Ministerstvo zdravotnictví ČR (Odbor evropských fondů)</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3.3</w:t>
            </w:r>
            <w:r w:rsidRPr="00F95266">
              <w:t xml:space="preserve"> Služby v oblasti zaměstnanosti</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 xml:space="preserve">Ministerstvo práce a sociálních věcí ČR (Odbor implementace fondů EU a Odbor programového financování), </w:t>
            </w:r>
          </w:p>
          <w:p w:rsidR="00A75862" w:rsidRPr="00F95266" w:rsidRDefault="00A75862" w:rsidP="001B4F1C">
            <w:r w:rsidRPr="00F95266">
              <w:t>Centrum pro regionální rozvoj ČR</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3.4</w:t>
            </w:r>
            <w:r w:rsidRPr="00F95266">
              <w:t xml:space="preserve"> Služby v oblasti bezpečnosti, prevence a řešení rizik</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pPr>
              <w:jc w:val="both"/>
            </w:pPr>
            <w:r w:rsidRPr="00F95266">
              <w:t xml:space="preserve">Ministerstvo vnitra ČR (Odbor SF) do </w:t>
            </w:r>
            <w:r w:rsidR="0076027F" w:rsidRPr="00F95266">
              <w:t>30. 6. 2012</w:t>
            </w:r>
            <w:r w:rsidRPr="00F95266">
              <w:t xml:space="preserve">, </w:t>
            </w:r>
          </w:p>
          <w:p w:rsidR="00A75862" w:rsidRPr="00F95266" w:rsidRDefault="00A75862" w:rsidP="00477DAB">
            <w:pPr>
              <w:jc w:val="both"/>
            </w:pPr>
            <w:r w:rsidRPr="00F95266">
              <w:t>Centrum pro regionální rozvoj ČR</w:t>
            </w:r>
            <w:r w:rsidR="002F0053" w:rsidRPr="00F95266">
              <w:t xml:space="preserve"> od </w:t>
            </w:r>
            <w:r w:rsidR="0076027F" w:rsidRPr="00F95266">
              <w:t>1. 7. 2012</w:t>
            </w:r>
          </w:p>
        </w:tc>
      </w:tr>
      <w:tr w:rsidR="00FA08EE"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FA08EE" w:rsidRPr="00F95266" w:rsidRDefault="00FA08EE" w:rsidP="001B4F1C">
            <w:r w:rsidRPr="00F95266">
              <w:rPr>
                <w:b/>
              </w:rPr>
              <w:t xml:space="preserve">4.1 </w:t>
            </w:r>
            <w:r w:rsidR="00E54DCC" w:rsidRPr="00F95266">
              <w:rPr>
                <w:b/>
              </w:rPr>
              <w:t>a, b</w:t>
            </w:r>
            <w:r w:rsidRPr="00F95266">
              <w:t xml:space="preserve"> Národní podpora cestovního ruchu</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FA08EE" w:rsidRPr="00F95266" w:rsidRDefault="00FA08EE" w:rsidP="001B4F1C">
            <w:pPr>
              <w:jc w:val="both"/>
            </w:pPr>
            <w:r w:rsidRPr="00F95266">
              <w:t>Centrum pro regionální rozvoj ČR</w:t>
            </w:r>
          </w:p>
        </w:tc>
      </w:tr>
      <w:tr w:rsidR="00FA08EE" w:rsidRPr="00D47C6F" w:rsidTr="00642923">
        <w:trPr>
          <w:trHeight w:val="265"/>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FA08EE" w:rsidRPr="00F95266" w:rsidRDefault="00FA08EE" w:rsidP="001B4F1C">
            <w:r w:rsidRPr="00F95266">
              <w:rPr>
                <w:b/>
              </w:rPr>
              <w:t>5.1</w:t>
            </w:r>
            <w:r w:rsidRPr="00F95266">
              <w:t xml:space="preserve"> Národní podpora využití potenciálu kulturního dědictví</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FA08EE" w:rsidRPr="00F95266" w:rsidRDefault="00FA08EE" w:rsidP="00323D53">
            <w:pPr>
              <w:jc w:val="both"/>
            </w:pPr>
            <w:r w:rsidRPr="00F95266">
              <w:t xml:space="preserve">Ministerstvo kultury ČR (Odbor strategie </w:t>
            </w:r>
            <w:r w:rsidR="000B568E">
              <w:br/>
            </w:r>
            <w:r w:rsidRPr="00F95266">
              <w:t xml:space="preserve">a dotační politiky) do </w:t>
            </w:r>
            <w:r w:rsidR="0076027F" w:rsidRPr="00F95266">
              <w:t>31. 10. 2013</w:t>
            </w:r>
          </w:p>
          <w:p w:rsidR="00FA08EE" w:rsidRPr="00F95266" w:rsidRDefault="00FA08EE" w:rsidP="001B4F1C">
            <w:pPr>
              <w:jc w:val="both"/>
            </w:pPr>
            <w:r w:rsidRPr="00F95266">
              <w:t xml:space="preserve">Centrum pro regionální rozvoj od </w:t>
            </w:r>
            <w:r w:rsidR="0076027F" w:rsidRPr="00F95266">
              <w:t>1. 11. 2013</w:t>
            </w:r>
          </w:p>
        </w:tc>
      </w:tr>
      <w:tr w:rsidR="00A75862" w:rsidRPr="00D47C6F" w:rsidTr="00642923">
        <w:trPr>
          <w:trHeight w:val="265"/>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5.2</w:t>
            </w:r>
            <w:r w:rsidRPr="00F95266">
              <w:t xml:space="preserve"> Zlepšení prostředí v problémových sídlištích</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pPr>
              <w:jc w:val="both"/>
            </w:pPr>
            <w:r w:rsidRPr="00F95266">
              <w:t>Centrum pro regionální rozvoj ČR</w:t>
            </w:r>
          </w:p>
        </w:tc>
      </w:tr>
      <w:tr w:rsidR="00A75862" w:rsidRPr="00D47C6F" w:rsidTr="00642923">
        <w:trPr>
          <w:trHeight w:val="265"/>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5.3</w:t>
            </w:r>
            <w:r w:rsidRPr="00F95266">
              <w:t xml:space="preserve"> Modernizace a rozvoj systémů tvorby územních politik</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pPr>
              <w:jc w:val="both"/>
            </w:pPr>
            <w:r w:rsidRPr="00F95266">
              <w:t>Centrum pro regionální rozvoj ČR</w:t>
            </w:r>
          </w:p>
        </w:tc>
      </w:tr>
      <w:tr w:rsidR="00A75862" w:rsidRPr="00D47C6F" w:rsidTr="00642923">
        <w:trPr>
          <w:trHeight w:val="387"/>
          <w:jc w:val="center"/>
        </w:trPr>
        <w:tc>
          <w:tcPr>
            <w:tcW w:w="4928" w:type="dxa"/>
            <w:tcBorders>
              <w:top w:val="single" w:sz="6" w:space="0" w:color="4F6228"/>
              <w:left w:val="double" w:sz="4" w:space="0" w:color="4F6228"/>
              <w:bottom w:val="double" w:sz="4" w:space="0" w:color="4F6228"/>
              <w:right w:val="single" w:sz="6" w:space="0" w:color="4F6228"/>
            </w:tcBorders>
            <w:vAlign w:val="center"/>
          </w:tcPr>
          <w:p w:rsidR="00A75862" w:rsidRPr="00F95266" w:rsidRDefault="00450694" w:rsidP="001B4F1C">
            <w:r w:rsidRPr="00F95266">
              <w:rPr>
                <w:b/>
              </w:rPr>
              <w:t>6.1 a, b Aktivity</w:t>
            </w:r>
            <w:r w:rsidR="00A75862" w:rsidRPr="00F95266">
              <w:t xml:space="preserve"> spojené s řízením IOP a </w:t>
            </w:r>
            <w:r w:rsidR="00B163A0" w:rsidRPr="00F95266">
              <w:rPr>
                <w:b/>
              </w:rPr>
              <w:t>6.2 a, b Ostatní</w:t>
            </w:r>
            <w:r w:rsidR="00A75862" w:rsidRPr="00F95266">
              <w:t xml:space="preserve"> náklady technické pomoci IOP</w:t>
            </w:r>
          </w:p>
        </w:tc>
        <w:tc>
          <w:tcPr>
            <w:tcW w:w="4075" w:type="dxa"/>
            <w:tcBorders>
              <w:top w:val="single" w:sz="6" w:space="0" w:color="4F6228"/>
              <w:left w:val="single" w:sz="6" w:space="0" w:color="4F6228"/>
              <w:bottom w:val="double" w:sz="4" w:space="0" w:color="4F6228"/>
              <w:right w:val="double" w:sz="4" w:space="0" w:color="4F6228"/>
            </w:tcBorders>
            <w:noWrap/>
            <w:vAlign w:val="center"/>
          </w:tcPr>
          <w:p w:rsidR="00A75862" w:rsidRPr="00F95266" w:rsidRDefault="00A75862" w:rsidP="001B4F1C">
            <w:pPr>
              <w:jc w:val="both"/>
            </w:pPr>
            <w:r w:rsidRPr="00F95266">
              <w:t>Centrum pro regionální rozvoj ČR</w:t>
            </w:r>
          </w:p>
        </w:tc>
      </w:tr>
    </w:tbl>
    <w:p w:rsidR="00A75862" w:rsidRPr="00DF7BFA" w:rsidRDefault="00A75862" w:rsidP="000F4DBC">
      <w:pPr>
        <w:pStyle w:val="Nadpis2"/>
        <w:rPr>
          <w:rFonts w:ascii="Times New Roman" w:hAnsi="Times New Roman"/>
          <w:i w:val="0"/>
        </w:rPr>
      </w:pPr>
      <w:bookmarkStart w:id="8" w:name="_Toc417024832"/>
      <w:r w:rsidRPr="009026D3">
        <w:rPr>
          <w:rFonts w:ascii="Times New Roman" w:hAnsi="Times New Roman"/>
          <w:i w:val="0"/>
        </w:rPr>
        <w:lastRenderedPageBreak/>
        <w:t>1.3 Vazba IOP na strategické dokumenty</w:t>
      </w:r>
      <w:bookmarkEnd w:id="8"/>
    </w:p>
    <w:p w:rsidR="00A75862" w:rsidRDefault="00A75862" w:rsidP="000F4DBC">
      <w:pPr>
        <w:jc w:val="both"/>
        <w:rPr>
          <w:sz w:val="22"/>
          <w:szCs w:val="22"/>
        </w:rPr>
      </w:pPr>
      <w:r w:rsidRPr="003059C9">
        <w:rPr>
          <w:sz w:val="22"/>
          <w:szCs w:val="22"/>
        </w:rPr>
        <w:t xml:space="preserve">Vazba IOP na strategické dokumenty </w:t>
      </w:r>
      <w:r w:rsidR="00364D83">
        <w:rPr>
          <w:sz w:val="22"/>
          <w:szCs w:val="22"/>
        </w:rPr>
        <w:t>se</w:t>
      </w:r>
      <w:r>
        <w:rPr>
          <w:sz w:val="22"/>
          <w:szCs w:val="22"/>
        </w:rPr>
        <w:t xml:space="preserve"> týká následujících dokumentů</w:t>
      </w:r>
      <w:bookmarkStart w:id="9" w:name="_Ref286820158"/>
      <w:r>
        <w:rPr>
          <w:rStyle w:val="Znakapoznpodarou"/>
          <w:sz w:val="22"/>
          <w:szCs w:val="22"/>
        </w:rPr>
        <w:footnoteReference w:id="1"/>
      </w:r>
      <w:bookmarkEnd w:id="9"/>
      <w:r w:rsidRPr="003059C9">
        <w:rPr>
          <w:sz w:val="22"/>
          <w:szCs w:val="22"/>
        </w:rPr>
        <w:t xml:space="preserve">. </w:t>
      </w:r>
    </w:p>
    <w:p w:rsidR="00A75862" w:rsidRDefault="00A75862" w:rsidP="000F4DBC">
      <w:pPr>
        <w:jc w:val="both"/>
        <w:rPr>
          <w:sz w:val="22"/>
          <w:szCs w:val="22"/>
        </w:rPr>
      </w:pPr>
    </w:p>
    <w:p w:rsidR="00A75862" w:rsidRPr="003059C9" w:rsidRDefault="00A75862" w:rsidP="000F4DBC">
      <w:pPr>
        <w:jc w:val="both"/>
        <w:rPr>
          <w:sz w:val="22"/>
          <w:szCs w:val="22"/>
        </w:rPr>
      </w:pPr>
      <w:r w:rsidRPr="003747BF">
        <w:rPr>
          <w:b/>
          <w:sz w:val="22"/>
          <w:szCs w:val="22"/>
        </w:rPr>
        <w:t>Národní lisabonský program 2005-2008</w:t>
      </w:r>
      <w:r w:rsidRPr="00351CDB">
        <w:rPr>
          <w:sz w:val="22"/>
          <w:szCs w:val="22"/>
        </w:rPr>
        <w:t xml:space="preserve"> (Národní p</w:t>
      </w:r>
      <w:r>
        <w:rPr>
          <w:sz w:val="22"/>
          <w:szCs w:val="22"/>
        </w:rPr>
        <w:t>rogram</w:t>
      </w:r>
      <w:r w:rsidRPr="00351CDB">
        <w:rPr>
          <w:sz w:val="22"/>
          <w:szCs w:val="22"/>
        </w:rPr>
        <w:t xml:space="preserve"> reforem</w:t>
      </w:r>
      <w:r>
        <w:rPr>
          <w:sz w:val="22"/>
          <w:szCs w:val="22"/>
        </w:rPr>
        <w:t xml:space="preserve"> ČR) </w:t>
      </w:r>
    </w:p>
    <w:p w:rsidR="00A75862" w:rsidRPr="00E54E1A" w:rsidRDefault="00A75862" w:rsidP="000F4DBC">
      <w:pPr>
        <w:jc w:val="both"/>
        <w:rPr>
          <w:sz w:val="22"/>
          <w:szCs w:val="22"/>
        </w:rPr>
      </w:pPr>
      <w:r w:rsidRPr="00E54E1A">
        <w:rPr>
          <w:sz w:val="22"/>
          <w:szCs w:val="22"/>
        </w:rPr>
        <w:t>Národní</w:t>
      </w:r>
      <w:r>
        <w:rPr>
          <w:sz w:val="22"/>
          <w:szCs w:val="22"/>
        </w:rPr>
        <w:t>m</w:t>
      </w:r>
      <w:r w:rsidRPr="00E54E1A">
        <w:rPr>
          <w:sz w:val="22"/>
          <w:szCs w:val="22"/>
        </w:rPr>
        <w:t xml:space="preserve"> program</w:t>
      </w:r>
      <w:r>
        <w:rPr>
          <w:sz w:val="22"/>
          <w:szCs w:val="22"/>
        </w:rPr>
        <w:t>em</w:t>
      </w:r>
      <w:r w:rsidRPr="00E54E1A">
        <w:rPr>
          <w:sz w:val="22"/>
          <w:szCs w:val="22"/>
        </w:rPr>
        <w:t xml:space="preserve"> reforem (NPR) ČR navázala na iniciativu EU, jejímž cílem bylo vytvořit nový systém ř</w:t>
      </w:r>
      <w:r>
        <w:rPr>
          <w:sz w:val="22"/>
          <w:szCs w:val="22"/>
        </w:rPr>
        <w:t>ízení Lisabonské agendy. NPR má</w:t>
      </w:r>
      <w:r w:rsidRPr="00E54E1A">
        <w:rPr>
          <w:sz w:val="22"/>
          <w:szCs w:val="22"/>
        </w:rPr>
        <w:t xml:space="preserve"> přispět k zjednodušení a zefektivnění dosavadní praxe při koordinaci hospodářských politik na úrovni EU i členských států a zajistit větší identifikaci těchto států se stanovenými prioritami Lisabonského procesu.</w:t>
      </w:r>
    </w:p>
    <w:p w:rsidR="00A75862" w:rsidRDefault="00A75862" w:rsidP="000F4DBC">
      <w:pPr>
        <w:jc w:val="both"/>
        <w:rPr>
          <w:sz w:val="22"/>
          <w:szCs w:val="22"/>
        </w:rPr>
      </w:pPr>
    </w:p>
    <w:p w:rsidR="00A75862" w:rsidRDefault="00A75862" w:rsidP="000F4DBC">
      <w:pPr>
        <w:jc w:val="both"/>
        <w:rPr>
          <w:sz w:val="22"/>
          <w:szCs w:val="22"/>
        </w:rPr>
      </w:pPr>
      <w:r w:rsidRPr="00351CDB">
        <w:rPr>
          <w:sz w:val="22"/>
          <w:szCs w:val="22"/>
        </w:rPr>
        <w:t xml:space="preserve">IOP navazuje na principy Lisabonské strategie, které jsou postaveny na rozvoji informační a znalostní společnosti a na investicích do lidského kapitálu. Hlavními prostředky, kterými IOP naplňuje principy Lisabonské strategie, je posilování ústřední státní správy a územní veřejné správy, zvyšování kvality </w:t>
      </w:r>
      <w:r w:rsidR="000B568E">
        <w:rPr>
          <w:sz w:val="22"/>
          <w:szCs w:val="22"/>
        </w:rPr>
        <w:br/>
      </w:r>
      <w:r w:rsidRPr="00351CDB">
        <w:rPr>
          <w:sz w:val="22"/>
          <w:szCs w:val="22"/>
        </w:rPr>
        <w:t>a dostupnosti veřejných služeb a eliminace regionálních disparit efektivním využitím socioekonomických zdrojů.</w:t>
      </w:r>
    </w:p>
    <w:p w:rsidR="00A75862" w:rsidRPr="00E54E1A" w:rsidRDefault="00A75862" w:rsidP="000F4DBC">
      <w:pPr>
        <w:jc w:val="both"/>
        <w:rPr>
          <w:sz w:val="22"/>
          <w:szCs w:val="22"/>
        </w:rPr>
      </w:pPr>
    </w:p>
    <w:p w:rsidR="00A75862" w:rsidRPr="00DD3518" w:rsidRDefault="003E7B92" w:rsidP="009D60FB">
      <w:pPr>
        <w:pStyle w:val="Tabulkanzev"/>
      </w:pPr>
      <w:r>
        <w:t xml:space="preserve"> </w:t>
      </w:r>
      <w:bookmarkStart w:id="10" w:name="_Toc416431793"/>
      <w:r w:rsidR="00A75862" w:rsidRPr="009026D3">
        <w:t>Vazba IOP na NPR</w:t>
      </w:r>
      <w:bookmarkEnd w:id="10"/>
    </w:p>
    <w:tbl>
      <w:tblPr>
        <w:tblW w:w="9061"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4111"/>
        <w:gridCol w:w="1276"/>
        <w:gridCol w:w="1276"/>
        <w:gridCol w:w="1275"/>
        <w:gridCol w:w="1123"/>
      </w:tblGrid>
      <w:tr w:rsidR="006D203E" w:rsidRPr="00B56A0A" w:rsidTr="0079292E">
        <w:tc>
          <w:tcPr>
            <w:tcW w:w="4111" w:type="dxa"/>
            <w:vMerge w:val="restart"/>
            <w:tcBorders>
              <w:top w:val="double" w:sz="4" w:space="0" w:color="4F6228"/>
              <w:left w:val="double" w:sz="4" w:space="0" w:color="4F6228"/>
              <w:right w:val="single" w:sz="6" w:space="0" w:color="4F6228"/>
            </w:tcBorders>
            <w:shd w:val="clear" w:color="auto" w:fill="C2D69B" w:themeFill="accent3" w:themeFillTint="99"/>
            <w:vAlign w:val="center"/>
          </w:tcPr>
          <w:p w:rsidR="006D203E" w:rsidRPr="00F95266" w:rsidRDefault="006D203E" w:rsidP="006D203E">
            <w:pPr>
              <w:jc w:val="center"/>
              <w:rPr>
                <w:rFonts w:cs="Arial"/>
                <w:b/>
                <w:sz w:val="18"/>
                <w:szCs w:val="18"/>
              </w:rPr>
            </w:pPr>
            <w:r w:rsidRPr="00F95266">
              <w:rPr>
                <w:rFonts w:cs="Arial"/>
                <w:b/>
                <w:sz w:val="18"/>
                <w:szCs w:val="18"/>
              </w:rPr>
              <w:t>Zaměření NPR</w:t>
            </w:r>
          </w:p>
        </w:tc>
        <w:tc>
          <w:tcPr>
            <w:tcW w:w="4950" w:type="dxa"/>
            <w:gridSpan w:val="4"/>
            <w:tcBorders>
              <w:top w:val="double" w:sz="4" w:space="0" w:color="4F6228"/>
              <w:left w:val="single" w:sz="6" w:space="0" w:color="4F6228"/>
              <w:bottom w:val="single" w:sz="6" w:space="0" w:color="4F6228"/>
              <w:right w:val="double" w:sz="4" w:space="0" w:color="4F6228"/>
            </w:tcBorders>
            <w:shd w:val="clear" w:color="auto" w:fill="C2D69B" w:themeFill="accent3" w:themeFillTint="99"/>
          </w:tcPr>
          <w:p w:rsidR="006D203E" w:rsidRPr="00F95266" w:rsidRDefault="006D203E" w:rsidP="006D203E">
            <w:pPr>
              <w:jc w:val="center"/>
              <w:rPr>
                <w:rFonts w:cs="Arial"/>
                <w:b/>
                <w:sz w:val="18"/>
                <w:szCs w:val="18"/>
              </w:rPr>
            </w:pPr>
            <w:r w:rsidRPr="00F95266">
              <w:rPr>
                <w:rFonts w:cs="Arial"/>
                <w:b/>
                <w:sz w:val="18"/>
                <w:szCs w:val="18"/>
              </w:rPr>
              <w:t>Prioritní oblasti IOP</w:t>
            </w:r>
          </w:p>
        </w:tc>
      </w:tr>
      <w:tr w:rsidR="006D203E" w:rsidRPr="00B56A0A" w:rsidTr="0079292E">
        <w:tc>
          <w:tcPr>
            <w:tcW w:w="4111" w:type="dxa"/>
            <w:vMerge/>
            <w:tcBorders>
              <w:left w:val="double" w:sz="4" w:space="0" w:color="4F6228"/>
              <w:bottom w:val="single" w:sz="6" w:space="0" w:color="4F6228"/>
              <w:right w:val="single" w:sz="6" w:space="0" w:color="4F6228"/>
            </w:tcBorders>
            <w:shd w:val="clear" w:color="auto" w:fill="C2D69B" w:themeFill="accent3" w:themeFillTint="99"/>
          </w:tcPr>
          <w:p w:rsidR="006D203E" w:rsidRPr="00F95266" w:rsidRDefault="006D203E" w:rsidP="002D12EC">
            <w:pPr>
              <w:rPr>
                <w:rFonts w:cs="Arial"/>
                <w:b/>
                <w:sz w:val="18"/>
                <w:szCs w:val="18"/>
              </w:rPr>
            </w:pPr>
          </w:p>
        </w:tc>
        <w:tc>
          <w:tcPr>
            <w:tcW w:w="1276"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F95266" w:rsidRDefault="006D203E" w:rsidP="002D12EC">
            <w:pPr>
              <w:rPr>
                <w:rFonts w:cs="Arial"/>
                <w:b/>
                <w:sz w:val="18"/>
                <w:szCs w:val="18"/>
              </w:rPr>
            </w:pPr>
            <w:r w:rsidRPr="00F95266">
              <w:rPr>
                <w:rFonts w:cs="Arial"/>
                <w:b/>
                <w:sz w:val="18"/>
                <w:szCs w:val="18"/>
              </w:rPr>
              <w:t xml:space="preserve">PO-1, PO-2 </w:t>
            </w:r>
          </w:p>
        </w:tc>
        <w:tc>
          <w:tcPr>
            <w:tcW w:w="1276"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F95266" w:rsidRDefault="006D203E" w:rsidP="00292700">
            <w:pPr>
              <w:jc w:val="center"/>
              <w:rPr>
                <w:rFonts w:cs="Arial"/>
                <w:b/>
                <w:sz w:val="18"/>
                <w:szCs w:val="18"/>
              </w:rPr>
            </w:pPr>
            <w:r w:rsidRPr="00F95266">
              <w:rPr>
                <w:rFonts w:cs="Arial"/>
                <w:b/>
                <w:sz w:val="18"/>
                <w:szCs w:val="18"/>
              </w:rPr>
              <w:t>PO-3</w:t>
            </w:r>
          </w:p>
        </w:tc>
        <w:tc>
          <w:tcPr>
            <w:tcW w:w="1275"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F95266" w:rsidRDefault="006D203E" w:rsidP="00292700">
            <w:pPr>
              <w:jc w:val="center"/>
              <w:rPr>
                <w:rFonts w:cs="Arial"/>
                <w:b/>
                <w:sz w:val="18"/>
                <w:szCs w:val="18"/>
              </w:rPr>
            </w:pPr>
            <w:r w:rsidRPr="00F95266">
              <w:rPr>
                <w:rFonts w:cs="Arial"/>
                <w:b/>
                <w:sz w:val="18"/>
                <w:szCs w:val="18"/>
              </w:rPr>
              <w:t>PO-4</w:t>
            </w:r>
          </w:p>
        </w:tc>
        <w:tc>
          <w:tcPr>
            <w:tcW w:w="1123" w:type="dxa"/>
            <w:tcBorders>
              <w:top w:val="single" w:sz="6" w:space="0" w:color="4F6228"/>
              <w:left w:val="single" w:sz="6" w:space="0" w:color="4F6228"/>
              <w:bottom w:val="single" w:sz="6" w:space="0" w:color="4F6228"/>
              <w:right w:val="double" w:sz="4" w:space="0" w:color="4F6228"/>
            </w:tcBorders>
            <w:shd w:val="clear" w:color="auto" w:fill="C2D69B" w:themeFill="accent3" w:themeFillTint="99"/>
          </w:tcPr>
          <w:p w:rsidR="006D203E" w:rsidRPr="00F95266" w:rsidRDefault="006D203E" w:rsidP="00292700">
            <w:pPr>
              <w:jc w:val="center"/>
              <w:rPr>
                <w:rFonts w:cs="Arial"/>
                <w:b/>
                <w:sz w:val="18"/>
                <w:szCs w:val="18"/>
              </w:rPr>
            </w:pPr>
            <w:r w:rsidRPr="00F95266">
              <w:rPr>
                <w:rFonts w:cs="Arial"/>
                <w:b/>
                <w:sz w:val="18"/>
                <w:szCs w:val="18"/>
              </w:rPr>
              <w:t>PO-5</w:t>
            </w:r>
          </w:p>
        </w:tc>
      </w:tr>
      <w:tr w:rsidR="00A75862" w:rsidRPr="00B56A0A" w:rsidTr="006D203E">
        <w:tc>
          <w:tcPr>
            <w:tcW w:w="9061" w:type="dxa"/>
            <w:gridSpan w:val="5"/>
            <w:tcBorders>
              <w:top w:val="single" w:sz="6" w:space="0" w:color="4F6228"/>
              <w:left w:val="double" w:sz="4" w:space="0" w:color="4F6228"/>
              <w:bottom w:val="single" w:sz="6" w:space="0" w:color="4F6228"/>
              <w:right w:val="double" w:sz="4" w:space="0" w:color="4F6228"/>
            </w:tcBorders>
            <w:shd w:val="clear" w:color="auto" w:fill="FFFFFF" w:themeFill="background1"/>
          </w:tcPr>
          <w:p w:rsidR="00A75862" w:rsidRPr="0079292E" w:rsidRDefault="00A75862" w:rsidP="002D12EC">
            <w:pPr>
              <w:rPr>
                <w:rFonts w:cs="Arial"/>
                <w:b/>
              </w:rPr>
            </w:pPr>
            <w:r w:rsidRPr="0079292E">
              <w:rPr>
                <w:rFonts w:cs="Arial"/>
                <w:b/>
              </w:rPr>
              <w:t>Makroekonomická část</w:t>
            </w:r>
          </w:p>
        </w:tc>
      </w:tr>
      <w:tr w:rsidR="00A75862" w:rsidRPr="00B56A0A"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Makroekonomická stabilita a udržitelný růst</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XX</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XX</w:t>
            </w: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XX</w:t>
            </w:r>
          </w:p>
        </w:tc>
      </w:tr>
      <w:tr w:rsidR="00A75862" w:rsidRPr="00B56A0A" w:rsidTr="006D203E">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79292E" w:rsidRDefault="00A75862" w:rsidP="002D12EC">
            <w:pPr>
              <w:rPr>
                <w:rFonts w:cs="Arial"/>
                <w:b/>
              </w:rPr>
            </w:pPr>
            <w:r w:rsidRPr="0079292E">
              <w:rPr>
                <w:rFonts w:cs="Arial"/>
                <w:b/>
              </w:rPr>
              <w:t>Mikroekonomická část</w:t>
            </w:r>
          </w:p>
        </w:tc>
      </w:tr>
      <w:tr w:rsidR="00A75862" w:rsidRPr="00B56A0A"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Podnikatelské prostředí</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r>
      <w:tr w:rsidR="00A75862" w:rsidRPr="00B56A0A"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Výzkum a vývoj, inovace</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p>
        </w:tc>
      </w:tr>
      <w:tr w:rsidR="00A75862" w:rsidRPr="00B56A0A"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Udržitelné využívání zdrojů</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r>
      <w:tr w:rsidR="00A75862" w:rsidRPr="00B56A0A"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Modernizace a rozvoj dopravních a ICT sítí</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XX</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p>
        </w:tc>
      </w:tr>
      <w:tr w:rsidR="00A75862" w:rsidRPr="00B56A0A" w:rsidTr="006D203E">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79292E" w:rsidRDefault="00A75862" w:rsidP="002D12EC">
            <w:pPr>
              <w:tabs>
                <w:tab w:val="left" w:pos="2065"/>
              </w:tabs>
              <w:rPr>
                <w:rFonts w:cs="Arial"/>
                <w:b/>
              </w:rPr>
            </w:pPr>
            <w:r w:rsidRPr="0079292E">
              <w:rPr>
                <w:rFonts w:cs="Arial"/>
                <w:b/>
              </w:rPr>
              <w:t>část Zaměstnanost</w:t>
            </w:r>
            <w:r w:rsidRPr="0079292E">
              <w:rPr>
                <w:rFonts w:cs="Arial"/>
                <w:b/>
              </w:rPr>
              <w:tab/>
            </w:r>
          </w:p>
        </w:tc>
      </w:tr>
      <w:tr w:rsidR="00A75862" w:rsidRPr="00B56A0A"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Flexibilita na trhu práce</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r>
      <w:tr w:rsidR="00A75862" w:rsidRPr="00B56A0A"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Začleňování na trhu práce</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p>
        </w:tc>
      </w:tr>
      <w:tr w:rsidR="00A75862" w:rsidRPr="00B56A0A" w:rsidTr="0079292E">
        <w:tc>
          <w:tcPr>
            <w:tcW w:w="4111" w:type="dxa"/>
            <w:tcBorders>
              <w:top w:val="single" w:sz="6" w:space="0" w:color="4F6228"/>
              <w:left w:val="double" w:sz="4" w:space="0" w:color="4F6228"/>
              <w:bottom w:val="double" w:sz="4" w:space="0" w:color="4F6228"/>
              <w:right w:val="single" w:sz="6" w:space="0" w:color="4F6228"/>
            </w:tcBorders>
            <w:shd w:val="clear" w:color="auto" w:fill="FFFFFF" w:themeFill="background1"/>
          </w:tcPr>
          <w:p w:rsidR="00A75862" w:rsidRPr="0079292E" w:rsidRDefault="00A75862" w:rsidP="002D12EC">
            <w:pPr>
              <w:rPr>
                <w:rFonts w:cs="Arial"/>
              </w:rPr>
            </w:pPr>
            <w:r w:rsidRPr="0079292E">
              <w:rPr>
                <w:rFonts w:cs="Arial"/>
              </w:rPr>
              <w:t>Vzdělávání</w:t>
            </w:r>
          </w:p>
        </w:tc>
        <w:tc>
          <w:tcPr>
            <w:tcW w:w="1276" w:type="dxa"/>
            <w:tcBorders>
              <w:top w:val="single" w:sz="6" w:space="0" w:color="4F6228"/>
              <w:left w:val="single" w:sz="6" w:space="0" w:color="4F6228"/>
              <w:bottom w:val="double" w:sz="4"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6" w:type="dxa"/>
            <w:tcBorders>
              <w:top w:val="single" w:sz="6" w:space="0" w:color="4F6228"/>
              <w:left w:val="single" w:sz="6" w:space="0" w:color="4F6228"/>
              <w:bottom w:val="double" w:sz="4"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r w:rsidRPr="00F95266">
              <w:rPr>
                <w:rFonts w:cs="Arial"/>
                <w:sz w:val="18"/>
                <w:szCs w:val="18"/>
              </w:rPr>
              <w:t>X</w:t>
            </w:r>
          </w:p>
        </w:tc>
        <w:tc>
          <w:tcPr>
            <w:tcW w:w="1275" w:type="dxa"/>
            <w:tcBorders>
              <w:top w:val="single" w:sz="6" w:space="0" w:color="4F6228"/>
              <w:left w:val="single" w:sz="6" w:space="0" w:color="4F6228"/>
              <w:bottom w:val="double" w:sz="4" w:space="0" w:color="4F6228"/>
              <w:right w:val="single" w:sz="6" w:space="0" w:color="4F6228"/>
            </w:tcBorders>
            <w:shd w:val="clear" w:color="auto" w:fill="FFFFFF" w:themeFill="background1"/>
          </w:tcPr>
          <w:p w:rsidR="00A75862" w:rsidRPr="00F95266" w:rsidRDefault="00A75862" w:rsidP="00292700">
            <w:pPr>
              <w:jc w:val="center"/>
              <w:rPr>
                <w:rFonts w:cs="Arial"/>
                <w:sz w:val="18"/>
                <w:szCs w:val="18"/>
              </w:rPr>
            </w:pPr>
          </w:p>
        </w:tc>
        <w:tc>
          <w:tcPr>
            <w:tcW w:w="1123" w:type="dxa"/>
            <w:tcBorders>
              <w:top w:val="single" w:sz="6" w:space="0" w:color="4F6228"/>
              <w:left w:val="single" w:sz="6" w:space="0" w:color="4F6228"/>
              <w:bottom w:val="double" w:sz="4" w:space="0" w:color="4F6228"/>
              <w:right w:val="double" w:sz="4" w:space="0" w:color="4F6228"/>
            </w:tcBorders>
            <w:shd w:val="clear" w:color="auto" w:fill="FFFFFF" w:themeFill="background1"/>
          </w:tcPr>
          <w:p w:rsidR="00A75862" w:rsidRPr="00F95266" w:rsidRDefault="00A75862" w:rsidP="00292700">
            <w:pPr>
              <w:jc w:val="center"/>
              <w:rPr>
                <w:rFonts w:cs="Arial"/>
                <w:sz w:val="18"/>
                <w:szCs w:val="18"/>
              </w:rPr>
            </w:pPr>
          </w:p>
        </w:tc>
      </w:tr>
    </w:tbl>
    <w:p w:rsidR="00A75862" w:rsidRPr="007722D0" w:rsidRDefault="00A75862" w:rsidP="000F4DBC">
      <w:pPr>
        <w:spacing w:before="60"/>
        <w:jc w:val="both"/>
        <w:rPr>
          <w:i/>
          <w:sz w:val="18"/>
          <w:szCs w:val="18"/>
        </w:rPr>
      </w:pPr>
      <w:r w:rsidRPr="007722D0">
        <w:rPr>
          <w:i/>
          <w:sz w:val="18"/>
          <w:szCs w:val="18"/>
        </w:rPr>
        <w:t>P</w:t>
      </w:r>
      <w:r>
        <w:rPr>
          <w:i/>
          <w:sz w:val="18"/>
          <w:szCs w:val="18"/>
        </w:rPr>
        <w:t>ozn.</w:t>
      </w:r>
      <w:r w:rsidRPr="007722D0">
        <w:rPr>
          <w:i/>
          <w:sz w:val="18"/>
          <w:szCs w:val="18"/>
        </w:rPr>
        <w:t xml:space="preserve">: </w:t>
      </w:r>
      <w:proofErr w:type="gramStart"/>
      <w:r w:rsidRPr="007722D0">
        <w:rPr>
          <w:i/>
          <w:sz w:val="18"/>
          <w:szCs w:val="18"/>
        </w:rPr>
        <w:t>XX</w:t>
      </w:r>
      <w:proofErr w:type="gramEnd"/>
      <w:r w:rsidRPr="007722D0">
        <w:rPr>
          <w:i/>
          <w:sz w:val="18"/>
          <w:szCs w:val="18"/>
        </w:rPr>
        <w:t xml:space="preserve"> –</w:t>
      </w:r>
      <w:proofErr w:type="gramStart"/>
      <w:r w:rsidRPr="007722D0">
        <w:rPr>
          <w:i/>
          <w:sz w:val="18"/>
          <w:szCs w:val="18"/>
        </w:rPr>
        <w:t>přímá</w:t>
      </w:r>
      <w:proofErr w:type="gramEnd"/>
      <w:r w:rsidRPr="007722D0">
        <w:rPr>
          <w:i/>
          <w:sz w:val="18"/>
          <w:szCs w:val="18"/>
        </w:rPr>
        <w:t xml:space="preserve"> vazba; X – nepřímá vazba</w:t>
      </w:r>
    </w:p>
    <w:p w:rsidR="00A75862" w:rsidRDefault="00A75862" w:rsidP="000F4DBC">
      <w:pPr>
        <w:jc w:val="both"/>
        <w:rPr>
          <w:i/>
          <w:sz w:val="18"/>
          <w:szCs w:val="18"/>
        </w:rPr>
      </w:pPr>
      <w:r w:rsidRPr="007722D0">
        <w:rPr>
          <w:i/>
          <w:sz w:val="18"/>
          <w:szCs w:val="18"/>
        </w:rPr>
        <w:t xml:space="preserve">Zdroj: Programový dokument, </w:t>
      </w:r>
      <w:r w:rsidRPr="00E85056">
        <w:rPr>
          <w:i/>
          <w:sz w:val="18"/>
          <w:szCs w:val="18"/>
        </w:rPr>
        <w:t>prosinec 201</w:t>
      </w:r>
      <w:r>
        <w:rPr>
          <w:i/>
          <w:sz w:val="18"/>
          <w:szCs w:val="18"/>
        </w:rPr>
        <w:t>3</w:t>
      </w:r>
    </w:p>
    <w:p w:rsidR="00E62038" w:rsidRDefault="00E62038" w:rsidP="000F4DBC">
      <w:pPr>
        <w:jc w:val="both"/>
        <w:rPr>
          <w:i/>
          <w:sz w:val="18"/>
          <w:szCs w:val="18"/>
        </w:rPr>
      </w:pPr>
    </w:p>
    <w:p w:rsidR="00D60F8D" w:rsidRPr="007722D0" w:rsidRDefault="00D60F8D" w:rsidP="000F4DBC">
      <w:pPr>
        <w:jc w:val="both"/>
        <w:rPr>
          <w:i/>
          <w:sz w:val="18"/>
          <w:szCs w:val="18"/>
        </w:rPr>
      </w:pPr>
    </w:p>
    <w:p w:rsidR="00A75862" w:rsidRDefault="00A75862" w:rsidP="000F4DBC">
      <w:pPr>
        <w:jc w:val="both"/>
        <w:rPr>
          <w:b/>
          <w:sz w:val="22"/>
          <w:szCs w:val="22"/>
        </w:rPr>
      </w:pPr>
      <w:r>
        <w:rPr>
          <w:b/>
          <w:sz w:val="22"/>
          <w:szCs w:val="22"/>
        </w:rPr>
        <w:t>Strategické obecné zásady EU</w:t>
      </w:r>
    </w:p>
    <w:p w:rsidR="00A75862" w:rsidRPr="00FE0E69" w:rsidRDefault="00A75862" w:rsidP="000F4DBC">
      <w:pPr>
        <w:jc w:val="both"/>
        <w:rPr>
          <w:sz w:val="22"/>
          <w:szCs w:val="22"/>
        </w:rPr>
      </w:pPr>
      <w:r w:rsidRPr="00FE0E69">
        <w:rPr>
          <w:sz w:val="22"/>
          <w:szCs w:val="22"/>
        </w:rPr>
        <w:t>Strategie využití finančních prostředků ze strukturálních fondů EU v programovacím období 2007–2013 vychází z Rozhodnutí Rady (ES) ze dne 6. října 2006 o Strategických obecných zásadách Společenství pro soudržnost</w:t>
      </w:r>
      <w:r w:rsidR="00FC3722">
        <w:rPr>
          <w:sz w:val="22"/>
          <w:szCs w:val="22"/>
        </w:rPr>
        <w:t xml:space="preserve"> (dále jen „SOZS“; </w:t>
      </w:r>
      <w:r w:rsidRPr="00FE0E69">
        <w:rPr>
          <w:sz w:val="22"/>
          <w:szCs w:val="22"/>
        </w:rPr>
        <w:t>2006/702/ES). Toto rozhodnutí specifikuje v souladu s obecným nařízením strategické priority ES pro politiku soudržnosti za účelem posílení realizace Lisabonské strategie.</w:t>
      </w:r>
    </w:p>
    <w:p w:rsidR="00A75862" w:rsidRDefault="00A75862" w:rsidP="00F95266">
      <w:pPr>
        <w:jc w:val="both"/>
        <w:rPr>
          <w:sz w:val="22"/>
          <w:szCs w:val="22"/>
        </w:rPr>
      </w:pPr>
      <w:r w:rsidRPr="00FE0E69">
        <w:rPr>
          <w:sz w:val="22"/>
          <w:szCs w:val="22"/>
        </w:rPr>
        <w:t xml:space="preserve">IOP svým obsahem odráží zaměření všech obecných zásad ES </w:t>
      </w:r>
      <w:r>
        <w:rPr>
          <w:sz w:val="22"/>
          <w:szCs w:val="22"/>
        </w:rPr>
        <w:t>z</w:t>
      </w:r>
      <w:r w:rsidRPr="00FE0E69">
        <w:rPr>
          <w:sz w:val="22"/>
          <w:szCs w:val="22"/>
        </w:rPr>
        <w:t>působem</w:t>
      </w:r>
      <w:r>
        <w:rPr>
          <w:sz w:val="22"/>
          <w:szCs w:val="22"/>
        </w:rPr>
        <w:t xml:space="preserve"> uvedeným v následující tabulce.</w:t>
      </w:r>
    </w:p>
    <w:p w:rsidR="00D60F8D" w:rsidRDefault="00D60F8D" w:rsidP="00F95266">
      <w:pPr>
        <w:jc w:val="both"/>
        <w:rPr>
          <w:b/>
        </w:rPr>
      </w:pPr>
    </w:p>
    <w:p w:rsidR="00A75862" w:rsidRPr="009026D3" w:rsidRDefault="00EE4C33" w:rsidP="009D60FB">
      <w:pPr>
        <w:pStyle w:val="Tabulkanzev"/>
      </w:pPr>
      <w:r>
        <w:t xml:space="preserve"> </w:t>
      </w:r>
      <w:bookmarkStart w:id="11" w:name="_Toc416431794"/>
      <w:r w:rsidR="00A75862" w:rsidRPr="009026D3">
        <w:t>Vazba IOP na SOZS</w:t>
      </w:r>
      <w:bookmarkEnd w:id="11"/>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5383"/>
        <w:gridCol w:w="1134"/>
        <w:gridCol w:w="850"/>
        <w:gridCol w:w="851"/>
        <w:gridCol w:w="843"/>
      </w:tblGrid>
      <w:tr w:rsidR="006D203E" w:rsidRPr="00B56A0A" w:rsidTr="000B2CE5">
        <w:trPr>
          <w:trHeight w:val="298"/>
          <w:tblHeader/>
          <w:jc w:val="center"/>
        </w:trPr>
        <w:tc>
          <w:tcPr>
            <w:tcW w:w="5383" w:type="dxa"/>
            <w:vMerge w:val="restart"/>
            <w:tcBorders>
              <w:top w:val="double" w:sz="4" w:space="0" w:color="4F6228"/>
              <w:left w:val="double" w:sz="4" w:space="0" w:color="4F6228"/>
              <w:right w:val="single" w:sz="6" w:space="0" w:color="4F6228"/>
            </w:tcBorders>
            <w:shd w:val="clear" w:color="auto" w:fill="C2D69B" w:themeFill="accent3" w:themeFillTint="99"/>
            <w:vAlign w:val="center"/>
          </w:tcPr>
          <w:p w:rsidR="006D203E" w:rsidRPr="00F95266" w:rsidRDefault="006D203E" w:rsidP="00F0737E">
            <w:pPr>
              <w:jc w:val="center"/>
              <w:rPr>
                <w:b/>
                <w:sz w:val="18"/>
                <w:szCs w:val="18"/>
              </w:rPr>
            </w:pPr>
            <w:r w:rsidRPr="00F95266">
              <w:rPr>
                <w:b/>
                <w:sz w:val="18"/>
                <w:szCs w:val="18"/>
              </w:rPr>
              <w:t>Zaměření SOZS</w:t>
            </w:r>
          </w:p>
        </w:tc>
        <w:tc>
          <w:tcPr>
            <w:tcW w:w="3678" w:type="dxa"/>
            <w:gridSpan w:val="4"/>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6D203E" w:rsidRPr="00F95266" w:rsidRDefault="006D203E" w:rsidP="00F0737E">
            <w:pPr>
              <w:jc w:val="center"/>
              <w:rPr>
                <w:b/>
                <w:sz w:val="18"/>
                <w:szCs w:val="18"/>
              </w:rPr>
            </w:pPr>
            <w:r w:rsidRPr="00F95266">
              <w:rPr>
                <w:b/>
                <w:sz w:val="18"/>
                <w:szCs w:val="18"/>
              </w:rPr>
              <w:t>Prioritní oblast IOP</w:t>
            </w:r>
          </w:p>
        </w:tc>
      </w:tr>
      <w:tr w:rsidR="006D203E" w:rsidRPr="00B56A0A" w:rsidTr="000B2CE5">
        <w:trPr>
          <w:tblHeader/>
          <w:jc w:val="center"/>
        </w:trPr>
        <w:tc>
          <w:tcPr>
            <w:tcW w:w="5383" w:type="dxa"/>
            <w:vMerge/>
            <w:tcBorders>
              <w:left w:val="double" w:sz="4" w:space="0" w:color="4F6228"/>
              <w:bottom w:val="single" w:sz="6" w:space="0" w:color="4F6228"/>
              <w:right w:val="single" w:sz="6" w:space="0" w:color="4F6228"/>
            </w:tcBorders>
            <w:shd w:val="clear" w:color="auto" w:fill="C2D69B" w:themeFill="accent3" w:themeFillTint="99"/>
          </w:tcPr>
          <w:p w:rsidR="006D203E" w:rsidRPr="00F95266" w:rsidRDefault="006D203E" w:rsidP="002D12EC">
            <w:pPr>
              <w:rPr>
                <w:b/>
                <w:sz w:val="18"/>
                <w:szCs w:val="18"/>
              </w:rPr>
            </w:pPr>
          </w:p>
        </w:tc>
        <w:tc>
          <w:tcPr>
            <w:tcW w:w="1134"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F95266" w:rsidRDefault="006D203E" w:rsidP="00A61BFB">
            <w:pPr>
              <w:jc w:val="center"/>
              <w:rPr>
                <w:b/>
                <w:sz w:val="18"/>
                <w:szCs w:val="18"/>
              </w:rPr>
            </w:pPr>
            <w:r w:rsidRPr="00F95266">
              <w:rPr>
                <w:b/>
                <w:sz w:val="18"/>
                <w:szCs w:val="18"/>
              </w:rPr>
              <w:t>PO-1, PO-2</w:t>
            </w:r>
          </w:p>
        </w:tc>
        <w:tc>
          <w:tcPr>
            <w:tcW w:w="850"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F95266" w:rsidRDefault="006D203E" w:rsidP="00A61BFB">
            <w:pPr>
              <w:jc w:val="center"/>
              <w:rPr>
                <w:b/>
                <w:sz w:val="18"/>
                <w:szCs w:val="18"/>
              </w:rPr>
            </w:pPr>
            <w:r w:rsidRPr="00F95266">
              <w:rPr>
                <w:b/>
                <w:sz w:val="18"/>
                <w:szCs w:val="18"/>
              </w:rPr>
              <w:t>PO-3</w:t>
            </w:r>
          </w:p>
        </w:tc>
        <w:tc>
          <w:tcPr>
            <w:tcW w:w="851"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F95266" w:rsidRDefault="006D203E" w:rsidP="00A61BFB">
            <w:pPr>
              <w:jc w:val="center"/>
              <w:rPr>
                <w:b/>
                <w:sz w:val="18"/>
                <w:szCs w:val="18"/>
              </w:rPr>
            </w:pPr>
            <w:r w:rsidRPr="00F95266">
              <w:rPr>
                <w:b/>
                <w:sz w:val="18"/>
                <w:szCs w:val="18"/>
              </w:rPr>
              <w:t>P-O4</w:t>
            </w:r>
          </w:p>
        </w:tc>
        <w:tc>
          <w:tcPr>
            <w:tcW w:w="843" w:type="dxa"/>
            <w:tcBorders>
              <w:top w:val="single" w:sz="6" w:space="0" w:color="4F6228"/>
              <w:left w:val="single" w:sz="6" w:space="0" w:color="4F6228"/>
              <w:bottom w:val="single" w:sz="6" w:space="0" w:color="4F6228"/>
              <w:right w:val="double" w:sz="4" w:space="0" w:color="4F6228"/>
            </w:tcBorders>
            <w:shd w:val="clear" w:color="auto" w:fill="C2D69B" w:themeFill="accent3" w:themeFillTint="99"/>
          </w:tcPr>
          <w:p w:rsidR="006D203E" w:rsidRPr="00F95266" w:rsidRDefault="006D203E" w:rsidP="00A61BFB">
            <w:pPr>
              <w:jc w:val="center"/>
              <w:rPr>
                <w:b/>
                <w:sz w:val="18"/>
                <w:szCs w:val="18"/>
              </w:rPr>
            </w:pPr>
            <w:r w:rsidRPr="00F95266">
              <w:rPr>
                <w:b/>
                <w:sz w:val="18"/>
                <w:szCs w:val="18"/>
              </w:rPr>
              <w:t>PO-5</w:t>
            </w:r>
          </w:p>
        </w:tc>
      </w:tr>
      <w:tr w:rsidR="00A75862" w:rsidRPr="00B56A0A" w:rsidTr="008D2EB9">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hemeFill="accent3" w:themeFillTint="99"/>
          </w:tcPr>
          <w:p w:rsidR="00A75862" w:rsidRPr="00167A84" w:rsidRDefault="00A75862" w:rsidP="002D12EC">
            <w:pPr>
              <w:rPr>
                <w:b/>
              </w:rPr>
            </w:pPr>
            <w:r w:rsidRPr="00167A84">
              <w:rPr>
                <w:b/>
              </w:rPr>
              <w:t>Obecná zásada I.: Přitažlivější Evropa a regiony Evropy pro investory a pracující</w:t>
            </w: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167A84" w:rsidRDefault="00A75862" w:rsidP="002D12EC">
            <w:r w:rsidRPr="00167A84">
              <w:t>Rozšíření a zlepšení dopravních struktur</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r w:rsidRPr="00F95266">
              <w:rPr>
                <w:sz w:val="18"/>
                <w:szCs w:val="18"/>
              </w:rPr>
              <w:t>X</w:t>
            </w: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167A84" w:rsidRDefault="00A75862" w:rsidP="002D12EC">
            <w:r w:rsidRPr="00167A84">
              <w:t>Posílení součinnosti mezi ochranou životního prostředí a růstem</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r w:rsidRPr="00F95266">
              <w:rPr>
                <w:sz w:val="18"/>
                <w:szCs w:val="18"/>
              </w:rPr>
              <w:t>X</w:t>
            </w: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167A84" w:rsidRDefault="00A75862" w:rsidP="002D12EC">
            <w:r w:rsidRPr="00167A84">
              <w:t>Řešení intenzivního využívání tradičních zdrojů energie v Evropě</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p>
        </w:tc>
      </w:tr>
      <w:tr w:rsidR="00A75862" w:rsidRPr="00B56A0A" w:rsidTr="006D203E">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167A84" w:rsidRDefault="00A75862" w:rsidP="002D12EC">
            <w:pPr>
              <w:rPr>
                <w:b/>
              </w:rPr>
            </w:pPr>
            <w:r w:rsidRPr="00167A84">
              <w:rPr>
                <w:b/>
              </w:rPr>
              <w:t>Obecná zásada II.: Zlepšení znalostí a inovace: cesta k růstu</w:t>
            </w: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167A84" w:rsidRDefault="00A75862" w:rsidP="002D12EC">
            <w:r w:rsidRPr="00167A84">
              <w:t>Zvýšit a zlepšit investice do výzkumu a technologického rozvoje</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r w:rsidRPr="00F95266">
              <w:rPr>
                <w:sz w:val="18"/>
                <w:szCs w:val="18"/>
              </w:rPr>
              <w:t>X</w:t>
            </w: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167A84" w:rsidRDefault="00A75862" w:rsidP="002D12EC">
            <w:r w:rsidRPr="00167A84">
              <w:t>Usnadnit inovace a podporovat podnikavost</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3333CF" w:rsidRDefault="00A75862" w:rsidP="002D12EC">
            <w:r w:rsidRPr="003333CF">
              <w:lastRenderedPageBreak/>
              <w:t>Podporovat informační společnost pro všechny</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3333CF" w:rsidRDefault="00A75862" w:rsidP="002D12EC">
            <w:r w:rsidRPr="003333CF">
              <w:t xml:space="preserve">Zlepšit přístup k financím </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p>
        </w:tc>
      </w:tr>
      <w:tr w:rsidR="00A75862" w:rsidRPr="00B56A0A" w:rsidTr="006D203E">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3333CF" w:rsidRDefault="00A75862" w:rsidP="002D12EC">
            <w:pPr>
              <w:rPr>
                <w:b/>
              </w:rPr>
            </w:pPr>
            <w:r w:rsidRPr="003333CF">
              <w:rPr>
                <w:b/>
              </w:rPr>
              <w:t>Obecná zásada III.: Vytváření více a lepších pracovních míst</w:t>
            </w: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3333CF" w:rsidRDefault="00A75862" w:rsidP="002D12EC">
            <w:r w:rsidRPr="003333CF">
              <w:t>Přivést více lidí do zaměstnání, zajistit jejich setrvání v zaměstnání a modernizovat systémy sociální ochrany</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r w:rsidRPr="00F95266">
              <w:rPr>
                <w:sz w:val="18"/>
                <w:szCs w:val="18"/>
              </w:rPr>
              <w:t>X</w:t>
            </w: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3333CF" w:rsidRDefault="00A75862" w:rsidP="002D12EC">
            <w:r w:rsidRPr="003333CF">
              <w:t xml:space="preserve">Zvýšit přizpůsobivost pracujících a podniků </w:t>
            </w:r>
            <w:r w:rsidR="00BF1E8D" w:rsidRPr="003333CF">
              <w:br/>
            </w:r>
            <w:r w:rsidRPr="003333CF">
              <w:t xml:space="preserve">a pružnost trhů práce </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3333CF" w:rsidRDefault="00A75862" w:rsidP="002D12EC">
            <w:r w:rsidRPr="003333CF">
              <w:t xml:space="preserve">Zvýšit investice do lidského kapitálu prostřednictvím lepšího vzdělávání </w:t>
            </w:r>
            <w:r w:rsidR="00BF1E8D" w:rsidRPr="003333CF">
              <w:br/>
            </w:r>
            <w:r w:rsidRPr="003333CF">
              <w:t>a kvalifikace</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p>
        </w:tc>
      </w:tr>
      <w:tr w:rsidR="00A75862" w:rsidRPr="00B56A0A" w:rsidTr="00843F1F">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3333CF" w:rsidRDefault="00A75862" w:rsidP="002D12EC">
            <w:r w:rsidRPr="003333CF">
              <w:t>Správní kapacita</w:t>
            </w:r>
          </w:p>
        </w:tc>
        <w:tc>
          <w:tcPr>
            <w:tcW w:w="1134"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XX</w:t>
            </w:r>
          </w:p>
        </w:tc>
        <w:tc>
          <w:tcPr>
            <w:tcW w:w="850"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XX</w:t>
            </w:r>
          </w:p>
        </w:tc>
        <w:tc>
          <w:tcPr>
            <w:tcW w:w="851" w:type="dxa"/>
            <w:tcBorders>
              <w:top w:val="single" w:sz="6" w:space="0" w:color="4F6228"/>
              <w:left w:val="single" w:sz="6" w:space="0" w:color="4F6228"/>
              <w:bottom w:val="single" w:sz="6"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single" w:sz="6" w:space="0" w:color="4F6228"/>
              <w:right w:val="double" w:sz="4" w:space="0" w:color="4F6228"/>
            </w:tcBorders>
            <w:vAlign w:val="center"/>
          </w:tcPr>
          <w:p w:rsidR="00A75862" w:rsidRPr="00F95266" w:rsidRDefault="00A75862" w:rsidP="00843F1F">
            <w:pPr>
              <w:jc w:val="center"/>
              <w:rPr>
                <w:sz w:val="18"/>
                <w:szCs w:val="18"/>
              </w:rPr>
            </w:pPr>
          </w:p>
        </w:tc>
      </w:tr>
      <w:tr w:rsidR="00A75862" w:rsidRPr="00B56A0A" w:rsidTr="00843F1F">
        <w:trPr>
          <w:jc w:val="center"/>
        </w:trPr>
        <w:tc>
          <w:tcPr>
            <w:tcW w:w="5383" w:type="dxa"/>
            <w:tcBorders>
              <w:top w:val="single" w:sz="6" w:space="0" w:color="4F6228"/>
              <w:left w:val="double" w:sz="4" w:space="0" w:color="4F6228"/>
              <w:bottom w:val="double" w:sz="4" w:space="0" w:color="4F6228"/>
              <w:right w:val="single" w:sz="6" w:space="0" w:color="4F6228"/>
            </w:tcBorders>
            <w:shd w:val="clear" w:color="auto" w:fill="FFFFFF" w:themeFill="background1"/>
          </w:tcPr>
          <w:p w:rsidR="00A75862" w:rsidRPr="003333CF" w:rsidRDefault="00A75862" w:rsidP="002D12EC">
            <w:r w:rsidRPr="003333CF">
              <w:t>Pomoci udržet zdravou pracovní sílu</w:t>
            </w:r>
          </w:p>
        </w:tc>
        <w:tc>
          <w:tcPr>
            <w:tcW w:w="1134" w:type="dxa"/>
            <w:tcBorders>
              <w:top w:val="single" w:sz="6" w:space="0" w:color="4F6228"/>
              <w:left w:val="single" w:sz="6" w:space="0" w:color="4F6228"/>
              <w:bottom w:val="double" w:sz="4" w:space="0" w:color="4F6228"/>
              <w:right w:val="single" w:sz="6" w:space="0" w:color="4F6228"/>
            </w:tcBorders>
            <w:vAlign w:val="center"/>
          </w:tcPr>
          <w:p w:rsidR="00A75862" w:rsidRPr="00F95266" w:rsidRDefault="00A75862" w:rsidP="00843F1F">
            <w:pPr>
              <w:jc w:val="center"/>
              <w:rPr>
                <w:sz w:val="18"/>
                <w:szCs w:val="18"/>
              </w:rPr>
            </w:pPr>
          </w:p>
        </w:tc>
        <w:tc>
          <w:tcPr>
            <w:tcW w:w="850" w:type="dxa"/>
            <w:tcBorders>
              <w:top w:val="single" w:sz="6" w:space="0" w:color="4F6228"/>
              <w:left w:val="single" w:sz="6" w:space="0" w:color="4F6228"/>
              <w:bottom w:val="double" w:sz="4" w:space="0" w:color="4F6228"/>
              <w:right w:val="single" w:sz="6" w:space="0" w:color="4F6228"/>
            </w:tcBorders>
            <w:vAlign w:val="center"/>
          </w:tcPr>
          <w:p w:rsidR="00A75862" w:rsidRPr="00F95266" w:rsidRDefault="00A75862" w:rsidP="00843F1F">
            <w:pPr>
              <w:jc w:val="center"/>
              <w:rPr>
                <w:sz w:val="18"/>
                <w:szCs w:val="18"/>
              </w:rPr>
            </w:pPr>
            <w:r w:rsidRPr="00F95266">
              <w:rPr>
                <w:sz w:val="18"/>
                <w:szCs w:val="18"/>
              </w:rPr>
              <w:t>XX</w:t>
            </w:r>
          </w:p>
        </w:tc>
        <w:tc>
          <w:tcPr>
            <w:tcW w:w="851" w:type="dxa"/>
            <w:tcBorders>
              <w:top w:val="single" w:sz="6" w:space="0" w:color="4F6228"/>
              <w:left w:val="single" w:sz="6" w:space="0" w:color="4F6228"/>
              <w:bottom w:val="double" w:sz="4" w:space="0" w:color="4F6228"/>
              <w:right w:val="single" w:sz="6" w:space="0" w:color="4F6228"/>
            </w:tcBorders>
            <w:vAlign w:val="center"/>
          </w:tcPr>
          <w:p w:rsidR="00A75862" w:rsidRPr="00F95266" w:rsidRDefault="00A75862" w:rsidP="00843F1F">
            <w:pPr>
              <w:jc w:val="center"/>
              <w:rPr>
                <w:sz w:val="18"/>
                <w:szCs w:val="18"/>
              </w:rPr>
            </w:pPr>
          </w:p>
        </w:tc>
        <w:tc>
          <w:tcPr>
            <w:tcW w:w="843" w:type="dxa"/>
            <w:tcBorders>
              <w:top w:val="single" w:sz="6" w:space="0" w:color="4F6228"/>
              <w:left w:val="single" w:sz="6" w:space="0" w:color="4F6228"/>
              <w:bottom w:val="double" w:sz="4" w:space="0" w:color="4F6228"/>
              <w:right w:val="double" w:sz="4" w:space="0" w:color="4F6228"/>
            </w:tcBorders>
            <w:vAlign w:val="center"/>
          </w:tcPr>
          <w:p w:rsidR="00A75862" w:rsidRPr="00F95266" w:rsidRDefault="00A75862" w:rsidP="00843F1F">
            <w:pPr>
              <w:jc w:val="center"/>
              <w:rPr>
                <w:sz w:val="18"/>
                <w:szCs w:val="18"/>
              </w:rPr>
            </w:pPr>
          </w:p>
        </w:tc>
      </w:tr>
    </w:tbl>
    <w:p w:rsidR="00A75862" w:rsidRPr="007722D0" w:rsidRDefault="00A75862" w:rsidP="008D0B64">
      <w:pPr>
        <w:jc w:val="both"/>
        <w:rPr>
          <w:i/>
          <w:sz w:val="18"/>
          <w:szCs w:val="18"/>
        </w:rPr>
      </w:pPr>
      <w:r w:rsidRPr="007722D0">
        <w:rPr>
          <w:i/>
          <w:sz w:val="18"/>
          <w:szCs w:val="18"/>
        </w:rPr>
        <w:t>P</w:t>
      </w:r>
      <w:r>
        <w:rPr>
          <w:i/>
          <w:sz w:val="18"/>
          <w:szCs w:val="18"/>
        </w:rPr>
        <w:t>ozn.</w:t>
      </w:r>
      <w:r w:rsidRPr="007722D0">
        <w:rPr>
          <w:i/>
          <w:sz w:val="18"/>
          <w:szCs w:val="18"/>
        </w:rPr>
        <w:t xml:space="preserve">: </w:t>
      </w:r>
      <w:proofErr w:type="gramStart"/>
      <w:r w:rsidRPr="007722D0">
        <w:rPr>
          <w:i/>
          <w:sz w:val="18"/>
          <w:szCs w:val="18"/>
        </w:rPr>
        <w:t>XX</w:t>
      </w:r>
      <w:proofErr w:type="gramEnd"/>
      <w:r w:rsidRPr="007722D0">
        <w:rPr>
          <w:i/>
          <w:sz w:val="18"/>
          <w:szCs w:val="18"/>
        </w:rPr>
        <w:t xml:space="preserve"> –</w:t>
      </w:r>
      <w:proofErr w:type="gramStart"/>
      <w:r w:rsidRPr="007722D0">
        <w:rPr>
          <w:i/>
          <w:sz w:val="18"/>
          <w:szCs w:val="18"/>
        </w:rPr>
        <w:t>přímá</w:t>
      </w:r>
      <w:proofErr w:type="gramEnd"/>
      <w:r w:rsidRPr="007722D0">
        <w:rPr>
          <w:i/>
          <w:sz w:val="18"/>
          <w:szCs w:val="18"/>
        </w:rPr>
        <w:t xml:space="preserve"> vazba; X – nepřímá vazba</w:t>
      </w:r>
    </w:p>
    <w:p w:rsidR="00A75862" w:rsidRPr="007722D0" w:rsidRDefault="00A75862" w:rsidP="008D0B64">
      <w:pPr>
        <w:jc w:val="both"/>
        <w:rPr>
          <w:i/>
          <w:sz w:val="18"/>
          <w:szCs w:val="18"/>
        </w:rPr>
      </w:pPr>
      <w:r w:rsidRPr="007722D0">
        <w:rPr>
          <w:i/>
          <w:sz w:val="18"/>
          <w:szCs w:val="18"/>
        </w:rPr>
        <w:t>Zdroj: Programový dokument</w:t>
      </w:r>
      <w:r w:rsidRPr="00D20A52">
        <w:rPr>
          <w:i/>
          <w:sz w:val="18"/>
          <w:szCs w:val="18"/>
        </w:rPr>
        <w:t xml:space="preserve">, </w:t>
      </w:r>
      <w:r w:rsidRPr="00E85056">
        <w:rPr>
          <w:i/>
          <w:sz w:val="18"/>
          <w:szCs w:val="18"/>
        </w:rPr>
        <w:t>prosinec 201</w:t>
      </w:r>
      <w:r>
        <w:rPr>
          <w:i/>
          <w:sz w:val="18"/>
          <w:szCs w:val="18"/>
        </w:rPr>
        <w:t>3</w:t>
      </w:r>
    </w:p>
    <w:p w:rsidR="00A75862" w:rsidRPr="00FE0E69" w:rsidRDefault="00A75862" w:rsidP="000F4DBC">
      <w:pPr>
        <w:jc w:val="both"/>
        <w:rPr>
          <w:sz w:val="22"/>
          <w:szCs w:val="22"/>
        </w:rPr>
      </w:pPr>
    </w:p>
    <w:p w:rsidR="00A75862" w:rsidRPr="00D570A9" w:rsidRDefault="00A75862" w:rsidP="000F4DBC">
      <w:pPr>
        <w:jc w:val="both"/>
        <w:rPr>
          <w:b/>
          <w:sz w:val="22"/>
          <w:szCs w:val="22"/>
        </w:rPr>
      </w:pPr>
      <w:r>
        <w:rPr>
          <w:b/>
          <w:sz w:val="22"/>
          <w:szCs w:val="22"/>
        </w:rPr>
        <w:t xml:space="preserve">Národní strategický referenční </w:t>
      </w:r>
      <w:r w:rsidRPr="00D570A9">
        <w:rPr>
          <w:b/>
          <w:sz w:val="22"/>
          <w:szCs w:val="22"/>
        </w:rPr>
        <w:t>rámec ČR 2007-2013</w:t>
      </w:r>
    </w:p>
    <w:p w:rsidR="00A75862" w:rsidRDefault="00A75862" w:rsidP="000F4DBC">
      <w:pPr>
        <w:jc w:val="both"/>
        <w:rPr>
          <w:sz w:val="22"/>
          <w:szCs w:val="22"/>
        </w:rPr>
      </w:pPr>
      <w:r>
        <w:rPr>
          <w:sz w:val="22"/>
          <w:szCs w:val="22"/>
        </w:rPr>
        <w:t xml:space="preserve">NSRR 2007–2013 </w:t>
      </w:r>
      <w:r w:rsidRPr="00351CDB">
        <w:rPr>
          <w:sz w:val="22"/>
          <w:szCs w:val="22"/>
        </w:rPr>
        <w:t>je základem pro zaměření intervencí ČR v rámci strukturálních fondů</w:t>
      </w:r>
      <w:r>
        <w:rPr>
          <w:sz w:val="22"/>
          <w:szCs w:val="22"/>
        </w:rPr>
        <w:t xml:space="preserve"> a hlavn</w:t>
      </w:r>
      <w:r w:rsidRPr="00351CDB">
        <w:rPr>
          <w:sz w:val="22"/>
          <w:szCs w:val="22"/>
        </w:rPr>
        <w:t>ím strategickým východiskem pro zpracování IOP</w:t>
      </w:r>
      <w:r>
        <w:rPr>
          <w:sz w:val="22"/>
          <w:szCs w:val="22"/>
        </w:rPr>
        <w:t xml:space="preserve">. </w:t>
      </w:r>
    </w:p>
    <w:p w:rsidR="00A75862" w:rsidRDefault="00A75862" w:rsidP="000F4DBC">
      <w:pPr>
        <w:jc w:val="both"/>
        <w:rPr>
          <w:sz w:val="22"/>
          <w:szCs w:val="22"/>
        </w:rPr>
      </w:pPr>
    </w:p>
    <w:p w:rsidR="00A75862" w:rsidRPr="002B3C63" w:rsidRDefault="00A75862" w:rsidP="000F4DBC">
      <w:pPr>
        <w:jc w:val="both"/>
        <w:rPr>
          <w:sz w:val="22"/>
          <w:szCs w:val="22"/>
        </w:rPr>
      </w:pPr>
      <w:r w:rsidRPr="002B3C63">
        <w:rPr>
          <w:sz w:val="22"/>
          <w:szCs w:val="22"/>
        </w:rPr>
        <w:t>Nejvýznamnější vazb</w:t>
      </w:r>
      <w:r>
        <w:rPr>
          <w:sz w:val="22"/>
          <w:szCs w:val="22"/>
        </w:rPr>
        <w:t>a</w:t>
      </w:r>
      <w:r w:rsidRPr="002B3C63">
        <w:rPr>
          <w:sz w:val="22"/>
          <w:szCs w:val="22"/>
        </w:rPr>
        <w:t xml:space="preserve"> IOP j</w:t>
      </w:r>
      <w:r>
        <w:rPr>
          <w:sz w:val="22"/>
          <w:szCs w:val="22"/>
        </w:rPr>
        <w:t>e</w:t>
      </w:r>
      <w:r w:rsidRPr="002B3C63">
        <w:rPr>
          <w:sz w:val="22"/>
          <w:szCs w:val="22"/>
        </w:rPr>
        <w:t xml:space="preserve"> na II. Strategický cíl </w:t>
      </w:r>
      <w:r>
        <w:rPr>
          <w:sz w:val="22"/>
          <w:szCs w:val="22"/>
        </w:rPr>
        <w:t>„</w:t>
      </w:r>
      <w:r w:rsidRPr="002B3C63">
        <w:rPr>
          <w:sz w:val="22"/>
          <w:szCs w:val="22"/>
        </w:rPr>
        <w:t>Otevřená, flexibilní a soudržná společnost</w:t>
      </w:r>
      <w:r>
        <w:rPr>
          <w:sz w:val="22"/>
          <w:szCs w:val="22"/>
        </w:rPr>
        <w:t>“</w:t>
      </w:r>
      <w:r w:rsidRPr="002B3C63">
        <w:rPr>
          <w:sz w:val="22"/>
          <w:szCs w:val="22"/>
        </w:rPr>
        <w:t>, zejména vazba na priority D</w:t>
      </w:r>
      <w:r>
        <w:rPr>
          <w:sz w:val="22"/>
          <w:szCs w:val="22"/>
        </w:rPr>
        <w:t xml:space="preserve"> - </w:t>
      </w:r>
      <w:r w:rsidRPr="002B3C63">
        <w:rPr>
          <w:sz w:val="22"/>
          <w:szCs w:val="22"/>
        </w:rPr>
        <w:t>Rozvoj informační společnosti a E</w:t>
      </w:r>
      <w:r>
        <w:rPr>
          <w:sz w:val="22"/>
          <w:szCs w:val="22"/>
        </w:rPr>
        <w:t xml:space="preserve"> -</w:t>
      </w:r>
      <w:r w:rsidRPr="002B3C63">
        <w:rPr>
          <w:sz w:val="22"/>
          <w:szCs w:val="22"/>
        </w:rPr>
        <w:t xml:space="preserve"> Smart </w:t>
      </w:r>
      <w:proofErr w:type="spellStart"/>
      <w:r w:rsidRPr="002B3C63">
        <w:rPr>
          <w:sz w:val="22"/>
          <w:szCs w:val="22"/>
        </w:rPr>
        <w:t>Administration</w:t>
      </w:r>
      <w:proofErr w:type="spellEnd"/>
      <w:r>
        <w:rPr>
          <w:sz w:val="22"/>
          <w:szCs w:val="22"/>
        </w:rPr>
        <w:t>, kterou v IOP naplňuje prioritní osa 1- Modernizace veřejné správy a prioritní osa 2- Zavádění ICT v územní veřejné správě</w:t>
      </w:r>
      <w:r w:rsidRPr="002B3C63">
        <w:rPr>
          <w:sz w:val="22"/>
          <w:szCs w:val="22"/>
        </w:rPr>
        <w:t xml:space="preserve">. Důležitá je </w:t>
      </w:r>
      <w:r>
        <w:rPr>
          <w:sz w:val="22"/>
          <w:szCs w:val="22"/>
        </w:rPr>
        <w:t xml:space="preserve">také </w:t>
      </w:r>
      <w:r w:rsidRPr="002B3C63">
        <w:rPr>
          <w:sz w:val="22"/>
          <w:szCs w:val="22"/>
        </w:rPr>
        <w:t xml:space="preserve">vazba na I. Strategický cíl NSRR </w:t>
      </w:r>
      <w:r>
        <w:rPr>
          <w:sz w:val="22"/>
          <w:szCs w:val="22"/>
        </w:rPr>
        <w:t>„</w:t>
      </w:r>
      <w:r w:rsidRPr="002B3C63">
        <w:rPr>
          <w:sz w:val="22"/>
          <w:szCs w:val="22"/>
        </w:rPr>
        <w:t>Konkurenceschopná česká ekonomika</w:t>
      </w:r>
      <w:r>
        <w:rPr>
          <w:sz w:val="22"/>
          <w:szCs w:val="22"/>
        </w:rPr>
        <w:t>“</w:t>
      </w:r>
      <w:r w:rsidRPr="002B3C63">
        <w:rPr>
          <w:sz w:val="22"/>
          <w:szCs w:val="22"/>
        </w:rPr>
        <w:t>, konkrétně pak na prioritu C</w:t>
      </w:r>
      <w:r>
        <w:rPr>
          <w:sz w:val="22"/>
          <w:szCs w:val="22"/>
        </w:rPr>
        <w:t xml:space="preserve"> -</w:t>
      </w:r>
      <w:r w:rsidRPr="002B3C63">
        <w:rPr>
          <w:sz w:val="22"/>
          <w:szCs w:val="22"/>
        </w:rPr>
        <w:t xml:space="preserve"> Udržitelný rozvoj CR a využití potenc</w:t>
      </w:r>
      <w:r>
        <w:rPr>
          <w:sz w:val="22"/>
          <w:szCs w:val="22"/>
        </w:rPr>
        <w:t>iálu kulturního bohatství, která</w:t>
      </w:r>
      <w:r w:rsidRPr="002B3C63">
        <w:rPr>
          <w:sz w:val="22"/>
          <w:szCs w:val="22"/>
        </w:rPr>
        <w:t xml:space="preserve"> je v IOP naplňo</w:t>
      </w:r>
      <w:r>
        <w:rPr>
          <w:sz w:val="22"/>
          <w:szCs w:val="22"/>
        </w:rPr>
        <w:t>vána prostřednictvím prioritní</w:t>
      </w:r>
      <w:r w:rsidRPr="002B3C63">
        <w:rPr>
          <w:sz w:val="22"/>
          <w:szCs w:val="22"/>
        </w:rPr>
        <w:t xml:space="preserve"> oblast</w:t>
      </w:r>
      <w:r>
        <w:rPr>
          <w:sz w:val="22"/>
          <w:szCs w:val="22"/>
        </w:rPr>
        <w:t>i</w:t>
      </w:r>
      <w:r w:rsidRPr="002B3C63">
        <w:rPr>
          <w:sz w:val="22"/>
          <w:szCs w:val="22"/>
        </w:rPr>
        <w:t xml:space="preserve"> 4 </w:t>
      </w:r>
      <w:r>
        <w:rPr>
          <w:sz w:val="22"/>
          <w:szCs w:val="22"/>
        </w:rPr>
        <w:t>„</w:t>
      </w:r>
      <w:r w:rsidRPr="002B3C63">
        <w:rPr>
          <w:sz w:val="22"/>
          <w:szCs w:val="22"/>
        </w:rPr>
        <w:t>Národní podpora rozvoje cestovního ruchu</w:t>
      </w:r>
      <w:r>
        <w:rPr>
          <w:sz w:val="22"/>
          <w:szCs w:val="22"/>
        </w:rPr>
        <w:t xml:space="preserve">“. </w:t>
      </w:r>
      <w:r w:rsidR="00E66D23">
        <w:rPr>
          <w:sz w:val="22"/>
          <w:szCs w:val="22"/>
        </w:rPr>
        <w:br/>
      </w:r>
      <w:r w:rsidRPr="002B3C63">
        <w:rPr>
          <w:sz w:val="22"/>
          <w:szCs w:val="22"/>
        </w:rPr>
        <w:t xml:space="preserve">S IV. Strategickým cílem NSRR </w:t>
      </w:r>
      <w:r>
        <w:rPr>
          <w:sz w:val="22"/>
          <w:szCs w:val="22"/>
        </w:rPr>
        <w:t>„</w:t>
      </w:r>
      <w:r w:rsidRPr="002B3C63">
        <w:rPr>
          <w:sz w:val="22"/>
          <w:szCs w:val="22"/>
        </w:rPr>
        <w:t>Vyvážený rozvoj území</w:t>
      </w:r>
      <w:r>
        <w:rPr>
          <w:sz w:val="22"/>
          <w:szCs w:val="22"/>
        </w:rPr>
        <w:t>“</w:t>
      </w:r>
      <w:r w:rsidRPr="002B3C63">
        <w:rPr>
          <w:sz w:val="22"/>
          <w:szCs w:val="22"/>
        </w:rPr>
        <w:t xml:space="preserve"> je</w:t>
      </w:r>
      <w:r>
        <w:rPr>
          <w:sz w:val="22"/>
          <w:szCs w:val="22"/>
        </w:rPr>
        <w:t xml:space="preserve"> v IOP</w:t>
      </w:r>
      <w:r w:rsidRPr="002B3C63">
        <w:rPr>
          <w:sz w:val="22"/>
          <w:szCs w:val="22"/>
        </w:rPr>
        <w:t xml:space="preserve"> zprostředkována vazba v rámci priorit</w:t>
      </w:r>
      <w:r>
        <w:rPr>
          <w:sz w:val="22"/>
          <w:szCs w:val="22"/>
        </w:rPr>
        <w:t>y</w:t>
      </w:r>
      <w:r w:rsidRPr="002B3C63">
        <w:rPr>
          <w:sz w:val="22"/>
          <w:szCs w:val="22"/>
        </w:rPr>
        <w:t xml:space="preserve"> A</w:t>
      </w:r>
      <w:r>
        <w:rPr>
          <w:sz w:val="22"/>
          <w:szCs w:val="22"/>
        </w:rPr>
        <w:t xml:space="preserve"> -</w:t>
      </w:r>
      <w:r w:rsidRPr="002B3C63">
        <w:rPr>
          <w:sz w:val="22"/>
          <w:szCs w:val="22"/>
        </w:rPr>
        <w:t xml:space="preserve"> Vyvážený rozvoj region</w:t>
      </w:r>
      <w:r>
        <w:rPr>
          <w:sz w:val="22"/>
          <w:szCs w:val="22"/>
        </w:rPr>
        <w:t>ů a B - Rozvoj městských oblastí v rámci prioritní osy 5 „</w:t>
      </w:r>
      <w:r w:rsidRPr="002B3C63">
        <w:rPr>
          <w:sz w:val="22"/>
          <w:szCs w:val="22"/>
        </w:rPr>
        <w:t>Národní podpora územního rozvoje</w:t>
      </w:r>
      <w:r>
        <w:rPr>
          <w:sz w:val="22"/>
          <w:szCs w:val="22"/>
        </w:rPr>
        <w:t>“.</w:t>
      </w:r>
    </w:p>
    <w:p w:rsidR="00A75862" w:rsidRDefault="00A75862" w:rsidP="00F95266">
      <w:pPr>
        <w:spacing w:before="120" w:after="120"/>
        <w:rPr>
          <w:b/>
        </w:rPr>
      </w:pPr>
      <w:r w:rsidRPr="0056739B">
        <w:rPr>
          <w:sz w:val="22"/>
          <w:szCs w:val="22"/>
        </w:rPr>
        <w:t>Podrobné vymezení vazeb je uveden</w:t>
      </w:r>
      <w:r>
        <w:rPr>
          <w:sz w:val="22"/>
          <w:szCs w:val="22"/>
        </w:rPr>
        <w:t>o</w:t>
      </w:r>
      <w:r w:rsidRPr="0056739B">
        <w:rPr>
          <w:sz w:val="22"/>
          <w:szCs w:val="22"/>
        </w:rPr>
        <w:t xml:space="preserve"> v následující tabulce</w:t>
      </w:r>
      <w:r w:rsidR="00E62038">
        <w:rPr>
          <w:sz w:val="22"/>
          <w:szCs w:val="22"/>
        </w:rPr>
        <w:t>:</w:t>
      </w:r>
    </w:p>
    <w:p w:rsidR="00A75862" w:rsidRPr="00595ADA" w:rsidRDefault="00D0378D" w:rsidP="009D60FB">
      <w:pPr>
        <w:pStyle w:val="Tabulkanzev"/>
      </w:pPr>
      <w:r>
        <w:t xml:space="preserve"> </w:t>
      </w:r>
      <w:bookmarkStart w:id="12" w:name="_Toc416431795"/>
      <w:r w:rsidR="00A75862" w:rsidRPr="009026D3">
        <w:t>Vazba IOP na NSRR</w:t>
      </w:r>
      <w:bookmarkEnd w:id="12"/>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3633"/>
        <w:gridCol w:w="1357"/>
        <w:gridCol w:w="1357"/>
        <w:gridCol w:w="1357"/>
        <w:gridCol w:w="1357"/>
      </w:tblGrid>
      <w:tr w:rsidR="00BF03AC" w:rsidRPr="00B56A0A" w:rsidTr="00BF03AC">
        <w:trPr>
          <w:jc w:val="center"/>
        </w:trPr>
        <w:tc>
          <w:tcPr>
            <w:tcW w:w="3633" w:type="dxa"/>
            <w:vMerge w:val="restart"/>
            <w:tcBorders>
              <w:top w:val="double" w:sz="4" w:space="0" w:color="4F6228"/>
              <w:left w:val="double" w:sz="4" w:space="0" w:color="4F6228"/>
              <w:right w:val="single" w:sz="6" w:space="0" w:color="4F6228"/>
            </w:tcBorders>
            <w:shd w:val="clear" w:color="auto" w:fill="C2D69B" w:themeFill="accent3" w:themeFillTint="99"/>
            <w:vAlign w:val="center"/>
          </w:tcPr>
          <w:p w:rsidR="00BF03AC" w:rsidRPr="00F95266" w:rsidRDefault="00BF03AC" w:rsidP="00BF03AC">
            <w:pPr>
              <w:keepNext/>
              <w:jc w:val="center"/>
              <w:rPr>
                <w:b/>
                <w:sz w:val="18"/>
                <w:szCs w:val="18"/>
              </w:rPr>
            </w:pPr>
            <w:r w:rsidRPr="00F95266">
              <w:rPr>
                <w:b/>
                <w:sz w:val="18"/>
                <w:szCs w:val="18"/>
              </w:rPr>
              <w:t>Zaměření NSRR</w:t>
            </w:r>
          </w:p>
        </w:tc>
        <w:tc>
          <w:tcPr>
            <w:tcW w:w="5428" w:type="dxa"/>
            <w:gridSpan w:val="4"/>
            <w:tcBorders>
              <w:top w:val="double" w:sz="4" w:space="0" w:color="4F6228"/>
              <w:left w:val="single" w:sz="6" w:space="0" w:color="4F6228"/>
              <w:bottom w:val="single" w:sz="6" w:space="0" w:color="4F6228"/>
              <w:right w:val="double" w:sz="4" w:space="0" w:color="4F6228"/>
            </w:tcBorders>
            <w:shd w:val="clear" w:color="auto" w:fill="C2D69B" w:themeFill="accent3" w:themeFillTint="99"/>
          </w:tcPr>
          <w:p w:rsidR="00BF03AC" w:rsidRPr="00F95266" w:rsidRDefault="00BF03AC" w:rsidP="00BF03AC">
            <w:pPr>
              <w:keepNext/>
              <w:jc w:val="center"/>
              <w:rPr>
                <w:b/>
                <w:sz w:val="18"/>
                <w:szCs w:val="18"/>
              </w:rPr>
            </w:pPr>
            <w:r w:rsidRPr="00F95266">
              <w:rPr>
                <w:b/>
                <w:sz w:val="18"/>
                <w:szCs w:val="18"/>
              </w:rPr>
              <w:t>Prioritní oblasti IOP</w:t>
            </w:r>
          </w:p>
        </w:tc>
      </w:tr>
      <w:tr w:rsidR="00BF03AC" w:rsidRPr="00B56A0A" w:rsidTr="00BF03AC">
        <w:trPr>
          <w:jc w:val="center"/>
        </w:trPr>
        <w:tc>
          <w:tcPr>
            <w:tcW w:w="3633" w:type="dxa"/>
            <w:vMerge/>
            <w:tcBorders>
              <w:left w:val="double" w:sz="4" w:space="0" w:color="4F6228"/>
              <w:bottom w:val="single" w:sz="6" w:space="0" w:color="4F6228"/>
              <w:right w:val="single" w:sz="6" w:space="0" w:color="4F6228"/>
            </w:tcBorders>
            <w:shd w:val="clear" w:color="auto" w:fill="C2D69B" w:themeFill="accent3" w:themeFillTint="99"/>
          </w:tcPr>
          <w:p w:rsidR="00BF03AC" w:rsidRPr="00F95266" w:rsidRDefault="00BF03AC" w:rsidP="002D12EC">
            <w:pPr>
              <w:keepNext/>
              <w:rPr>
                <w:b/>
                <w:sz w:val="18"/>
                <w:szCs w:val="18"/>
              </w:rPr>
            </w:pPr>
          </w:p>
        </w:tc>
        <w:tc>
          <w:tcPr>
            <w:tcW w:w="1357"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BF03AC" w:rsidRPr="00F95266" w:rsidRDefault="00BF03AC" w:rsidP="00BF03AC">
            <w:pPr>
              <w:keepNext/>
              <w:jc w:val="center"/>
              <w:rPr>
                <w:b/>
                <w:sz w:val="18"/>
                <w:szCs w:val="18"/>
              </w:rPr>
            </w:pPr>
            <w:r w:rsidRPr="00F95266">
              <w:rPr>
                <w:b/>
                <w:sz w:val="18"/>
                <w:szCs w:val="18"/>
              </w:rPr>
              <w:t>P-O1, PO-2</w:t>
            </w:r>
          </w:p>
        </w:tc>
        <w:tc>
          <w:tcPr>
            <w:tcW w:w="1357"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BF03AC" w:rsidRPr="00F95266" w:rsidRDefault="00BF03AC" w:rsidP="00BF03AC">
            <w:pPr>
              <w:keepNext/>
              <w:jc w:val="center"/>
              <w:rPr>
                <w:b/>
                <w:sz w:val="18"/>
                <w:szCs w:val="18"/>
              </w:rPr>
            </w:pPr>
            <w:r w:rsidRPr="00F95266">
              <w:rPr>
                <w:b/>
                <w:sz w:val="18"/>
                <w:szCs w:val="18"/>
              </w:rPr>
              <w:t>PO-3</w:t>
            </w:r>
          </w:p>
        </w:tc>
        <w:tc>
          <w:tcPr>
            <w:tcW w:w="1357"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BF03AC" w:rsidRPr="00F95266" w:rsidRDefault="00BF03AC" w:rsidP="00BF03AC">
            <w:pPr>
              <w:keepNext/>
              <w:jc w:val="center"/>
              <w:rPr>
                <w:b/>
                <w:sz w:val="18"/>
                <w:szCs w:val="18"/>
              </w:rPr>
            </w:pPr>
            <w:r w:rsidRPr="00F95266">
              <w:rPr>
                <w:b/>
                <w:sz w:val="18"/>
                <w:szCs w:val="18"/>
              </w:rPr>
              <w:t>PO-4</w:t>
            </w:r>
          </w:p>
        </w:tc>
        <w:tc>
          <w:tcPr>
            <w:tcW w:w="1357" w:type="dxa"/>
            <w:tcBorders>
              <w:top w:val="single" w:sz="6" w:space="0" w:color="4F6228"/>
              <w:left w:val="single" w:sz="6" w:space="0" w:color="4F6228"/>
              <w:bottom w:val="single" w:sz="6" w:space="0" w:color="4F6228"/>
              <w:right w:val="double" w:sz="4" w:space="0" w:color="4F6228"/>
            </w:tcBorders>
            <w:shd w:val="clear" w:color="auto" w:fill="C2D69B" w:themeFill="accent3" w:themeFillTint="99"/>
          </w:tcPr>
          <w:p w:rsidR="00BF03AC" w:rsidRPr="00F95266" w:rsidRDefault="00BF03AC" w:rsidP="00BF03AC">
            <w:pPr>
              <w:keepNext/>
              <w:jc w:val="center"/>
              <w:rPr>
                <w:b/>
                <w:sz w:val="18"/>
                <w:szCs w:val="18"/>
              </w:rPr>
            </w:pPr>
            <w:r w:rsidRPr="00F95266">
              <w:rPr>
                <w:b/>
                <w:sz w:val="18"/>
                <w:szCs w:val="18"/>
              </w:rPr>
              <w:t>PO-5</w:t>
            </w:r>
          </w:p>
        </w:tc>
      </w:tr>
      <w:tr w:rsidR="00A75862" w:rsidRPr="00B56A0A" w:rsidTr="00BF03AC">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AE7F0B" w:rsidRDefault="00A75862" w:rsidP="002D12EC">
            <w:pPr>
              <w:keepNext/>
              <w:rPr>
                <w:b/>
              </w:rPr>
            </w:pPr>
            <w:r w:rsidRPr="00AE7F0B">
              <w:rPr>
                <w:b/>
              </w:rPr>
              <w:t>I</w:t>
            </w:r>
            <w:r w:rsidRPr="00AE7F0B">
              <w:rPr>
                <w:b/>
                <w:shd w:val="clear" w:color="auto" w:fill="C2D69B"/>
              </w:rPr>
              <w:t>. Strategický cíl: Konkurenceschopná česká ekonomika</w:t>
            </w:r>
          </w:p>
        </w:tc>
      </w:tr>
      <w:tr w:rsidR="00A75862" w:rsidRPr="00B56A0A"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 xml:space="preserve">Konkurenceschopný podnikatelský sektor </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r w:rsidRPr="00AE7F0B">
              <w:t>X</w:t>
            </w:r>
          </w:p>
        </w:tc>
        <w:tc>
          <w:tcPr>
            <w:tcW w:w="1357" w:type="dxa"/>
            <w:tcBorders>
              <w:top w:val="single" w:sz="6" w:space="0" w:color="4F6228"/>
              <w:left w:val="single" w:sz="6" w:space="0" w:color="4F6228"/>
              <w:bottom w:val="single" w:sz="6" w:space="0" w:color="4F6228"/>
              <w:right w:val="double" w:sz="4" w:space="0" w:color="4F6228"/>
            </w:tcBorders>
          </w:tcPr>
          <w:p w:rsidR="00A75862" w:rsidRPr="00AE7F0B" w:rsidRDefault="00A75862" w:rsidP="00914C0A">
            <w:pPr>
              <w:keepNext/>
              <w:jc w:val="center"/>
            </w:pPr>
            <w:r w:rsidRPr="00AE7F0B">
              <w:t>X</w:t>
            </w:r>
          </w:p>
        </w:tc>
      </w:tr>
      <w:tr w:rsidR="00A75862" w:rsidRPr="00B56A0A"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Podpora kapacit V&amp;V pro inovace</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p>
        </w:tc>
        <w:tc>
          <w:tcPr>
            <w:tcW w:w="1357" w:type="dxa"/>
            <w:tcBorders>
              <w:top w:val="single" w:sz="6" w:space="0" w:color="4F6228"/>
              <w:left w:val="single" w:sz="6" w:space="0" w:color="4F6228"/>
              <w:bottom w:val="single" w:sz="6" w:space="0" w:color="4F6228"/>
              <w:right w:val="double" w:sz="4" w:space="0" w:color="4F6228"/>
            </w:tcBorders>
          </w:tcPr>
          <w:p w:rsidR="00A75862" w:rsidRPr="00AE7F0B" w:rsidRDefault="00A75862" w:rsidP="00914C0A">
            <w:pPr>
              <w:keepNext/>
              <w:jc w:val="center"/>
            </w:pPr>
          </w:p>
        </w:tc>
      </w:tr>
      <w:tr w:rsidR="00A75862" w:rsidRPr="00B56A0A" w:rsidTr="00BF03AC">
        <w:trPr>
          <w:trHeight w:val="213"/>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Rozvoj udržitelného CR</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p>
        </w:tc>
        <w:tc>
          <w:tcPr>
            <w:tcW w:w="1357" w:type="dxa"/>
            <w:tcBorders>
              <w:top w:val="single" w:sz="6" w:space="0" w:color="4F6228"/>
              <w:left w:val="single" w:sz="6" w:space="0" w:color="4F6228"/>
              <w:bottom w:val="single" w:sz="6" w:space="0" w:color="4F6228"/>
              <w:right w:val="single" w:sz="6" w:space="0" w:color="4F6228"/>
            </w:tcBorders>
          </w:tcPr>
          <w:p w:rsidR="00A75862" w:rsidRPr="00AE7F0B" w:rsidRDefault="00A75862" w:rsidP="00914C0A">
            <w:pPr>
              <w:keepNext/>
              <w:jc w:val="center"/>
            </w:pPr>
            <w:r w:rsidRPr="00AE7F0B">
              <w:t>XX</w:t>
            </w:r>
          </w:p>
        </w:tc>
        <w:tc>
          <w:tcPr>
            <w:tcW w:w="1357" w:type="dxa"/>
            <w:tcBorders>
              <w:top w:val="single" w:sz="6" w:space="0" w:color="4F6228"/>
              <w:left w:val="single" w:sz="6" w:space="0" w:color="4F6228"/>
              <w:bottom w:val="single" w:sz="6" w:space="0" w:color="4F6228"/>
              <w:right w:val="double" w:sz="4" w:space="0" w:color="4F6228"/>
            </w:tcBorders>
          </w:tcPr>
          <w:p w:rsidR="00A75862" w:rsidRPr="00AE7F0B" w:rsidRDefault="00A75862" w:rsidP="00914C0A">
            <w:pPr>
              <w:keepNext/>
              <w:jc w:val="center"/>
            </w:pPr>
          </w:p>
        </w:tc>
      </w:tr>
      <w:tr w:rsidR="00A75862" w:rsidRPr="00B56A0A" w:rsidTr="00BF03AC">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AE7F0B" w:rsidRDefault="00A75862" w:rsidP="002D12EC">
            <w:pPr>
              <w:keepNext/>
              <w:rPr>
                <w:b/>
              </w:rPr>
            </w:pPr>
            <w:r w:rsidRPr="00AE7F0B">
              <w:rPr>
                <w:b/>
              </w:rPr>
              <w:t xml:space="preserve">II. Strategický cíl: Otevřená, flexibilní a soudržná společnost </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Vzdělávání</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 xml:space="preserve">Zvyšování zaměstnanosti </w:t>
            </w:r>
            <w:r w:rsidR="00843F1F">
              <w:br/>
            </w:r>
            <w:r w:rsidRPr="00AE7F0B">
              <w:t>a zaměstnatelnosti</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r w:rsidRPr="00AE7F0B">
              <w:t>X</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Posilování sociální soudržnosti</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r w:rsidRPr="00AE7F0B">
              <w:t>X</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Rozvoj informační společnosti</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r w:rsidRPr="00AE7F0B">
              <w:t>X</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 xml:space="preserve">Smart </w:t>
            </w:r>
            <w:proofErr w:type="spellStart"/>
            <w:r w:rsidRPr="00AE7F0B">
              <w:t>Administration</w:t>
            </w:r>
            <w:proofErr w:type="spellEnd"/>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r w:rsidRPr="00AE7F0B">
              <w:t>XX</w:t>
            </w:r>
          </w:p>
        </w:tc>
      </w:tr>
      <w:tr w:rsidR="00A75862" w:rsidRPr="00B56A0A" w:rsidTr="00BF03AC">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AE7F0B" w:rsidRDefault="00A75862" w:rsidP="002D12EC">
            <w:pPr>
              <w:keepNext/>
              <w:rPr>
                <w:b/>
              </w:rPr>
            </w:pPr>
            <w:r w:rsidRPr="00AE7F0B">
              <w:rPr>
                <w:b/>
              </w:rPr>
              <w:t>III. Strategický cíl: Atraktivní prostředí</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Ochrana a zlepšení kvality životního prostředí</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r w:rsidRPr="00AE7F0B">
              <w:t>X</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Zlepšení dostupnosti dopravou</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p>
        </w:tc>
      </w:tr>
      <w:tr w:rsidR="00A75862" w:rsidRPr="00B56A0A" w:rsidTr="00BF03AC">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AE7F0B" w:rsidRDefault="00A75862" w:rsidP="002D12EC">
            <w:pPr>
              <w:keepNext/>
              <w:rPr>
                <w:b/>
              </w:rPr>
            </w:pPr>
            <w:r w:rsidRPr="00AE7F0B">
              <w:rPr>
                <w:b/>
              </w:rPr>
              <w:t>IV. Strategický cíl: Vyvážený rozvoj území</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Vyvážený rozvoj regionů</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r w:rsidRPr="00AE7F0B">
              <w:t>XX</w:t>
            </w:r>
          </w:p>
        </w:tc>
      </w:tr>
      <w:tr w:rsidR="00A75862" w:rsidRPr="00B56A0A" w:rsidTr="004B7B46">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AE7F0B" w:rsidRDefault="00A75862" w:rsidP="002D12EC">
            <w:pPr>
              <w:keepNext/>
            </w:pPr>
            <w:r w:rsidRPr="00AE7F0B">
              <w:t>Rozvoj městských oblastí</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single" w:sz="6" w:space="0" w:color="4F6228"/>
              <w:right w:val="double" w:sz="4" w:space="0" w:color="4F6228"/>
            </w:tcBorders>
            <w:vAlign w:val="center"/>
          </w:tcPr>
          <w:p w:rsidR="00A75862" w:rsidRPr="00AE7F0B" w:rsidRDefault="00A75862" w:rsidP="004B7B46">
            <w:pPr>
              <w:keepNext/>
              <w:jc w:val="center"/>
            </w:pPr>
            <w:r w:rsidRPr="00AE7F0B">
              <w:t>XX</w:t>
            </w:r>
          </w:p>
        </w:tc>
      </w:tr>
      <w:tr w:rsidR="00A75862" w:rsidRPr="00B56A0A" w:rsidTr="004B7B46">
        <w:trPr>
          <w:jc w:val="center"/>
        </w:trPr>
        <w:tc>
          <w:tcPr>
            <w:tcW w:w="3633" w:type="dxa"/>
            <w:tcBorders>
              <w:top w:val="single" w:sz="6" w:space="0" w:color="4F6228"/>
              <w:left w:val="double" w:sz="4" w:space="0" w:color="4F6228"/>
              <w:bottom w:val="double" w:sz="4" w:space="0" w:color="4F6228"/>
              <w:right w:val="single" w:sz="6" w:space="0" w:color="4F6228"/>
            </w:tcBorders>
            <w:shd w:val="clear" w:color="auto" w:fill="FFFFFF" w:themeFill="background1"/>
          </w:tcPr>
          <w:p w:rsidR="00A75862" w:rsidRPr="00AE7F0B" w:rsidRDefault="00A75862" w:rsidP="002D12EC">
            <w:pPr>
              <w:keepNext/>
            </w:pPr>
            <w:r w:rsidRPr="00AE7F0B">
              <w:t>Rozvoj venkovských oblastí</w:t>
            </w:r>
          </w:p>
        </w:tc>
        <w:tc>
          <w:tcPr>
            <w:tcW w:w="1357" w:type="dxa"/>
            <w:tcBorders>
              <w:top w:val="single" w:sz="6" w:space="0" w:color="4F6228"/>
              <w:left w:val="single" w:sz="6" w:space="0" w:color="4F6228"/>
              <w:bottom w:val="double" w:sz="4" w:space="0" w:color="4F6228"/>
              <w:right w:val="single" w:sz="6" w:space="0" w:color="4F6228"/>
            </w:tcBorders>
            <w:vAlign w:val="center"/>
          </w:tcPr>
          <w:p w:rsidR="00A75862" w:rsidRPr="00AE7F0B" w:rsidRDefault="00A75862" w:rsidP="004B7B46">
            <w:pPr>
              <w:keepNext/>
              <w:jc w:val="center"/>
            </w:pPr>
          </w:p>
        </w:tc>
        <w:tc>
          <w:tcPr>
            <w:tcW w:w="1357" w:type="dxa"/>
            <w:tcBorders>
              <w:top w:val="single" w:sz="6" w:space="0" w:color="4F6228"/>
              <w:left w:val="single" w:sz="6" w:space="0" w:color="4F6228"/>
              <w:bottom w:val="double" w:sz="4"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double" w:sz="4" w:space="0" w:color="4F6228"/>
              <w:right w:val="single" w:sz="6" w:space="0" w:color="4F6228"/>
            </w:tcBorders>
            <w:vAlign w:val="center"/>
          </w:tcPr>
          <w:p w:rsidR="00A75862" w:rsidRPr="00AE7F0B" w:rsidRDefault="00A75862" w:rsidP="004B7B46">
            <w:pPr>
              <w:keepNext/>
              <w:jc w:val="center"/>
            </w:pPr>
            <w:r w:rsidRPr="00AE7F0B">
              <w:t>X</w:t>
            </w:r>
          </w:p>
        </w:tc>
        <w:tc>
          <w:tcPr>
            <w:tcW w:w="1357" w:type="dxa"/>
            <w:tcBorders>
              <w:top w:val="single" w:sz="6" w:space="0" w:color="4F6228"/>
              <w:left w:val="single" w:sz="6" w:space="0" w:color="4F6228"/>
              <w:bottom w:val="double" w:sz="4" w:space="0" w:color="4F6228"/>
              <w:right w:val="double" w:sz="4" w:space="0" w:color="4F6228"/>
            </w:tcBorders>
            <w:vAlign w:val="center"/>
          </w:tcPr>
          <w:p w:rsidR="00A75862" w:rsidRPr="00AE7F0B" w:rsidRDefault="00A75862" w:rsidP="004B7B46">
            <w:pPr>
              <w:keepNext/>
              <w:jc w:val="center"/>
            </w:pPr>
            <w:r w:rsidRPr="00AE7F0B">
              <w:t>XX</w:t>
            </w:r>
          </w:p>
        </w:tc>
      </w:tr>
    </w:tbl>
    <w:p w:rsidR="00A75862" w:rsidRPr="007722D0" w:rsidRDefault="00A75862" w:rsidP="00DD4BBC">
      <w:pPr>
        <w:jc w:val="both"/>
        <w:rPr>
          <w:i/>
          <w:sz w:val="18"/>
          <w:szCs w:val="18"/>
        </w:rPr>
      </w:pPr>
      <w:r w:rsidRPr="007722D0">
        <w:rPr>
          <w:i/>
          <w:sz w:val="18"/>
          <w:szCs w:val="18"/>
        </w:rPr>
        <w:t>P</w:t>
      </w:r>
      <w:r>
        <w:rPr>
          <w:i/>
          <w:sz w:val="18"/>
          <w:szCs w:val="18"/>
        </w:rPr>
        <w:t>ozn.</w:t>
      </w:r>
      <w:r w:rsidRPr="007722D0">
        <w:rPr>
          <w:i/>
          <w:sz w:val="18"/>
          <w:szCs w:val="18"/>
        </w:rPr>
        <w:t>: XX –</w:t>
      </w:r>
      <w:r w:rsidR="005020BB">
        <w:rPr>
          <w:i/>
          <w:sz w:val="18"/>
          <w:szCs w:val="18"/>
        </w:rPr>
        <w:t xml:space="preserve"> </w:t>
      </w:r>
      <w:r w:rsidRPr="007722D0">
        <w:rPr>
          <w:i/>
          <w:sz w:val="18"/>
          <w:szCs w:val="18"/>
        </w:rPr>
        <w:t>přímá vazba; X – nepřímá vazba</w:t>
      </w:r>
    </w:p>
    <w:p w:rsidR="00A75862" w:rsidRDefault="00A75862" w:rsidP="00DD4BBC">
      <w:pPr>
        <w:rPr>
          <w:i/>
          <w:sz w:val="18"/>
          <w:szCs w:val="18"/>
        </w:rPr>
      </w:pPr>
      <w:r w:rsidRPr="007722D0">
        <w:rPr>
          <w:i/>
          <w:sz w:val="18"/>
          <w:szCs w:val="18"/>
        </w:rPr>
        <w:t xml:space="preserve">Zdroj: Programový dokument, </w:t>
      </w:r>
      <w:r w:rsidRPr="00E85056">
        <w:rPr>
          <w:i/>
          <w:sz w:val="18"/>
          <w:szCs w:val="18"/>
        </w:rPr>
        <w:t>prosinec 201</w:t>
      </w:r>
      <w:r>
        <w:rPr>
          <w:i/>
          <w:sz w:val="18"/>
          <w:szCs w:val="18"/>
        </w:rPr>
        <w:t>3</w:t>
      </w:r>
    </w:p>
    <w:p w:rsidR="00500B44" w:rsidRDefault="00500B44" w:rsidP="000F4DBC">
      <w:pPr>
        <w:rPr>
          <w:b/>
          <w:sz w:val="22"/>
          <w:szCs w:val="22"/>
        </w:rPr>
      </w:pPr>
    </w:p>
    <w:p w:rsidR="00A75862" w:rsidRDefault="00A75862" w:rsidP="000F4DBC">
      <w:pPr>
        <w:rPr>
          <w:b/>
          <w:sz w:val="22"/>
          <w:szCs w:val="22"/>
        </w:rPr>
      </w:pPr>
      <w:r>
        <w:rPr>
          <w:b/>
          <w:sz w:val="22"/>
          <w:szCs w:val="22"/>
        </w:rPr>
        <w:lastRenderedPageBreak/>
        <w:t xml:space="preserve">Strategie realizace Smart </w:t>
      </w:r>
      <w:proofErr w:type="spellStart"/>
      <w:r>
        <w:rPr>
          <w:b/>
          <w:sz w:val="22"/>
          <w:szCs w:val="22"/>
        </w:rPr>
        <w:t>Administration</w:t>
      </w:r>
      <w:proofErr w:type="spellEnd"/>
      <w:r>
        <w:rPr>
          <w:b/>
          <w:sz w:val="22"/>
          <w:szCs w:val="22"/>
        </w:rPr>
        <w:t xml:space="preserve"> v období 2007–2013</w:t>
      </w:r>
    </w:p>
    <w:p w:rsidR="00923613" w:rsidRDefault="00A75862" w:rsidP="000F4DBC">
      <w:pPr>
        <w:jc w:val="both"/>
        <w:rPr>
          <w:sz w:val="22"/>
          <w:szCs w:val="22"/>
        </w:rPr>
      </w:pPr>
      <w:r w:rsidRPr="008F4005">
        <w:rPr>
          <w:sz w:val="22"/>
          <w:szCs w:val="22"/>
        </w:rPr>
        <w:t xml:space="preserve">Základním koncepčním dokumentem v oblasti zefektivňování veřejné správy je </w:t>
      </w:r>
      <w:r w:rsidR="00D56B38">
        <w:rPr>
          <w:sz w:val="22"/>
          <w:szCs w:val="22"/>
        </w:rPr>
        <w:t>s</w:t>
      </w:r>
      <w:r w:rsidRPr="008F4005">
        <w:rPr>
          <w:sz w:val="22"/>
          <w:szCs w:val="22"/>
        </w:rPr>
        <w:t xml:space="preserve">trategie </w:t>
      </w:r>
      <w:r w:rsidR="00D56B38">
        <w:rPr>
          <w:sz w:val="22"/>
          <w:szCs w:val="22"/>
        </w:rPr>
        <w:t>E</w:t>
      </w:r>
      <w:r w:rsidRPr="008F4005">
        <w:rPr>
          <w:sz w:val="22"/>
          <w:szCs w:val="22"/>
        </w:rPr>
        <w:t>fektivní veřejná správ</w:t>
      </w:r>
      <w:r w:rsidR="00D56B38">
        <w:rPr>
          <w:sz w:val="22"/>
          <w:szCs w:val="22"/>
        </w:rPr>
        <w:t>a</w:t>
      </w:r>
      <w:r w:rsidRPr="008F4005">
        <w:rPr>
          <w:sz w:val="22"/>
          <w:szCs w:val="22"/>
        </w:rPr>
        <w:t xml:space="preserve"> a přátelské veřejné služby (Smart </w:t>
      </w:r>
      <w:proofErr w:type="spellStart"/>
      <w:r w:rsidRPr="008F4005">
        <w:rPr>
          <w:sz w:val="22"/>
          <w:szCs w:val="22"/>
        </w:rPr>
        <w:t>Administration</w:t>
      </w:r>
      <w:proofErr w:type="spellEnd"/>
      <w:r w:rsidRPr="008F4005">
        <w:rPr>
          <w:sz w:val="22"/>
          <w:szCs w:val="22"/>
        </w:rPr>
        <w:t>), schválená</w:t>
      </w:r>
      <w:r>
        <w:rPr>
          <w:sz w:val="22"/>
          <w:szCs w:val="22"/>
        </w:rPr>
        <w:t xml:space="preserve"> </w:t>
      </w:r>
      <w:r w:rsidR="00090DDC">
        <w:rPr>
          <w:sz w:val="22"/>
          <w:szCs w:val="22"/>
        </w:rPr>
        <w:t>u</w:t>
      </w:r>
      <w:r w:rsidRPr="008F4005">
        <w:rPr>
          <w:sz w:val="22"/>
          <w:szCs w:val="22"/>
        </w:rPr>
        <w:t xml:space="preserve">snesením </w:t>
      </w:r>
      <w:r w:rsidR="00D619C9">
        <w:rPr>
          <w:sz w:val="22"/>
          <w:szCs w:val="22"/>
        </w:rPr>
        <w:t>Vlády</w:t>
      </w:r>
      <w:r>
        <w:rPr>
          <w:sz w:val="22"/>
          <w:szCs w:val="22"/>
        </w:rPr>
        <w:t xml:space="preserve"> ČR</w:t>
      </w:r>
      <w:r w:rsidRPr="008F4005">
        <w:rPr>
          <w:sz w:val="22"/>
          <w:szCs w:val="22"/>
        </w:rPr>
        <w:t xml:space="preserve"> </w:t>
      </w:r>
      <w:r w:rsidR="00E66D23">
        <w:rPr>
          <w:sz w:val="22"/>
          <w:szCs w:val="22"/>
        </w:rPr>
        <w:br/>
      </w:r>
      <w:r w:rsidRPr="008F4005">
        <w:rPr>
          <w:sz w:val="22"/>
          <w:szCs w:val="22"/>
        </w:rPr>
        <w:t xml:space="preserve">č. 757/2007. </w:t>
      </w:r>
    </w:p>
    <w:p w:rsidR="00A75862" w:rsidRDefault="00A75862" w:rsidP="000F4DBC">
      <w:pPr>
        <w:jc w:val="both"/>
        <w:rPr>
          <w:sz w:val="22"/>
          <w:szCs w:val="22"/>
        </w:rPr>
      </w:pPr>
      <w:r w:rsidRPr="008F4005">
        <w:rPr>
          <w:sz w:val="22"/>
          <w:szCs w:val="22"/>
        </w:rPr>
        <w:t xml:space="preserve">Strategie vymezuje oblasti a projektové okruhy, které </w:t>
      </w:r>
      <w:r>
        <w:rPr>
          <w:sz w:val="22"/>
          <w:szCs w:val="22"/>
        </w:rPr>
        <w:t xml:space="preserve">jsou </w:t>
      </w:r>
      <w:r w:rsidRPr="008F4005">
        <w:rPr>
          <w:sz w:val="22"/>
          <w:szCs w:val="22"/>
        </w:rPr>
        <w:t xml:space="preserve">prioritně podporovány z </w:t>
      </w:r>
      <w:proofErr w:type="gramStart"/>
      <w:r w:rsidRPr="008F4005">
        <w:rPr>
          <w:sz w:val="22"/>
          <w:szCs w:val="22"/>
        </w:rPr>
        <w:t>OP</w:t>
      </w:r>
      <w:proofErr w:type="gramEnd"/>
      <w:r w:rsidRPr="008F4005">
        <w:rPr>
          <w:sz w:val="22"/>
          <w:szCs w:val="22"/>
        </w:rPr>
        <w:t xml:space="preserve"> LZZ a IOP </w:t>
      </w:r>
      <w:r w:rsidR="00E90043">
        <w:rPr>
          <w:sz w:val="22"/>
          <w:szCs w:val="22"/>
        </w:rPr>
        <w:br/>
      </w:r>
      <w:r w:rsidRPr="008F4005">
        <w:rPr>
          <w:sz w:val="22"/>
          <w:szCs w:val="22"/>
        </w:rPr>
        <w:t xml:space="preserve">v rámci realizace priority Smart </w:t>
      </w:r>
      <w:proofErr w:type="spellStart"/>
      <w:r w:rsidRPr="008F4005">
        <w:rPr>
          <w:sz w:val="22"/>
          <w:szCs w:val="22"/>
        </w:rPr>
        <w:t>Administration</w:t>
      </w:r>
      <w:proofErr w:type="spellEnd"/>
      <w:r w:rsidRPr="008F4005">
        <w:rPr>
          <w:sz w:val="22"/>
          <w:szCs w:val="22"/>
        </w:rPr>
        <w:t xml:space="preserve"> NSRR. V IOP </w:t>
      </w:r>
      <w:r>
        <w:rPr>
          <w:sz w:val="22"/>
          <w:szCs w:val="22"/>
        </w:rPr>
        <w:t xml:space="preserve">je </w:t>
      </w:r>
      <w:r w:rsidRPr="008F4005">
        <w:rPr>
          <w:sz w:val="22"/>
          <w:szCs w:val="22"/>
        </w:rPr>
        <w:t xml:space="preserve">Strategie realizována prostřednictvím prioritních oblastí 1 a 2, přičemž </w:t>
      </w:r>
      <w:r>
        <w:rPr>
          <w:sz w:val="22"/>
          <w:szCs w:val="22"/>
        </w:rPr>
        <w:t>je</w:t>
      </w:r>
      <w:r w:rsidRPr="008F4005">
        <w:rPr>
          <w:sz w:val="22"/>
          <w:szCs w:val="22"/>
        </w:rPr>
        <w:t xml:space="preserve"> zajištěna návaznost na aktivity realizované v prioritní oblasti </w:t>
      </w:r>
      <w:r w:rsidR="00E90043">
        <w:rPr>
          <w:sz w:val="22"/>
          <w:szCs w:val="22"/>
        </w:rPr>
        <w:br/>
      </w:r>
      <w:r w:rsidRPr="008F4005">
        <w:rPr>
          <w:sz w:val="22"/>
          <w:szCs w:val="22"/>
        </w:rPr>
        <w:t xml:space="preserve">3 </w:t>
      </w:r>
      <w:r>
        <w:rPr>
          <w:sz w:val="22"/>
          <w:szCs w:val="22"/>
        </w:rPr>
        <w:t>„</w:t>
      </w:r>
      <w:r w:rsidRPr="008F4005">
        <w:rPr>
          <w:sz w:val="22"/>
          <w:szCs w:val="22"/>
        </w:rPr>
        <w:t>Zvýšení kvality a dostupnosti veřejných služeb</w:t>
      </w:r>
      <w:r>
        <w:rPr>
          <w:sz w:val="22"/>
          <w:szCs w:val="22"/>
        </w:rPr>
        <w:t>“</w:t>
      </w:r>
      <w:r w:rsidRPr="008F4005">
        <w:rPr>
          <w:sz w:val="22"/>
          <w:szCs w:val="22"/>
        </w:rPr>
        <w:t xml:space="preserve">. IOP </w:t>
      </w:r>
      <w:r>
        <w:rPr>
          <w:sz w:val="22"/>
          <w:szCs w:val="22"/>
        </w:rPr>
        <w:t xml:space="preserve">směřuje </w:t>
      </w:r>
      <w:r w:rsidRPr="008F4005">
        <w:rPr>
          <w:sz w:val="22"/>
          <w:szCs w:val="22"/>
        </w:rPr>
        <w:t xml:space="preserve">své intervence </w:t>
      </w:r>
      <w:r>
        <w:rPr>
          <w:sz w:val="22"/>
          <w:szCs w:val="22"/>
        </w:rPr>
        <w:t xml:space="preserve">k </w:t>
      </w:r>
      <w:r w:rsidRPr="008F4005">
        <w:rPr>
          <w:sz w:val="22"/>
          <w:szCs w:val="22"/>
        </w:rPr>
        <w:t>zajištění technologické stránky, vyjádřené v dnešní době př</w:t>
      </w:r>
      <w:r>
        <w:rPr>
          <w:sz w:val="22"/>
          <w:szCs w:val="22"/>
        </w:rPr>
        <w:t>e</w:t>
      </w:r>
      <w:r w:rsidRPr="008F4005">
        <w:rPr>
          <w:sz w:val="22"/>
          <w:szCs w:val="22"/>
        </w:rPr>
        <w:t>d</w:t>
      </w:r>
      <w:r>
        <w:rPr>
          <w:sz w:val="22"/>
          <w:szCs w:val="22"/>
        </w:rPr>
        <w:t>e</w:t>
      </w:r>
      <w:r w:rsidRPr="008F4005">
        <w:rPr>
          <w:sz w:val="22"/>
          <w:szCs w:val="22"/>
        </w:rPr>
        <w:t xml:space="preserve">vším jako ICT podporující realizaci </w:t>
      </w:r>
      <w:proofErr w:type="spellStart"/>
      <w:r w:rsidRPr="008F4005">
        <w:rPr>
          <w:sz w:val="22"/>
          <w:szCs w:val="22"/>
        </w:rPr>
        <w:t>eGovernment</w:t>
      </w:r>
      <w:proofErr w:type="spellEnd"/>
      <w:r w:rsidRPr="008F4005">
        <w:rPr>
          <w:sz w:val="22"/>
          <w:szCs w:val="22"/>
        </w:rPr>
        <w:t>.</w:t>
      </w:r>
    </w:p>
    <w:p w:rsidR="00A75862" w:rsidRDefault="00A75862" w:rsidP="000F4DBC">
      <w:pPr>
        <w:jc w:val="both"/>
        <w:rPr>
          <w:sz w:val="22"/>
          <w:szCs w:val="22"/>
        </w:rPr>
      </w:pPr>
    </w:p>
    <w:p w:rsidR="00A75862" w:rsidRPr="007D3823" w:rsidRDefault="00A75862" w:rsidP="000F4DBC">
      <w:pPr>
        <w:jc w:val="both"/>
        <w:rPr>
          <w:b/>
          <w:sz w:val="22"/>
          <w:szCs w:val="22"/>
        </w:rPr>
      </w:pPr>
      <w:r w:rsidRPr="007D3823">
        <w:rPr>
          <w:b/>
          <w:sz w:val="22"/>
          <w:szCs w:val="22"/>
        </w:rPr>
        <w:t>Strategie Evropa 2020</w:t>
      </w:r>
    </w:p>
    <w:p w:rsidR="00A75862" w:rsidRDefault="00A75862" w:rsidP="000F4DBC">
      <w:pPr>
        <w:jc w:val="both"/>
        <w:rPr>
          <w:bCs/>
          <w:color w:val="000000"/>
          <w:sz w:val="22"/>
          <w:szCs w:val="22"/>
        </w:rPr>
      </w:pPr>
      <w:r>
        <w:rPr>
          <w:bCs/>
          <w:color w:val="000000"/>
          <w:sz w:val="22"/>
          <w:szCs w:val="22"/>
        </w:rPr>
        <w:t xml:space="preserve">Některé prioritní osy nebo oblasti intervence Integrovaného operačního programu mají přímou vazbu na cíle strategie Evropa 2020, přestože byl přijat a je realizován před přijetím strategie. </w:t>
      </w:r>
    </w:p>
    <w:p w:rsidR="00A75862" w:rsidRPr="004C7C04" w:rsidRDefault="00A75862" w:rsidP="00E62038">
      <w:pPr>
        <w:jc w:val="both"/>
        <w:rPr>
          <w:bCs/>
          <w:color w:val="000000"/>
          <w:sz w:val="22"/>
          <w:szCs w:val="22"/>
        </w:rPr>
      </w:pPr>
      <w:r w:rsidRPr="000F4DBC">
        <w:rPr>
          <w:color w:val="000000"/>
          <w:sz w:val="22"/>
          <w:szCs w:val="24"/>
        </w:rPr>
        <w:t xml:space="preserve">Vazbu na tematické cíle uvedené v článku 9 nařízení č. 1303 ze </w:t>
      </w:r>
      <w:r w:rsidR="0076027F" w:rsidRPr="000F4DBC">
        <w:rPr>
          <w:color w:val="000000"/>
          <w:sz w:val="22"/>
          <w:szCs w:val="24"/>
        </w:rPr>
        <w:t>17. 12. 2013</w:t>
      </w:r>
      <w:r w:rsidRPr="000F4DBC">
        <w:rPr>
          <w:color w:val="000000"/>
          <w:sz w:val="22"/>
          <w:szCs w:val="24"/>
        </w:rPr>
        <w:t xml:space="preserve"> o společných ustanoveních k fondům, mají prioritní osy 1a, 1b a 2 (tematický cíl 2), oblasti intervence 3.1 a 3.2 (tematický cíl 9), oblast intervence 3.3 (tematický cíl 8), oblast intervence 3.4 (tematický cíl 5), oblast intervence 5.2 (tematické cíle 4 a 9) a oblast intervence 5.3 (tematický cíl 11). </w:t>
      </w:r>
      <w:r>
        <w:rPr>
          <w:bCs/>
          <w:color w:val="000000"/>
          <w:sz w:val="22"/>
          <w:szCs w:val="22"/>
        </w:rPr>
        <w:t xml:space="preserve"> </w:t>
      </w:r>
    </w:p>
    <w:p w:rsidR="00A75862" w:rsidRDefault="00A75862" w:rsidP="000F4DBC">
      <w:pPr>
        <w:jc w:val="both"/>
        <w:rPr>
          <w:sz w:val="22"/>
          <w:szCs w:val="22"/>
        </w:rPr>
      </w:pPr>
      <w:r w:rsidRPr="007D3823">
        <w:rPr>
          <w:sz w:val="22"/>
          <w:szCs w:val="22"/>
        </w:rPr>
        <w:t>Podrobněji je problematika řešena v části 2. 1. F</w:t>
      </w:r>
      <w:r>
        <w:rPr>
          <w:sz w:val="22"/>
          <w:szCs w:val="22"/>
        </w:rPr>
        <w:t xml:space="preserve"> -</w:t>
      </w:r>
      <w:r w:rsidRPr="007D3823">
        <w:rPr>
          <w:sz w:val="22"/>
          <w:szCs w:val="22"/>
        </w:rPr>
        <w:t xml:space="preserve"> </w:t>
      </w:r>
      <w:r>
        <w:rPr>
          <w:sz w:val="22"/>
          <w:szCs w:val="22"/>
        </w:rPr>
        <w:t>Kvalitativní analýza</w:t>
      </w:r>
      <w:r w:rsidRPr="007D3823">
        <w:rPr>
          <w:sz w:val="22"/>
          <w:szCs w:val="22"/>
        </w:rPr>
        <w:t xml:space="preserve"> (</w:t>
      </w:r>
      <w:r>
        <w:rPr>
          <w:sz w:val="22"/>
          <w:szCs w:val="22"/>
        </w:rPr>
        <w:t>P</w:t>
      </w:r>
      <w:r w:rsidRPr="007D3823">
        <w:rPr>
          <w:sz w:val="22"/>
          <w:szCs w:val="22"/>
        </w:rPr>
        <w:t>říspěvek IOP ke strategii Evropa 2020).</w:t>
      </w:r>
    </w:p>
    <w:p w:rsidR="00DB0E90" w:rsidRPr="00380843" w:rsidRDefault="00A75862" w:rsidP="00380843">
      <w:pPr>
        <w:pStyle w:val="Nadpis2"/>
        <w:rPr>
          <w:rFonts w:ascii="Times New Roman" w:hAnsi="Times New Roman"/>
          <w:i w:val="0"/>
        </w:rPr>
      </w:pPr>
      <w:bookmarkStart w:id="13" w:name="_Toc417024833"/>
      <w:r w:rsidRPr="009026D3">
        <w:rPr>
          <w:rFonts w:ascii="Times New Roman" w:hAnsi="Times New Roman"/>
          <w:i w:val="0"/>
        </w:rPr>
        <w:t>1.4 Celková ekonomická situace a její vliv na IOP</w:t>
      </w:r>
      <w:bookmarkEnd w:id="13"/>
    </w:p>
    <w:p w:rsidR="00380843" w:rsidRPr="00F77B07" w:rsidRDefault="00380843" w:rsidP="00380843">
      <w:pPr>
        <w:pStyle w:val="Normlnweb"/>
        <w:shd w:val="clear" w:color="auto" w:fill="FFFFFF"/>
        <w:spacing w:after="0"/>
        <w:jc w:val="both"/>
        <w:rPr>
          <w:rFonts w:ascii="Times New Roman" w:hAnsi="Times New Roman" w:cs="Times New Roman"/>
          <w:bCs/>
          <w:color w:val="000000"/>
          <w:sz w:val="22"/>
          <w:szCs w:val="22"/>
        </w:rPr>
      </w:pPr>
      <w:r w:rsidRPr="00E90043">
        <w:rPr>
          <w:rFonts w:ascii="Times New Roman" w:hAnsi="Times New Roman" w:cs="Times New Roman"/>
          <w:bCs/>
          <w:color w:val="000000"/>
          <w:sz w:val="22"/>
          <w:szCs w:val="22"/>
        </w:rPr>
        <w:t>Vývoj ekonomiky neměl na provádění IOP větší vliv.</w:t>
      </w:r>
      <w:r w:rsidRPr="007407BF">
        <w:rPr>
          <w:rFonts w:ascii="Times New Roman" w:hAnsi="Times New Roman" w:cs="Times New Roman"/>
          <w:bCs/>
          <w:color w:val="000000"/>
          <w:sz w:val="22"/>
          <w:szCs w:val="22"/>
        </w:rPr>
        <w:t xml:space="preserve"> Hlavní důvod spočívá v tom, že rozhodující část příjemců podpory tvoří subjekty veřejného sektoru, který byl krizí postižen podstatně méně než podnikatelské subjekty</w:t>
      </w:r>
      <w:r>
        <w:rPr>
          <w:rFonts w:ascii="Times New Roman" w:hAnsi="Times New Roman" w:cs="Times New Roman"/>
          <w:bCs/>
          <w:color w:val="000000"/>
          <w:sz w:val="22"/>
          <w:szCs w:val="22"/>
        </w:rPr>
        <w:t>.</w:t>
      </w:r>
      <w:r w:rsidRPr="007407BF">
        <w:rPr>
          <w:rFonts w:ascii="Times New Roman" w:hAnsi="Times New Roman" w:cs="Times New Roman"/>
          <w:bCs/>
          <w:color w:val="000000"/>
          <w:sz w:val="22"/>
          <w:szCs w:val="22"/>
        </w:rPr>
        <w:t xml:space="preserve"> </w:t>
      </w:r>
      <w:r>
        <w:rPr>
          <w:rFonts w:ascii="Times New Roman" w:hAnsi="Times New Roman" w:cs="Times New Roman"/>
          <w:bCs/>
          <w:color w:val="000000"/>
          <w:sz w:val="22"/>
          <w:szCs w:val="22"/>
        </w:rPr>
        <w:t>S</w:t>
      </w:r>
      <w:r w:rsidRPr="007407BF">
        <w:rPr>
          <w:rFonts w:ascii="Times New Roman" w:hAnsi="Times New Roman" w:cs="Times New Roman"/>
          <w:bCs/>
          <w:color w:val="000000"/>
          <w:sz w:val="22"/>
          <w:szCs w:val="22"/>
        </w:rPr>
        <w:t>tátní rozpoč</w:t>
      </w:r>
      <w:r>
        <w:rPr>
          <w:rFonts w:ascii="Times New Roman" w:hAnsi="Times New Roman" w:cs="Times New Roman"/>
          <w:bCs/>
          <w:color w:val="000000"/>
          <w:sz w:val="22"/>
          <w:szCs w:val="22"/>
        </w:rPr>
        <w:t>e</w:t>
      </w:r>
      <w:r w:rsidRPr="007407BF">
        <w:rPr>
          <w:rFonts w:ascii="Times New Roman" w:hAnsi="Times New Roman" w:cs="Times New Roman"/>
          <w:bCs/>
          <w:color w:val="000000"/>
          <w:sz w:val="22"/>
          <w:szCs w:val="22"/>
        </w:rPr>
        <w:t>t neomez</w:t>
      </w:r>
      <w:r>
        <w:rPr>
          <w:rFonts w:ascii="Times New Roman" w:hAnsi="Times New Roman" w:cs="Times New Roman"/>
          <w:bCs/>
          <w:color w:val="000000"/>
          <w:sz w:val="22"/>
          <w:szCs w:val="22"/>
        </w:rPr>
        <w:t>il</w:t>
      </w:r>
      <w:r w:rsidRPr="007407BF">
        <w:rPr>
          <w:rFonts w:ascii="Times New Roman" w:hAnsi="Times New Roman" w:cs="Times New Roman"/>
          <w:bCs/>
          <w:color w:val="000000"/>
          <w:sz w:val="22"/>
          <w:szCs w:val="22"/>
        </w:rPr>
        <w:t xml:space="preserve"> výda</w:t>
      </w:r>
      <w:r>
        <w:rPr>
          <w:rFonts w:ascii="Times New Roman" w:hAnsi="Times New Roman" w:cs="Times New Roman"/>
          <w:bCs/>
          <w:color w:val="000000"/>
          <w:sz w:val="22"/>
          <w:szCs w:val="22"/>
        </w:rPr>
        <w:t>j</w:t>
      </w:r>
      <w:r w:rsidRPr="007407BF">
        <w:rPr>
          <w:rFonts w:ascii="Times New Roman" w:hAnsi="Times New Roman" w:cs="Times New Roman"/>
          <w:bCs/>
          <w:color w:val="000000"/>
          <w:sz w:val="22"/>
          <w:szCs w:val="22"/>
        </w:rPr>
        <w:t>ů na financování operačních programů spolufinancovaných z fondů EU, tyto výdaje patří mezi hlavní priority při sestavování rozpočtu.</w:t>
      </w:r>
    </w:p>
    <w:p w:rsidR="00E90043" w:rsidRDefault="00E90043" w:rsidP="00380843">
      <w:pPr>
        <w:pStyle w:val="Normlnweb"/>
        <w:shd w:val="clear" w:color="auto" w:fill="FFFFFF"/>
        <w:spacing w:after="0"/>
        <w:jc w:val="both"/>
        <w:rPr>
          <w:rFonts w:ascii="Times New Roman" w:hAnsi="Times New Roman" w:cs="Times New Roman"/>
        </w:rPr>
      </w:pPr>
    </w:p>
    <w:p w:rsidR="00380843" w:rsidRDefault="00380843" w:rsidP="00380843">
      <w:pPr>
        <w:pStyle w:val="Normlnweb"/>
        <w:shd w:val="clear" w:color="auto" w:fill="FFFFFF"/>
        <w:spacing w:after="0"/>
        <w:jc w:val="both"/>
        <w:rPr>
          <w:rFonts w:ascii="Times New Roman" w:hAnsi="Times New Roman" w:cs="Times New Roman"/>
          <w:bCs/>
          <w:color w:val="000000"/>
          <w:sz w:val="22"/>
          <w:szCs w:val="22"/>
        </w:rPr>
      </w:pPr>
      <w:r w:rsidRPr="00C05759">
        <w:rPr>
          <w:rFonts w:ascii="Times New Roman" w:hAnsi="Times New Roman" w:cs="Times New Roman"/>
        </w:rPr>
        <w:t>Pro finanční řízení programu znamenaly kurzové intervence</w:t>
      </w:r>
      <w:r>
        <w:rPr>
          <w:rFonts w:ascii="Times New Roman" w:hAnsi="Times New Roman" w:cs="Times New Roman"/>
        </w:rPr>
        <w:t xml:space="preserve"> České národní banky komplikace, vyvolaly </w:t>
      </w:r>
      <w:r w:rsidRPr="00C05759">
        <w:rPr>
          <w:rFonts w:ascii="Times New Roman" w:hAnsi="Times New Roman" w:cs="Times New Roman"/>
        </w:rPr>
        <w:t>významné zvýšení alokace a přispěly k</w:t>
      </w:r>
      <w:r>
        <w:rPr>
          <w:rFonts w:ascii="Times New Roman" w:hAnsi="Times New Roman" w:cs="Times New Roman"/>
        </w:rPr>
        <w:t>e ztrátě alokace v roce 2014</w:t>
      </w:r>
      <w:r w:rsidRPr="00C05759">
        <w:rPr>
          <w:rFonts w:ascii="Times New Roman" w:hAnsi="Times New Roman" w:cs="Times New Roman"/>
        </w:rPr>
        <w:t>.</w:t>
      </w:r>
    </w:p>
    <w:p w:rsidR="00A75862" w:rsidRDefault="00380843" w:rsidP="001C4850">
      <w:pPr>
        <w:pStyle w:val="Normlnweb"/>
        <w:shd w:val="clear" w:color="auto" w:fill="FFFFFF"/>
        <w:spacing w:after="0"/>
        <w:jc w:val="both"/>
        <w:rPr>
          <w:rFonts w:ascii="Times New Roman" w:hAnsi="Times New Roman" w:cs="Times New Roman"/>
          <w:bCs/>
          <w:color w:val="000000"/>
          <w:sz w:val="22"/>
          <w:szCs w:val="22"/>
        </w:rPr>
      </w:pPr>
      <w:r w:rsidRPr="0082312F">
        <w:rPr>
          <w:rFonts w:ascii="Times New Roman" w:hAnsi="Times New Roman" w:cs="Times New Roman"/>
          <w:bCs/>
          <w:color w:val="000000"/>
          <w:sz w:val="22"/>
          <w:szCs w:val="22"/>
        </w:rPr>
        <w:t>Podrobnější údaje o problematice ekonomické situace v ČR jsou uvedeny v kapitole 2.4 výroční zprávy.</w:t>
      </w:r>
    </w:p>
    <w:p w:rsidR="00A75862" w:rsidRPr="00C512CE" w:rsidRDefault="00A75862" w:rsidP="003B55CF">
      <w:pPr>
        <w:pStyle w:val="Nadpis1"/>
        <w:rPr>
          <w:rFonts w:ascii="Times New Roman" w:hAnsi="Times New Roman"/>
          <w:color w:val="76923C"/>
        </w:rPr>
      </w:pPr>
      <w:bookmarkStart w:id="14" w:name="_Toc417024834"/>
      <w:r w:rsidRPr="009026D3">
        <w:rPr>
          <w:rFonts w:ascii="Times New Roman" w:hAnsi="Times New Roman"/>
          <w:color w:val="76923C"/>
        </w:rPr>
        <w:t>2 PŘEHLED PROVÁDĚNÍ PROGRAMU</w:t>
      </w:r>
      <w:bookmarkEnd w:id="14"/>
    </w:p>
    <w:p w:rsidR="00A75862" w:rsidRDefault="00A75862" w:rsidP="003B55CF">
      <w:pPr>
        <w:rPr>
          <w:b/>
          <w:sz w:val="24"/>
          <w:szCs w:val="24"/>
        </w:rPr>
      </w:pPr>
    </w:p>
    <w:p w:rsidR="00A75862" w:rsidRDefault="00A75862" w:rsidP="0026772C">
      <w:pPr>
        <w:rPr>
          <w:color w:val="000080"/>
          <w:sz w:val="22"/>
          <w:szCs w:val="22"/>
        </w:rPr>
      </w:pPr>
      <w:r w:rsidRPr="001D75EA">
        <w:rPr>
          <w:b/>
          <w:sz w:val="24"/>
          <w:szCs w:val="24"/>
        </w:rPr>
        <w:t>Důležité mezníky programu</w:t>
      </w:r>
      <w:r w:rsidR="006C4AAD">
        <w:rPr>
          <w:b/>
          <w:sz w:val="24"/>
          <w:szCs w:val="24"/>
        </w:rPr>
        <w:t xml:space="preserve"> v roce 2014</w:t>
      </w:r>
    </w:p>
    <w:tbl>
      <w:tblPr>
        <w:tblW w:w="0" w:type="auto"/>
        <w:tblCellMar>
          <w:left w:w="70" w:type="dxa"/>
          <w:right w:w="70" w:type="dxa"/>
        </w:tblCellMar>
        <w:tblLook w:val="04A0" w:firstRow="1" w:lastRow="0" w:firstColumn="1" w:lastColumn="0" w:noHBand="0" w:noVBand="1"/>
      </w:tblPr>
      <w:tblGrid>
        <w:gridCol w:w="1214"/>
        <w:gridCol w:w="7996"/>
      </w:tblGrid>
      <w:tr w:rsidR="00D33D0C" w:rsidRPr="00D33D0C" w:rsidTr="006C0C4A">
        <w:trPr>
          <w:trHeight w:val="330"/>
        </w:trPr>
        <w:tc>
          <w:tcPr>
            <w:tcW w:w="0" w:type="auto"/>
            <w:tcBorders>
              <w:top w:val="double" w:sz="6" w:space="0" w:color="4F6228"/>
              <w:left w:val="double" w:sz="6" w:space="0" w:color="4F6228"/>
              <w:bottom w:val="single" w:sz="8" w:space="0" w:color="4F6228"/>
              <w:right w:val="single" w:sz="8" w:space="0" w:color="4F6228"/>
            </w:tcBorders>
            <w:shd w:val="clear" w:color="000000" w:fill="C2D69B"/>
            <w:noWrap/>
            <w:vAlign w:val="center"/>
            <w:hideMark/>
          </w:tcPr>
          <w:p w:rsidR="00D33D0C" w:rsidRPr="00D33D0C" w:rsidRDefault="00D33D0C" w:rsidP="00D33D0C">
            <w:pPr>
              <w:jc w:val="center"/>
              <w:rPr>
                <w:b/>
                <w:bCs/>
                <w:i/>
                <w:iCs/>
                <w:color w:val="000000"/>
                <w:sz w:val="18"/>
                <w:szCs w:val="18"/>
              </w:rPr>
            </w:pPr>
            <w:r w:rsidRPr="00D33D0C">
              <w:rPr>
                <w:b/>
                <w:bCs/>
                <w:color w:val="000000"/>
                <w:sz w:val="18"/>
                <w:szCs w:val="18"/>
              </w:rPr>
              <w:t>Datum</w:t>
            </w:r>
          </w:p>
        </w:tc>
        <w:tc>
          <w:tcPr>
            <w:tcW w:w="0" w:type="auto"/>
            <w:tcBorders>
              <w:top w:val="double" w:sz="6" w:space="0" w:color="4F6228"/>
              <w:left w:val="nil"/>
              <w:bottom w:val="single" w:sz="8" w:space="0" w:color="4F6228"/>
              <w:right w:val="double" w:sz="6" w:space="0" w:color="4F6228"/>
            </w:tcBorders>
            <w:shd w:val="clear" w:color="000000" w:fill="C2D69B"/>
            <w:noWrap/>
            <w:vAlign w:val="center"/>
            <w:hideMark/>
          </w:tcPr>
          <w:p w:rsidR="00D33D0C" w:rsidRPr="00D33D0C" w:rsidRDefault="00D33D0C" w:rsidP="00D33D0C">
            <w:pPr>
              <w:jc w:val="center"/>
              <w:rPr>
                <w:b/>
                <w:bCs/>
                <w:color w:val="000000"/>
                <w:sz w:val="18"/>
                <w:szCs w:val="18"/>
              </w:rPr>
            </w:pPr>
            <w:r w:rsidRPr="00D33D0C">
              <w:rPr>
                <w:b/>
                <w:bCs/>
                <w:color w:val="000000"/>
                <w:sz w:val="18"/>
                <w:szCs w:val="18"/>
              </w:rPr>
              <w:t>Název činnosti</w:t>
            </w:r>
          </w:p>
        </w:tc>
      </w:tr>
      <w:tr w:rsidR="00D33D0C" w:rsidRPr="00D33D0C" w:rsidTr="006C0C4A">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1. 1. 2014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Revize Příručky pro žadatele a příjemce </w:t>
            </w:r>
            <w:proofErr w:type="gramStart"/>
            <w:r w:rsidRPr="00D33D0C">
              <w:rPr>
                <w:color w:val="000000"/>
              </w:rPr>
              <w:t>pro 1.- 3. výzvu</w:t>
            </w:r>
            <w:proofErr w:type="gramEnd"/>
            <w:r w:rsidRPr="00D33D0C">
              <w:rPr>
                <w:color w:val="000000"/>
              </w:rPr>
              <w:t xml:space="preserve"> MK pro oblast intervence 5.1</w:t>
            </w:r>
          </w:p>
        </w:tc>
      </w:tr>
      <w:tr w:rsidR="00D33D0C" w:rsidRPr="00D33D0C" w:rsidTr="006C0C4A">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16. 1. 2014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054C98" w:rsidP="00D33D0C">
            <w:pPr>
              <w:rPr>
                <w:color w:val="000000"/>
              </w:rPr>
            </w:pPr>
            <w:r w:rsidRPr="00D33D0C">
              <w:rPr>
                <w:color w:val="000000"/>
              </w:rPr>
              <w:t xml:space="preserve">Revize výzvy </w:t>
            </w:r>
            <w:r>
              <w:rPr>
                <w:color w:val="000000"/>
              </w:rPr>
              <w:t xml:space="preserve">MPSV </w:t>
            </w:r>
            <w:r w:rsidRPr="00D33D0C">
              <w:rPr>
                <w:color w:val="000000"/>
              </w:rPr>
              <w:t>č. 7 v aktivitě 3.1 a) – prodloužení realizace projektů do 30. 11. 2015</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29. 1. 2014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907D8A">
            <w:pPr>
              <w:rPr>
                <w:color w:val="000000"/>
              </w:rPr>
            </w:pPr>
            <w:r w:rsidRPr="00D33D0C">
              <w:rPr>
                <w:color w:val="000000"/>
              </w:rPr>
              <w:t xml:space="preserve">Revize Příručky pro žadatele a příjemce </w:t>
            </w:r>
            <w:r w:rsidR="00054C98">
              <w:rPr>
                <w:color w:val="000000"/>
              </w:rPr>
              <w:t xml:space="preserve">MPSV </w:t>
            </w:r>
            <w:r w:rsidRPr="00D33D0C">
              <w:rPr>
                <w:color w:val="000000"/>
              </w:rPr>
              <w:t xml:space="preserve">ve výzvě č. 7, aktivity 3.1 a) </w:t>
            </w:r>
            <w:r w:rsidR="00907D8A">
              <w:rPr>
                <w:color w:val="000000"/>
              </w:rPr>
              <w:t>-</w:t>
            </w:r>
            <w:r w:rsidRPr="00D33D0C">
              <w:rPr>
                <w:color w:val="000000"/>
              </w:rPr>
              <w:t xml:space="preserve"> </w:t>
            </w:r>
            <w:r w:rsidR="00907D8A">
              <w:rPr>
                <w:color w:val="000000"/>
              </w:rPr>
              <w:t>z</w:t>
            </w:r>
            <w:r w:rsidRPr="00D33D0C">
              <w:rPr>
                <w:color w:val="000000"/>
              </w:rPr>
              <w:t>měna metodiky zadávání veřejných zakázek</w:t>
            </w:r>
          </w:p>
        </w:tc>
      </w:tr>
      <w:tr w:rsidR="00D33D0C" w:rsidRPr="00D33D0C" w:rsidTr="006C0C4A">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14. 2. 2014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054C98">
            <w:pPr>
              <w:rPr>
                <w:color w:val="000000"/>
              </w:rPr>
            </w:pPr>
            <w:r w:rsidRPr="00D33D0C">
              <w:rPr>
                <w:color w:val="000000"/>
              </w:rPr>
              <w:t>Vyhlášení výzvy</w:t>
            </w:r>
            <w:r w:rsidR="00054C98">
              <w:rPr>
                <w:color w:val="000000"/>
              </w:rPr>
              <w:t xml:space="preserve"> MMR </w:t>
            </w:r>
            <w:r w:rsidRPr="00D33D0C">
              <w:rPr>
                <w:color w:val="000000"/>
              </w:rPr>
              <w:t xml:space="preserve">č. 22 Konsolidace IT a nové služby TC obcí v oblasti </w:t>
            </w:r>
            <w:r w:rsidR="00907D8A" w:rsidRPr="00BE59CC">
              <w:rPr>
                <w:color w:val="000000"/>
              </w:rPr>
              <w:t>intervence 2.1</w:t>
            </w:r>
            <w:r w:rsidRPr="00D33D0C">
              <w:rPr>
                <w:b/>
                <w:bCs/>
                <w:color w:val="000000"/>
              </w:rPr>
              <w:t xml:space="preserve"> </w:t>
            </w:r>
          </w:p>
        </w:tc>
      </w:tr>
      <w:tr w:rsidR="00D33D0C" w:rsidRPr="00D33D0C" w:rsidTr="006C0C4A">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17. 2. 2014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Odpověď EK na dotazy z 1. přerušení schvalování velkých projektů</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6. 3. 2014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054C98" w:rsidP="00907D8A">
            <w:pPr>
              <w:rPr>
                <w:color w:val="000000"/>
              </w:rPr>
            </w:pPr>
            <w:r w:rsidRPr="00D33D0C">
              <w:rPr>
                <w:color w:val="000000"/>
              </w:rPr>
              <w:t>Revize Příručky pro žadatele a příjemce ve výzv</w:t>
            </w:r>
            <w:r>
              <w:rPr>
                <w:color w:val="000000"/>
              </w:rPr>
              <w:t xml:space="preserve">ách MPSV </w:t>
            </w:r>
            <w:r w:rsidRPr="00D33D0C">
              <w:rPr>
                <w:color w:val="000000"/>
              </w:rPr>
              <w:t xml:space="preserve">č. 1, 2, 3 aktivity 3.1 a), b) a c) </w:t>
            </w:r>
            <w:r>
              <w:rPr>
                <w:color w:val="000000"/>
              </w:rPr>
              <w:t>- z</w:t>
            </w:r>
            <w:r w:rsidRPr="00D33D0C">
              <w:rPr>
                <w:color w:val="000000"/>
              </w:rPr>
              <w:t>měna metodiky zadávání veřejných zakázek</w:t>
            </w:r>
          </w:p>
        </w:tc>
      </w:tr>
      <w:tr w:rsidR="00D33D0C" w:rsidRPr="00D33D0C" w:rsidTr="006C0C4A">
        <w:trPr>
          <w:trHeight w:hRule="exact" w:val="499"/>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6. 3. 2014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907D8A">
            <w:pPr>
              <w:rPr>
                <w:color w:val="000000"/>
              </w:rPr>
            </w:pPr>
            <w:r w:rsidRPr="00D33D0C">
              <w:rPr>
                <w:color w:val="000000"/>
              </w:rPr>
              <w:t xml:space="preserve">Revize Příručky pro žadatele a příjemce v aktivitě 3.3 c) </w:t>
            </w:r>
            <w:r w:rsidR="00907D8A">
              <w:rPr>
                <w:color w:val="000000"/>
              </w:rPr>
              <w:t>- z</w:t>
            </w:r>
            <w:r w:rsidRPr="00D33D0C">
              <w:rPr>
                <w:color w:val="000000"/>
              </w:rPr>
              <w:t>měna metodiky zadávání veřejných zakázek</w:t>
            </w:r>
          </w:p>
        </w:tc>
      </w:tr>
      <w:tr w:rsidR="00D33D0C" w:rsidRPr="00D33D0C" w:rsidTr="00BA55C3">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6. 3. 2014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2. přerušení schvalování velkých projektů</w:t>
            </w:r>
          </w:p>
        </w:tc>
      </w:tr>
      <w:tr w:rsidR="00D33D0C" w:rsidRPr="00D33D0C" w:rsidTr="00BA55C3">
        <w:trPr>
          <w:trHeight w:hRule="exact" w:val="525"/>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7. 3. 2014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D33D0C" w:rsidRDefault="00247745" w:rsidP="00054C98">
            <w:pPr>
              <w:rPr>
                <w:color w:val="000000"/>
              </w:rPr>
            </w:pPr>
            <w:r w:rsidRPr="00D33D0C">
              <w:rPr>
                <w:color w:val="000000"/>
              </w:rPr>
              <w:t>Prodloužení výzvy</w:t>
            </w:r>
            <w:r w:rsidR="00D33D0C" w:rsidRPr="00D33D0C">
              <w:rPr>
                <w:color w:val="000000"/>
              </w:rPr>
              <w:t xml:space="preserve"> č. 21 určené na rozvoj a modernizaci radiokomunikační sítě IZS Pegas v aktivit</w:t>
            </w:r>
            <w:r w:rsidR="00054C98">
              <w:rPr>
                <w:color w:val="000000"/>
              </w:rPr>
              <w:t>ách</w:t>
            </w:r>
            <w:r w:rsidR="00D33D0C" w:rsidRPr="00D33D0C">
              <w:rPr>
                <w:color w:val="000000"/>
              </w:rPr>
              <w:t xml:space="preserve"> 3.4 a) a 3.4 d) do </w:t>
            </w:r>
            <w:r w:rsidR="00E32D9F" w:rsidRPr="00D33D0C">
              <w:rPr>
                <w:color w:val="000000"/>
              </w:rPr>
              <w:t>25. 4. 2014</w:t>
            </w:r>
          </w:p>
        </w:tc>
      </w:tr>
      <w:tr w:rsidR="00D33D0C" w:rsidRPr="00D33D0C" w:rsidTr="00152C53">
        <w:trPr>
          <w:trHeight w:hRule="exact" w:val="476"/>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7. 3. 2014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907D8A">
            <w:pPr>
              <w:rPr>
                <w:color w:val="000000"/>
              </w:rPr>
            </w:pPr>
            <w:r w:rsidRPr="00D33D0C">
              <w:rPr>
                <w:color w:val="000000"/>
              </w:rPr>
              <w:t>Vyhlášení výzvy</w:t>
            </w:r>
            <w:r w:rsidR="00054C98">
              <w:rPr>
                <w:color w:val="000000"/>
              </w:rPr>
              <w:t xml:space="preserve"> MMR</w:t>
            </w:r>
            <w:r w:rsidRPr="00D33D0C">
              <w:rPr>
                <w:color w:val="000000"/>
              </w:rPr>
              <w:t xml:space="preserve"> č. 23 – Hlasová a datová komunikace pro složky IZS v aktivitě 3.4 a) </w:t>
            </w:r>
            <w:r w:rsidR="00D32175">
              <w:rPr>
                <w:color w:val="000000"/>
              </w:rPr>
              <w:br/>
            </w:r>
            <w:r w:rsidRPr="00D33D0C">
              <w:rPr>
                <w:color w:val="000000"/>
              </w:rPr>
              <w:t>a 3.4 d)</w:t>
            </w:r>
          </w:p>
        </w:tc>
      </w:tr>
      <w:tr w:rsidR="00D33D0C" w:rsidRPr="00D33D0C" w:rsidTr="001701A3">
        <w:trPr>
          <w:trHeight w:hRule="exact" w:val="1574"/>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1701A3" w:rsidRDefault="001701A3" w:rsidP="001701A3">
            <w:pPr>
              <w:rPr>
                <w:color w:val="000000"/>
              </w:rPr>
            </w:pPr>
            <w:r w:rsidRPr="001701A3">
              <w:rPr>
                <w:color w:val="000000"/>
              </w:rPr>
              <w:lastRenderedPageBreak/>
              <w:t>1. 3. 2014</w:t>
            </w:r>
            <w:r>
              <w:rPr>
                <w:color w:val="000000"/>
              </w:rPr>
              <w:t xml:space="preserve"> </w:t>
            </w:r>
            <w:r w:rsidR="00D33D0C" w:rsidRPr="001701A3">
              <w:rPr>
                <w:color w:val="000000"/>
              </w:rPr>
              <w:t>-</w:t>
            </w:r>
            <w:r w:rsidRPr="001701A3">
              <w:rPr>
                <w:color w:val="000000"/>
              </w:rPr>
              <w:t>30.3</w:t>
            </w:r>
            <w:r>
              <w:rPr>
                <w:color w:val="000000"/>
              </w:rPr>
              <w:t> 2014</w:t>
            </w:r>
            <w:r w:rsidR="00D33D0C" w:rsidRPr="001701A3">
              <w:rPr>
                <w:color w:val="000000"/>
              </w:rPr>
              <w:t xml:space="preserve"> </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D33D0C" w:rsidRDefault="00D33D0C" w:rsidP="00907D8A">
            <w:pPr>
              <w:jc w:val="both"/>
              <w:rPr>
                <w:color w:val="000000"/>
              </w:rPr>
            </w:pPr>
            <w:r w:rsidRPr="00D33D0C">
              <w:rPr>
                <w:color w:val="000000"/>
              </w:rPr>
              <w:t>Jednání ŘO s příjemci - konzultace návrhů nových projektů do kontinuální výzvy</w:t>
            </w:r>
            <w:r w:rsidR="00054C98">
              <w:rPr>
                <w:color w:val="000000"/>
              </w:rPr>
              <w:t xml:space="preserve"> MMR</w:t>
            </w:r>
            <w:r w:rsidRPr="00D33D0C">
              <w:rPr>
                <w:color w:val="000000"/>
              </w:rPr>
              <w:t xml:space="preserve"> </w:t>
            </w:r>
            <w:r w:rsidR="001701A3">
              <w:rPr>
                <w:color w:val="000000"/>
              </w:rPr>
              <w:br/>
            </w:r>
            <w:r w:rsidRPr="00D33D0C">
              <w:rPr>
                <w:color w:val="000000"/>
              </w:rPr>
              <w:t xml:space="preserve">č. </w:t>
            </w:r>
            <w:r w:rsidR="00907D8A" w:rsidRPr="00D33D0C">
              <w:rPr>
                <w:color w:val="000000"/>
              </w:rPr>
              <w:t>12  v prioritních</w:t>
            </w:r>
            <w:r w:rsidRPr="00D33D0C">
              <w:rPr>
                <w:color w:val="000000"/>
              </w:rPr>
              <w:t xml:space="preserve"> osách 4 a Národní podpora cestovního ruchu a 4 b Národní podpora cestovního </w:t>
            </w:r>
            <w:r w:rsidR="00681B9E" w:rsidRPr="00D33D0C">
              <w:rPr>
                <w:color w:val="000000"/>
              </w:rPr>
              <w:t>ruchu. Podporované</w:t>
            </w:r>
            <w:r w:rsidRPr="00D33D0C">
              <w:rPr>
                <w:color w:val="000000"/>
              </w:rPr>
              <w:t xml:space="preserve"> aktivity: a) zavedení národního informačního systému, </w:t>
            </w:r>
            <w:r w:rsidR="001701A3">
              <w:rPr>
                <w:color w:val="000000"/>
              </w:rPr>
              <w:br/>
            </w:r>
            <w:r w:rsidRPr="00D33D0C">
              <w:rPr>
                <w:color w:val="000000"/>
              </w:rPr>
              <w:t>c) podpora marketingu na národní úrovni a tvorby zdrojových databází, e) podpora prezentace ČR jako destinace cestovního ruchu.</w:t>
            </w:r>
          </w:p>
        </w:tc>
      </w:tr>
      <w:tr w:rsidR="00D33D0C" w:rsidRPr="00D33D0C" w:rsidTr="006C0C4A">
        <w:trPr>
          <w:trHeight w:hRule="exact" w:val="780"/>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8. 4. 2014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Zasedání hodnotící komise k 17. výzvě </w:t>
            </w:r>
            <w:proofErr w:type="spellStart"/>
            <w:r w:rsidRPr="00D33D0C">
              <w:rPr>
                <w:color w:val="000000"/>
              </w:rPr>
              <w:t>MZd</w:t>
            </w:r>
            <w:proofErr w:type="spellEnd"/>
            <w:r w:rsidRPr="00D33D0C">
              <w:rPr>
                <w:color w:val="000000"/>
              </w:rPr>
              <w:t xml:space="preserve"> 3.2 Služby v oblasti veřejného zdraví pro aktivitu 3.2a) Řízená modernizace a obnova přístrojového vybavení (zdravotnických prostředků) národních sítí zdravotnických zařízení včetně technického zázemí</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11. 4. 2014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Revize Příručky pro žadatele a příjemce ve výzvě</w:t>
            </w:r>
            <w:r w:rsidR="00B77F13">
              <w:rPr>
                <w:color w:val="000000"/>
              </w:rPr>
              <w:t xml:space="preserve"> č. 8 MPSV pro aktivitu </w:t>
            </w:r>
            <w:r w:rsidR="00FC6FEE">
              <w:rPr>
                <w:color w:val="000000"/>
              </w:rPr>
              <w:t xml:space="preserve">3.1c) </w:t>
            </w:r>
            <w:r w:rsidR="00FC6FEE" w:rsidRPr="00D33D0C">
              <w:rPr>
                <w:color w:val="000000"/>
              </w:rPr>
              <w:t>oblast</w:t>
            </w:r>
            <w:r w:rsidRPr="00D33D0C">
              <w:rPr>
                <w:color w:val="000000"/>
              </w:rPr>
              <w:t xml:space="preserve"> monitorovacích indikátorů a udržitelnosti projektu.</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14. 4. 2014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CD0CE6" w:rsidP="00D33D0C">
            <w:pPr>
              <w:rPr>
                <w:color w:val="000000"/>
              </w:rPr>
            </w:pPr>
            <w:r w:rsidRPr="00D33D0C">
              <w:rPr>
                <w:color w:val="000000"/>
              </w:rPr>
              <w:t>Vyhlášení 17. výzvy MV pro oblast</w:t>
            </w:r>
            <w:r>
              <w:rPr>
                <w:color w:val="000000"/>
              </w:rPr>
              <w:t>i</w:t>
            </w:r>
            <w:r w:rsidRPr="00D33D0C">
              <w:rPr>
                <w:color w:val="000000"/>
              </w:rPr>
              <w:t xml:space="preserve"> intervence 1.1a, b) - Rozvoj informační společnosti ve veřejné správě. Výzva byla ukončena </w:t>
            </w:r>
            <w:r w:rsidR="001701A3" w:rsidRPr="00D33D0C">
              <w:rPr>
                <w:color w:val="000000"/>
              </w:rPr>
              <w:t>6. 6. 2014</w:t>
            </w:r>
            <w:r>
              <w:rPr>
                <w:color w:val="000000"/>
              </w:rPr>
              <w:t>.</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18. 4. 2014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Úprava a doplnění Příručky pro žadatele a příjemce v OI 3.3a) a 3.3b) – změna návrhu podmínek Stanovení výdajů, Prohlášení příjemce pro Stanovení výdajů.</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25. 4. 2014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Vyhlášení výzvy č. 24 MMR pro oblast intervence 5.1- Národní podpora využívání potenciálu kulturního dědictví.</w:t>
            </w:r>
          </w:p>
        </w:tc>
      </w:tr>
      <w:tr w:rsidR="00D33D0C" w:rsidRPr="00D33D0C" w:rsidTr="006C0C4A">
        <w:trPr>
          <w:trHeight w:hRule="exact" w:val="780"/>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28. 4. 2014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Zasedání výběrové komise IOP k 17. výzvě </w:t>
            </w:r>
            <w:proofErr w:type="spellStart"/>
            <w:r w:rsidRPr="00D33D0C">
              <w:rPr>
                <w:color w:val="000000"/>
              </w:rPr>
              <w:t>MZd</w:t>
            </w:r>
            <w:proofErr w:type="spellEnd"/>
            <w:r w:rsidRPr="00D33D0C">
              <w:rPr>
                <w:color w:val="000000"/>
              </w:rPr>
              <w:t xml:space="preserve"> pro oblast intervence 3.2 Služby v oblasti veřejného zdraví, aktivita 3.2a) Řízená modernizace a obnova přístrojového vybavení (zdravotnických prostředků) národních sítí zdravotnických zařízení včetně technického zázemí</w:t>
            </w:r>
          </w:p>
        </w:tc>
      </w:tr>
      <w:tr w:rsidR="00D33D0C" w:rsidRPr="00D33D0C" w:rsidTr="006C0C4A">
        <w:trPr>
          <w:trHeight w:hRule="exact" w:val="738"/>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EC5484">
            <w:pPr>
              <w:jc w:val="right"/>
              <w:rPr>
                <w:color w:val="000000"/>
              </w:rPr>
            </w:pPr>
            <w:r w:rsidRPr="00D33D0C">
              <w:rPr>
                <w:color w:val="000000"/>
              </w:rPr>
              <w:t>2. 5. 2014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EC5484">
            <w:pPr>
              <w:rPr>
                <w:color w:val="000000"/>
              </w:rPr>
            </w:pPr>
            <w:r w:rsidRPr="00D33D0C">
              <w:rPr>
                <w:color w:val="000000"/>
              </w:rPr>
              <w:t xml:space="preserve">Zahájena revize Příruček pro žadatele a příjemce ve všech výzvách oblasti intervence </w:t>
            </w:r>
            <w:r w:rsidR="00907D8A">
              <w:rPr>
                <w:color w:val="000000"/>
              </w:rPr>
              <w:br/>
            </w:r>
            <w:r w:rsidRPr="00D33D0C">
              <w:rPr>
                <w:color w:val="000000"/>
              </w:rPr>
              <w:t xml:space="preserve">1.1 z důvodu úpravy podmínek Stanovení/Rozhodnutí výdajů </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6. 5. 2014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1A5DD2">
            <w:pPr>
              <w:rPr>
                <w:color w:val="000000"/>
              </w:rPr>
            </w:pPr>
            <w:r w:rsidRPr="00D33D0C">
              <w:rPr>
                <w:color w:val="000000"/>
              </w:rPr>
              <w:t xml:space="preserve">Výběrová komise k projektům z výzev MPSV č. 8 a č. 1 pro aktivitu 3.1c), bylo doporučeno k financování 17 projektů v celkové hodnotě 39 918 546 </w:t>
            </w:r>
            <w:r w:rsidR="001A5DD2" w:rsidRPr="00D33D0C">
              <w:rPr>
                <w:color w:val="000000"/>
              </w:rPr>
              <w:t>Kč</w:t>
            </w:r>
            <w:r w:rsidR="001A5DD2">
              <w:rPr>
                <w:rFonts w:ascii="Calibri" w:hAnsi="Calibri"/>
                <w:color w:val="000000"/>
                <w:sz w:val="22"/>
                <w:szCs w:val="22"/>
              </w:rPr>
              <w:t>.</w:t>
            </w:r>
            <w:r w:rsidR="001A5DD2" w:rsidRPr="00D33D0C">
              <w:rPr>
                <w:rFonts w:ascii="Calibri" w:hAnsi="Calibri"/>
                <w:color w:val="000000"/>
                <w:sz w:val="22"/>
                <w:szCs w:val="22"/>
              </w:rPr>
              <w:t xml:space="preserve"> </w:t>
            </w:r>
          </w:p>
        </w:tc>
      </w:tr>
      <w:tr w:rsidR="00D33D0C" w:rsidRPr="00D33D0C" w:rsidTr="006C0C4A">
        <w:trPr>
          <w:trHeight w:hRule="exact" w:val="525"/>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6. 5. 2014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Zasedání hodnotící komise k 17. výzvě </w:t>
            </w:r>
            <w:proofErr w:type="spellStart"/>
            <w:r w:rsidRPr="00D33D0C">
              <w:rPr>
                <w:color w:val="000000"/>
              </w:rPr>
              <w:t>MZd</w:t>
            </w:r>
            <w:proofErr w:type="spellEnd"/>
            <w:r w:rsidRPr="00D33D0C">
              <w:rPr>
                <w:color w:val="000000"/>
              </w:rPr>
              <w:t xml:space="preserve"> 3.2 Služby v oblasti veřejného zdraví pro aktivitu 3.2c) řízení kvality a nákladovosti systému veřejného zdraví</w:t>
            </w:r>
            <w:r w:rsidR="001A5DD2">
              <w:rPr>
                <w:color w:val="000000"/>
              </w:rPr>
              <w:t>.</w:t>
            </w:r>
          </w:p>
        </w:tc>
      </w:tr>
      <w:tr w:rsidR="00D33D0C" w:rsidRPr="00D33D0C" w:rsidTr="006C0C4A">
        <w:trPr>
          <w:trHeight w:hRule="exact" w:val="525"/>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19. 5. 2014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Školení hodnotitelů pro 24. výzvu MMR pro oblast intervence 5.1- Národní podpora využívání potenciálu kulturního dědictví</w:t>
            </w:r>
          </w:p>
        </w:tc>
      </w:tr>
      <w:tr w:rsidR="00D33D0C" w:rsidRPr="00D33D0C" w:rsidTr="004B7B46">
        <w:trPr>
          <w:trHeight w:hRule="exact" w:val="510"/>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D33D0C" w:rsidRDefault="00D33D0C" w:rsidP="004B7B46">
            <w:pPr>
              <w:jc w:val="right"/>
              <w:rPr>
                <w:color w:val="000000"/>
              </w:rPr>
            </w:pPr>
            <w:r w:rsidRPr="00D33D0C">
              <w:rPr>
                <w:color w:val="000000"/>
              </w:rPr>
              <w:t>květen-červen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D33D0C" w:rsidRDefault="00D33D0C" w:rsidP="004B7B46">
            <w:pPr>
              <w:rPr>
                <w:color w:val="000000"/>
              </w:rPr>
            </w:pPr>
            <w:r w:rsidRPr="00D33D0C">
              <w:rPr>
                <w:color w:val="000000"/>
              </w:rPr>
              <w:t xml:space="preserve">Aktualizace Příruček pro žadatele a příjemce v oblasti intervence 5.1 </w:t>
            </w:r>
            <w:proofErr w:type="gramStart"/>
            <w:r w:rsidRPr="00D33D0C">
              <w:rPr>
                <w:color w:val="000000"/>
              </w:rPr>
              <w:t>pro 1</w:t>
            </w:r>
            <w:r w:rsidR="004B7B46">
              <w:rPr>
                <w:color w:val="000000"/>
              </w:rPr>
              <w:t>.</w:t>
            </w:r>
            <w:r w:rsidRPr="00D33D0C">
              <w:rPr>
                <w:color w:val="000000"/>
              </w:rPr>
              <w:t>-</w:t>
            </w:r>
            <w:r w:rsidR="001701A3">
              <w:rPr>
                <w:color w:val="000000"/>
              </w:rPr>
              <w:t xml:space="preserve"> </w:t>
            </w:r>
            <w:r w:rsidRPr="00D33D0C">
              <w:rPr>
                <w:color w:val="000000"/>
              </w:rPr>
              <w:t>3. výzvu</w:t>
            </w:r>
            <w:proofErr w:type="gramEnd"/>
            <w:r w:rsidRPr="00D33D0C">
              <w:rPr>
                <w:color w:val="000000"/>
              </w:rPr>
              <w:t xml:space="preserve"> MK a pro 24. výzvu MMR (revize Podmínek k Rozhodnutí o poskytnutí dotace)</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Zasedání výběrové komise k 17. výzvě </w:t>
            </w:r>
            <w:proofErr w:type="spellStart"/>
            <w:r w:rsidRPr="00D33D0C">
              <w:rPr>
                <w:color w:val="000000"/>
              </w:rPr>
              <w:t>MZd</w:t>
            </w:r>
            <w:proofErr w:type="spellEnd"/>
            <w:r w:rsidRPr="00D33D0C">
              <w:rPr>
                <w:color w:val="000000"/>
              </w:rPr>
              <w:t xml:space="preserve"> 3.2 Služby v oblasti veřejného zdraví pro aktivitu 3.2c) Řízení kvality a nákladovosti systému veřejného zdraví</w:t>
            </w:r>
          </w:p>
        </w:tc>
      </w:tr>
      <w:tr w:rsidR="00D33D0C" w:rsidRPr="00D33D0C" w:rsidTr="006C0C4A">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3. 6. 2014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Prodloužení výzvy  MPSV č. 4 pro aktivity 3.3a) a 3.3b) do </w:t>
            </w:r>
            <w:r w:rsidR="001701A3" w:rsidRPr="00D33D0C">
              <w:rPr>
                <w:color w:val="000000"/>
              </w:rPr>
              <w:t>31. 8. 2014</w:t>
            </w:r>
          </w:p>
        </w:tc>
      </w:tr>
      <w:tr w:rsidR="00D33D0C" w:rsidRPr="00D33D0C" w:rsidTr="006C0C4A">
        <w:trPr>
          <w:trHeight w:hRule="exact" w:val="501"/>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3. 6. 2014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A1075F" w:rsidRDefault="00D33D0C" w:rsidP="00D33D0C">
            <w:r w:rsidRPr="00A1075F">
              <w:rPr>
                <w:color w:val="000000"/>
              </w:rPr>
              <w:t>13. zasedání Monitorovacího výboru IOP</w:t>
            </w:r>
            <w:r w:rsidR="00A1075F" w:rsidRPr="00A1075F">
              <w:rPr>
                <w:color w:val="000000"/>
              </w:rPr>
              <w:t xml:space="preserve"> - schválení návrhu revize Programového dokumentu</w:t>
            </w:r>
            <w:r w:rsidR="00A1075F" w:rsidRPr="00A1075F">
              <w:t xml:space="preserve"> IOP</w:t>
            </w:r>
          </w:p>
          <w:p w:rsidR="00A1075F" w:rsidRDefault="00A1075F" w:rsidP="00D33D0C">
            <w:pPr>
              <w:rPr>
                <w:color w:val="000000"/>
              </w:rPr>
            </w:pPr>
          </w:p>
          <w:p w:rsidR="00A1075F" w:rsidRPr="00D33D0C" w:rsidRDefault="00A1075F" w:rsidP="00D33D0C">
            <w:pPr>
              <w:rPr>
                <w:color w:val="000000"/>
              </w:rPr>
            </w:pP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5. 6. 2014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054C98">
            <w:pPr>
              <w:rPr>
                <w:color w:val="000000"/>
              </w:rPr>
            </w:pPr>
            <w:r w:rsidRPr="00D33D0C">
              <w:rPr>
                <w:color w:val="000000"/>
              </w:rPr>
              <w:t xml:space="preserve">Stanovisko ŘO IOP k dopisu EK, kterým byl ŘO IOP informován o zastavení platební </w:t>
            </w:r>
            <w:r w:rsidR="00247745" w:rsidRPr="00D33D0C">
              <w:rPr>
                <w:color w:val="000000"/>
              </w:rPr>
              <w:t xml:space="preserve">lhůty </w:t>
            </w:r>
            <w:r w:rsidR="00247745">
              <w:rPr>
                <w:color w:val="000000"/>
              </w:rPr>
              <w:t>v oblasti</w:t>
            </w:r>
            <w:r w:rsidRPr="00D33D0C">
              <w:rPr>
                <w:color w:val="000000"/>
              </w:rPr>
              <w:t xml:space="preserve"> intervence 3.2 Služby v oblasti veřejného </w:t>
            </w:r>
            <w:r w:rsidR="00247745" w:rsidRPr="00D33D0C">
              <w:rPr>
                <w:color w:val="000000"/>
              </w:rPr>
              <w:t>zdraví.</w:t>
            </w:r>
            <w:r w:rsidRPr="00D33D0C">
              <w:rPr>
                <w:color w:val="000000"/>
              </w:rPr>
              <w:t xml:space="preserve"> </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5. 6. 2014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Úprava a doplnění Příručky pro žadatele a příjemce v OI 3.3a) a 3.3 b) – Stanovení výdajů na financování projektu organizační složky státu</w:t>
            </w:r>
            <w:r w:rsidR="001A5DD2">
              <w:rPr>
                <w:color w:val="000000"/>
              </w:rPr>
              <w:t>.</w:t>
            </w:r>
          </w:p>
        </w:tc>
      </w:tr>
      <w:tr w:rsidR="00D33D0C" w:rsidRPr="00D33D0C"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18. 6. 2014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FC6FEE" w:rsidRDefault="00D33D0C" w:rsidP="00D33D0C">
            <w:pPr>
              <w:rPr>
                <w:color w:val="000000"/>
                <w:highlight w:val="yellow"/>
              </w:rPr>
            </w:pPr>
            <w:r w:rsidRPr="00CA3C4B">
              <w:rPr>
                <w:color w:val="000000"/>
              </w:rPr>
              <w:t xml:space="preserve">Zvýšení alokace 22. výzvy MMR v oblasti intervence 2.1 z 250 na 400 mil Kč podílu ERDF. Výzva byla ukončena </w:t>
            </w:r>
            <w:r w:rsidR="001701A3" w:rsidRPr="00CA3C4B">
              <w:rPr>
                <w:color w:val="000000"/>
              </w:rPr>
              <w:t>30. 6. 2014</w:t>
            </w:r>
            <w:r w:rsidR="001A5DD2">
              <w:rPr>
                <w:color w:val="000000"/>
              </w:rPr>
              <w:t>.</w:t>
            </w:r>
          </w:p>
        </w:tc>
      </w:tr>
      <w:tr w:rsidR="00D33D0C" w:rsidRPr="00D33D0C" w:rsidTr="006C0C4A">
        <w:trPr>
          <w:trHeight w:hRule="exact" w:val="68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18. 6. 2014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FC6FEE" w:rsidRDefault="00D33D0C" w:rsidP="00B56FD6">
            <w:pPr>
              <w:rPr>
                <w:color w:val="000000"/>
                <w:highlight w:val="yellow"/>
              </w:rPr>
            </w:pPr>
            <w:r w:rsidRPr="00B56FD6">
              <w:rPr>
                <w:color w:val="000000"/>
              </w:rPr>
              <w:t>Zvýšení alokace 24. výzvy M</w:t>
            </w:r>
            <w:r w:rsidR="00FC6FEE" w:rsidRPr="00B56FD6">
              <w:rPr>
                <w:color w:val="000000"/>
              </w:rPr>
              <w:t>M</w:t>
            </w:r>
            <w:r w:rsidRPr="00B56FD6">
              <w:rPr>
                <w:color w:val="000000"/>
              </w:rPr>
              <w:t>R v oblasti intervence 5.1o 100 mil. Kč</w:t>
            </w:r>
            <w:r w:rsidR="00B56FD6" w:rsidRPr="00B56FD6">
              <w:rPr>
                <w:color w:val="000000"/>
              </w:rPr>
              <w:t xml:space="preserve"> (ERDF 85 mil. Kč, SR 15 mil. Kč)</w:t>
            </w:r>
            <w:r w:rsidRPr="00B56FD6">
              <w:rPr>
                <w:color w:val="000000"/>
              </w:rPr>
              <w:t>. Výzva byla ukončena k </w:t>
            </w:r>
            <w:r w:rsidR="001701A3" w:rsidRPr="00B56FD6">
              <w:rPr>
                <w:color w:val="000000"/>
              </w:rPr>
              <w:t>30. 6. 2014</w:t>
            </w:r>
            <w:r w:rsidR="001A5DD2">
              <w:rPr>
                <w:color w:val="000000"/>
              </w:rPr>
              <w:t>.</w:t>
            </w:r>
          </w:p>
        </w:tc>
      </w:tr>
      <w:tr w:rsidR="00D33D0C" w:rsidRPr="00D33D0C" w:rsidTr="006C0C4A">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24. 6. 2014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Seminář pro příjemce – výzvy </w:t>
            </w:r>
            <w:proofErr w:type="spellStart"/>
            <w:r w:rsidRPr="00D33D0C">
              <w:rPr>
                <w:color w:val="000000"/>
              </w:rPr>
              <w:t>MZd</w:t>
            </w:r>
            <w:proofErr w:type="spellEnd"/>
            <w:r w:rsidRPr="00D33D0C">
              <w:rPr>
                <w:color w:val="000000"/>
              </w:rPr>
              <w:t xml:space="preserve"> č. 13, 14, 17 a 18</w:t>
            </w:r>
          </w:p>
        </w:tc>
      </w:tr>
      <w:tr w:rsidR="00D33D0C" w:rsidRPr="00D33D0C" w:rsidTr="006C0C4A">
        <w:trPr>
          <w:trHeight w:hRule="exact" w:val="780"/>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25. 6. 2014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247745" w:rsidP="00D33D0C">
            <w:pPr>
              <w:rPr>
                <w:color w:val="000000"/>
              </w:rPr>
            </w:pPr>
            <w:r w:rsidRPr="00D33D0C">
              <w:rPr>
                <w:color w:val="000000"/>
              </w:rPr>
              <w:t>Vyhlášení výzvy</w:t>
            </w:r>
            <w:r w:rsidR="00D33D0C" w:rsidRPr="00D33D0C">
              <w:rPr>
                <w:color w:val="000000"/>
              </w:rPr>
              <w:t xml:space="preserve"> MMR č. 25 pro oblasti intervence  4.1a a 4.1b – Národní podpora cestovního ruchu, aktivita d) Prezentace a propagace kulturního a přírodního bohatství, kulturního průmyslu a služeb s využitím pro cestovní ruch na národní úrovni  - výzva ukončena </w:t>
            </w:r>
            <w:proofErr w:type="gramStart"/>
            <w:r w:rsidR="00D33D0C" w:rsidRPr="00D33D0C">
              <w:rPr>
                <w:color w:val="000000"/>
              </w:rPr>
              <w:t>1.9.2014</w:t>
            </w:r>
            <w:proofErr w:type="gramEnd"/>
          </w:p>
        </w:tc>
      </w:tr>
      <w:tr w:rsidR="00D33D0C" w:rsidRPr="00D33D0C" w:rsidTr="00583712">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30. 6. 2014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Vyhlášení výzvy MMR č. 26 pro oblast intervence 3.4 Služby v oblasti bezpečnosti, </w:t>
            </w:r>
            <w:r w:rsidR="00247745" w:rsidRPr="00D33D0C">
              <w:rPr>
                <w:color w:val="000000"/>
              </w:rPr>
              <w:t xml:space="preserve">prevence </w:t>
            </w:r>
            <w:r w:rsidR="00247745">
              <w:rPr>
                <w:color w:val="000000"/>
              </w:rPr>
              <w:t>a řešení</w:t>
            </w:r>
            <w:r w:rsidRPr="00D33D0C">
              <w:rPr>
                <w:color w:val="000000"/>
              </w:rPr>
              <w:t xml:space="preserve"> rizik</w:t>
            </w:r>
          </w:p>
        </w:tc>
      </w:tr>
      <w:tr w:rsidR="00D33D0C" w:rsidRPr="00D33D0C" w:rsidTr="00152C53">
        <w:trPr>
          <w:trHeight w:val="525"/>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2., </w:t>
            </w:r>
            <w:r w:rsidR="001701A3" w:rsidRPr="00D33D0C">
              <w:rPr>
                <w:color w:val="000000"/>
              </w:rPr>
              <w:t>8. 7. 2014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D33D0C" w:rsidRDefault="00D33D0C" w:rsidP="00054C98">
            <w:pPr>
              <w:rPr>
                <w:color w:val="000000"/>
              </w:rPr>
            </w:pPr>
            <w:r w:rsidRPr="00D33D0C">
              <w:rPr>
                <w:color w:val="000000"/>
              </w:rPr>
              <w:t>Semináře pro příjemce v aktivitě 3.1b) k plnění povinností příjemců v době udržitelnosti projektu, místo konání: Praha, Olomouc</w:t>
            </w:r>
          </w:p>
        </w:tc>
      </w:tr>
      <w:tr w:rsidR="00D33D0C" w:rsidRPr="00D33D0C" w:rsidTr="006C0C4A">
        <w:trPr>
          <w:trHeigh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D33D0C" w:rsidP="00D33D0C">
            <w:pPr>
              <w:rPr>
                <w:color w:val="000000"/>
              </w:rPr>
            </w:pPr>
            <w:r w:rsidRPr="00D33D0C">
              <w:rPr>
                <w:color w:val="000000"/>
              </w:rPr>
              <w:lastRenderedPageBreak/>
              <w:t xml:space="preserve">2., </w:t>
            </w:r>
            <w:r w:rsidR="001701A3" w:rsidRPr="00D33D0C">
              <w:rPr>
                <w:color w:val="000000"/>
              </w:rPr>
              <w:t>8. 7. 2014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054C98">
            <w:pPr>
              <w:rPr>
                <w:color w:val="000000"/>
              </w:rPr>
            </w:pPr>
            <w:r w:rsidRPr="00D33D0C">
              <w:rPr>
                <w:color w:val="000000"/>
              </w:rPr>
              <w:t>Semináře pro příjemce v aktivitě 3.1c) k plnění povinností příjemců v době udržitelnosti projektu, místo konání: Praha, Olomouc</w:t>
            </w:r>
          </w:p>
        </w:tc>
      </w:tr>
      <w:tr w:rsidR="00D33D0C" w:rsidRPr="00D33D0C"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23. 7. 2014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532131" w:rsidP="00D33D0C">
            <w:pPr>
              <w:rPr>
                <w:color w:val="000000"/>
              </w:rPr>
            </w:pPr>
            <w:r>
              <w:rPr>
                <w:color w:val="000000"/>
              </w:rPr>
              <w:t>S</w:t>
            </w:r>
            <w:r w:rsidRPr="00D33D0C">
              <w:rPr>
                <w:color w:val="000000"/>
              </w:rPr>
              <w:t>etkání s příjemc</w:t>
            </w:r>
            <w:r>
              <w:rPr>
                <w:color w:val="000000"/>
              </w:rPr>
              <w:t>i</w:t>
            </w:r>
            <w:r w:rsidRPr="00D33D0C">
              <w:rPr>
                <w:color w:val="000000"/>
              </w:rPr>
              <w:t xml:space="preserve"> dotace, jejichž projekty byly vybrány do vzorku horizontálního auditu</w:t>
            </w:r>
          </w:p>
        </w:tc>
      </w:tr>
      <w:tr w:rsidR="00D33D0C" w:rsidRPr="00D33D0C"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31. 7. 2014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907D8A">
            <w:pPr>
              <w:rPr>
                <w:color w:val="000000"/>
              </w:rPr>
            </w:pPr>
            <w:r w:rsidRPr="00D33D0C">
              <w:rPr>
                <w:color w:val="000000"/>
              </w:rPr>
              <w:t xml:space="preserve">Výběrová komise pro výzvu MV č. 17 v oblasti intervence 1.1 – 3 projekty </w:t>
            </w:r>
            <w:r w:rsidR="00907D8A" w:rsidRPr="00D33D0C">
              <w:rPr>
                <w:color w:val="000000"/>
              </w:rPr>
              <w:t>doporučeny</w:t>
            </w:r>
            <w:r w:rsidR="00907D8A">
              <w:rPr>
                <w:color w:val="000000"/>
              </w:rPr>
              <w:br/>
            </w:r>
            <w:r w:rsidR="00907D8A" w:rsidRPr="00D33D0C">
              <w:rPr>
                <w:color w:val="000000"/>
              </w:rPr>
              <w:t>k financování</w:t>
            </w:r>
          </w:p>
        </w:tc>
      </w:tr>
      <w:tr w:rsidR="00D33D0C" w:rsidRPr="00D33D0C"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13. 8. 2014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Výběrová komise pro výzvu MV č. 17 v oblasti intervence 1.1 – 4 projekty doporučeny </w:t>
            </w:r>
            <w:r w:rsidR="00907D8A">
              <w:rPr>
                <w:color w:val="000000"/>
              </w:rPr>
              <w:br/>
            </w:r>
            <w:r w:rsidRPr="00D33D0C">
              <w:rPr>
                <w:color w:val="000000"/>
              </w:rPr>
              <w:t>k financování</w:t>
            </w:r>
          </w:p>
        </w:tc>
      </w:tr>
      <w:tr w:rsidR="00D33D0C" w:rsidRPr="00D33D0C"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14. 8. 2014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EK schválila velký projekt Generálního ředitelství Hasičského záchranného sboru</w:t>
            </w:r>
          </w:p>
        </w:tc>
      </w:tr>
      <w:tr w:rsidR="00D33D0C" w:rsidRPr="00D33D0C"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27. 8. 2014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Výběrová komise pro výzvu MV č. 17 oblasti intervence 1.1 – 4 projekty doporučeny </w:t>
            </w:r>
            <w:r w:rsidR="00907D8A">
              <w:rPr>
                <w:color w:val="000000"/>
              </w:rPr>
              <w:br/>
            </w:r>
            <w:r w:rsidRPr="00D33D0C">
              <w:rPr>
                <w:color w:val="000000"/>
              </w:rPr>
              <w:t>k financování</w:t>
            </w:r>
          </w:p>
        </w:tc>
      </w:tr>
      <w:tr w:rsidR="00D33D0C" w:rsidRPr="00D33D0C"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29. 8. 2014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 xml:space="preserve">Prodloužení výzvy MPSV č. 4 pro aktivity 3.3a) a 3.3b) do </w:t>
            </w:r>
            <w:r w:rsidR="00E32D9F" w:rsidRPr="00D33D0C">
              <w:rPr>
                <w:color w:val="000000"/>
              </w:rPr>
              <w:t>31. 12. 2014</w:t>
            </w:r>
          </w:p>
        </w:tc>
      </w:tr>
      <w:tr w:rsidR="00D33D0C" w:rsidRPr="00D33D0C"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29. 8. 2014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Ukončení příjmu žádostí ve 26. výzvě MMR pro oblast intervence 3.4 </w:t>
            </w:r>
          </w:p>
        </w:tc>
      </w:tr>
      <w:tr w:rsidR="00D33D0C" w:rsidRPr="00D33D0C" w:rsidTr="006C0C4A">
        <w:trPr>
          <w:trHeigh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D33D0C" w:rsidRDefault="001701A3" w:rsidP="00D33D0C">
            <w:pPr>
              <w:jc w:val="right"/>
              <w:rPr>
                <w:color w:val="000000"/>
              </w:rPr>
            </w:pPr>
            <w:r w:rsidRPr="00D33D0C">
              <w:rPr>
                <w:color w:val="000000"/>
              </w:rPr>
              <w:t>12. 9. 2014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D33D0C" w:rsidRDefault="00D33D0C" w:rsidP="00D33D0C">
            <w:pPr>
              <w:rPr>
                <w:color w:val="000000"/>
              </w:rPr>
            </w:pPr>
            <w:r w:rsidRPr="00D33D0C">
              <w:rPr>
                <w:color w:val="000000"/>
              </w:rPr>
              <w:t>Vyhlášení 27. výzvy MMR v oblasti intervence 3.4 na Mobilní prostředky záchrany v nepřístupných oblastech</w:t>
            </w:r>
          </w:p>
        </w:tc>
      </w:tr>
      <w:tr w:rsidR="00AE3AC6" w:rsidRPr="00D33D0C" w:rsidTr="00152C53">
        <w:trPr>
          <w:trHeight w:val="377"/>
        </w:trPr>
        <w:tc>
          <w:tcPr>
            <w:tcW w:w="0" w:type="auto"/>
            <w:tcBorders>
              <w:top w:val="nil"/>
              <w:left w:val="double" w:sz="6" w:space="0" w:color="4F6228"/>
              <w:bottom w:val="single" w:sz="8" w:space="0" w:color="4F6228"/>
              <w:right w:val="single" w:sz="8" w:space="0" w:color="4F6228"/>
            </w:tcBorders>
            <w:shd w:val="clear" w:color="auto" w:fill="auto"/>
            <w:vAlign w:val="bottom"/>
          </w:tcPr>
          <w:p w:rsidR="00AE3AC6" w:rsidRPr="00AE3AC6" w:rsidRDefault="001701A3" w:rsidP="00AE3AC6">
            <w:pPr>
              <w:pStyle w:val="text0"/>
              <w:jc w:val="right"/>
              <w:rPr>
                <w:rFonts w:ascii="Times New Roman" w:hAnsi="Times New Roman"/>
                <w:sz w:val="20"/>
                <w:szCs w:val="20"/>
              </w:rPr>
            </w:pPr>
            <w:r w:rsidRPr="00AE3AC6">
              <w:rPr>
                <w:rFonts w:ascii="Times New Roman" w:hAnsi="Times New Roman"/>
                <w:sz w:val="20"/>
                <w:szCs w:val="20"/>
              </w:rPr>
              <w:t>16. 9. 2014</w:t>
            </w:r>
          </w:p>
        </w:tc>
        <w:tc>
          <w:tcPr>
            <w:tcW w:w="0" w:type="auto"/>
            <w:tcBorders>
              <w:top w:val="nil"/>
              <w:left w:val="nil"/>
              <w:bottom w:val="single" w:sz="8" w:space="0" w:color="4F6228"/>
              <w:right w:val="double" w:sz="6" w:space="0" w:color="4F6228"/>
            </w:tcBorders>
            <w:shd w:val="clear" w:color="auto" w:fill="auto"/>
            <w:vAlign w:val="bottom"/>
          </w:tcPr>
          <w:p w:rsidR="00AE3AC6" w:rsidRPr="00AE3AC6" w:rsidRDefault="00EC5484" w:rsidP="00AE3AC6">
            <w:pPr>
              <w:pStyle w:val="text0"/>
              <w:rPr>
                <w:rFonts w:ascii="Times New Roman" w:hAnsi="Times New Roman"/>
                <w:sz w:val="20"/>
                <w:szCs w:val="20"/>
              </w:rPr>
            </w:pPr>
            <w:r w:rsidRPr="00AE3AC6">
              <w:rPr>
                <w:rFonts w:ascii="Times New Roman" w:hAnsi="Times New Roman"/>
                <w:sz w:val="20"/>
                <w:szCs w:val="20"/>
              </w:rPr>
              <w:t>Revize příručky pro žadatele</w:t>
            </w:r>
            <w:r>
              <w:rPr>
                <w:rFonts w:ascii="Times New Roman" w:hAnsi="Times New Roman"/>
                <w:sz w:val="20"/>
                <w:szCs w:val="20"/>
              </w:rPr>
              <w:t xml:space="preserve"> a</w:t>
            </w:r>
            <w:r w:rsidRPr="00AE3AC6">
              <w:rPr>
                <w:rFonts w:ascii="Times New Roman" w:hAnsi="Times New Roman"/>
                <w:sz w:val="20"/>
                <w:szCs w:val="20"/>
              </w:rPr>
              <w:t xml:space="preserve"> příjemce v 3.1a) b), kapitola Udržitelnost projektu</w:t>
            </w:r>
          </w:p>
        </w:tc>
      </w:tr>
      <w:tr w:rsidR="00AE3AC6" w:rsidRPr="00D33D0C" w:rsidTr="006C0C4A">
        <w:trPr>
          <w:trHeight w:val="315"/>
        </w:trPr>
        <w:tc>
          <w:tcPr>
            <w:tcW w:w="0" w:type="auto"/>
            <w:tcBorders>
              <w:top w:val="nil"/>
              <w:left w:val="double" w:sz="6" w:space="0" w:color="4F6228"/>
              <w:bottom w:val="single" w:sz="4" w:space="0" w:color="auto"/>
              <w:right w:val="single" w:sz="8" w:space="0" w:color="4F6228"/>
            </w:tcBorders>
            <w:shd w:val="clear" w:color="auto" w:fill="auto"/>
            <w:vAlign w:val="center"/>
            <w:hideMark/>
          </w:tcPr>
          <w:p w:rsidR="00AE3AC6" w:rsidRPr="00D33D0C" w:rsidRDefault="001701A3" w:rsidP="00D33D0C">
            <w:pPr>
              <w:jc w:val="right"/>
              <w:rPr>
                <w:color w:val="000000"/>
              </w:rPr>
            </w:pPr>
            <w:r w:rsidRPr="00D33D0C">
              <w:rPr>
                <w:color w:val="000000"/>
              </w:rPr>
              <w:t>24. 9. 2014</w:t>
            </w:r>
          </w:p>
        </w:tc>
        <w:tc>
          <w:tcPr>
            <w:tcW w:w="0" w:type="auto"/>
            <w:tcBorders>
              <w:top w:val="nil"/>
              <w:left w:val="nil"/>
              <w:bottom w:val="single" w:sz="4" w:space="0" w:color="auto"/>
              <w:right w:val="double" w:sz="6" w:space="0" w:color="4F6228"/>
            </w:tcBorders>
            <w:shd w:val="clear" w:color="auto" w:fill="auto"/>
            <w:vAlign w:val="center"/>
            <w:hideMark/>
          </w:tcPr>
          <w:p w:rsidR="00AE3AC6" w:rsidRPr="00D33D0C" w:rsidRDefault="00AE3AC6" w:rsidP="00D33D0C">
            <w:pPr>
              <w:rPr>
                <w:color w:val="231F20"/>
              </w:rPr>
            </w:pPr>
            <w:r w:rsidRPr="00D33D0C">
              <w:rPr>
                <w:bCs/>
                <w:color w:val="231F20"/>
              </w:rPr>
              <w:t>Konference IOP a IROP: Úspěchy a nové cíle</w:t>
            </w:r>
          </w:p>
        </w:tc>
      </w:tr>
      <w:tr w:rsidR="00AE3AC6"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hideMark/>
          </w:tcPr>
          <w:p w:rsidR="00AE3AC6" w:rsidRPr="00D33D0C" w:rsidRDefault="00E32D9F" w:rsidP="00D33D0C">
            <w:pPr>
              <w:jc w:val="right"/>
              <w:rPr>
                <w:color w:val="000000"/>
              </w:rPr>
            </w:pPr>
            <w:r w:rsidRPr="00D33D0C">
              <w:rPr>
                <w:color w:val="000000"/>
              </w:rPr>
              <w:t>29. 9. 2014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hideMark/>
          </w:tcPr>
          <w:p w:rsidR="00AE3AC6" w:rsidRPr="00640E48" w:rsidRDefault="00EC5484" w:rsidP="00D33D0C">
            <w:pPr>
              <w:rPr>
                <w:color w:val="000000"/>
              </w:rPr>
            </w:pPr>
            <w:r w:rsidRPr="00640E48">
              <w:rPr>
                <w:color w:val="000000"/>
              </w:rPr>
              <w:t>ŘO IOP obdržel od EK dopis s vyčíslením</w:t>
            </w:r>
            <w:r w:rsidRPr="00D33D0C">
              <w:rPr>
                <w:color w:val="000000"/>
              </w:rPr>
              <w:t xml:space="preserve"> ztráty alokace z důvodu nenaplnění limitu podle pravidla n+2</w:t>
            </w:r>
            <w:r w:rsidRPr="00640E48">
              <w:rPr>
                <w:color w:val="000000"/>
              </w:rPr>
              <w:t xml:space="preserve"> za rok 2013</w:t>
            </w:r>
            <w:r>
              <w:rPr>
                <w:color w:val="000000"/>
              </w:rPr>
              <w:t>.</w:t>
            </w:r>
          </w:p>
        </w:tc>
      </w:tr>
      <w:tr w:rsidR="00AE3AC6"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Pr="00D33D0C" w:rsidRDefault="00AE3AC6" w:rsidP="00AE3AC6">
            <w:pPr>
              <w:jc w:val="right"/>
              <w:rPr>
                <w:color w:val="000000"/>
              </w:rPr>
            </w:pPr>
            <w:r w:rsidRPr="00AE3AC6">
              <w:rPr>
                <w:color w:val="000000"/>
              </w:rPr>
              <w:t>29. 9. 2014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Pr="00640E48" w:rsidRDefault="00EC5484" w:rsidP="00D33D0C">
            <w:pPr>
              <w:rPr>
                <w:color w:val="000000"/>
              </w:rPr>
            </w:pPr>
            <w:r w:rsidRPr="00AE3AC6">
              <w:rPr>
                <w:color w:val="000000"/>
              </w:rPr>
              <w:t xml:space="preserve">Aktualizace dokumentu v PŽP - Návrh podmínek pro Rozhodnutí o poskytnutí dotace </w:t>
            </w:r>
            <w:r w:rsidR="00DE3774">
              <w:rPr>
                <w:color w:val="000000"/>
              </w:rPr>
              <w:br/>
            </w:r>
            <w:r w:rsidRPr="00AE3AC6">
              <w:rPr>
                <w:color w:val="000000"/>
              </w:rPr>
              <w:t>v aktivit</w:t>
            </w:r>
            <w:r>
              <w:rPr>
                <w:color w:val="000000"/>
              </w:rPr>
              <w:t>ách</w:t>
            </w:r>
            <w:r w:rsidRPr="00AE3AC6">
              <w:rPr>
                <w:color w:val="000000"/>
              </w:rPr>
              <w:t xml:space="preserve"> 3.1 a) b) </w:t>
            </w:r>
            <w:r>
              <w:rPr>
                <w:color w:val="000000"/>
              </w:rPr>
              <w:t xml:space="preserve">a </w:t>
            </w:r>
            <w:r w:rsidRPr="00AE3AC6">
              <w:rPr>
                <w:color w:val="000000"/>
              </w:rPr>
              <w:t>c</w:t>
            </w:r>
            <w:r>
              <w:rPr>
                <w:color w:val="000000"/>
              </w:rPr>
              <w:t>)</w:t>
            </w:r>
          </w:p>
        </w:tc>
      </w:tr>
      <w:tr w:rsidR="00AE3AC6" w:rsidRPr="00D33D0C" w:rsidTr="00152C53">
        <w:trPr>
          <w:trHeight w:val="457"/>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Pr="00D33D0C" w:rsidRDefault="00E32D9F" w:rsidP="00D33D0C">
            <w:pPr>
              <w:jc w:val="right"/>
              <w:rPr>
                <w:color w:val="000000"/>
              </w:rPr>
            </w:pPr>
            <w:r>
              <w:rPr>
                <w:color w:val="000000"/>
              </w:rPr>
              <w:t>1. 10. 2014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Pr="00640E48" w:rsidRDefault="00AE3AC6" w:rsidP="00AA683E">
            <w:pPr>
              <w:rPr>
                <w:color w:val="000000"/>
              </w:rPr>
            </w:pPr>
            <w:r>
              <w:rPr>
                <w:color w:val="000000"/>
              </w:rPr>
              <w:t>U</w:t>
            </w:r>
            <w:r w:rsidRPr="00AA683E">
              <w:rPr>
                <w:color w:val="000000"/>
              </w:rPr>
              <w:t>končení příjmu žádostí v</w:t>
            </w:r>
            <w:r>
              <w:rPr>
                <w:color w:val="000000"/>
              </w:rPr>
              <w:t>e</w:t>
            </w:r>
            <w:r w:rsidRPr="00AA683E">
              <w:rPr>
                <w:color w:val="000000"/>
              </w:rPr>
              <w:t> 25. kontinuální výzv</w:t>
            </w:r>
            <w:r>
              <w:rPr>
                <w:color w:val="000000"/>
              </w:rPr>
              <w:t xml:space="preserve">ě MMR v oblasti intervence </w:t>
            </w:r>
            <w:r w:rsidRPr="00AA683E">
              <w:rPr>
                <w:color w:val="000000"/>
              </w:rPr>
              <w:t>4.1</w:t>
            </w:r>
          </w:p>
        </w:tc>
      </w:tr>
      <w:tr w:rsidR="00AE3AC6"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Pr="00D33D0C" w:rsidRDefault="00AE3AC6" w:rsidP="00D33D0C">
            <w:pPr>
              <w:jc w:val="right"/>
              <w:rPr>
                <w:color w:val="000000"/>
              </w:rPr>
            </w:pPr>
            <w:r w:rsidRPr="00F93DA9">
              <w:rPr>
                <w:color w:val="000000"/>
              </w:rPr>
              <w:t>16. 10. 2014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Pr="00640E48" w:rsidRDefault="00AE3AC6" w:rsidP="00532131">
            <w:pPr>
              <w:rPr>
                <w:color w:val="000000"/>
              </w:rPr>
            </w:pPr>
            <w:r w:rsidRPr="00F93DA9">
              <w:rPr>
                <w:color w:val="000000"/>
              </w:rPr>
              <w:t>Seminář pro příjemce v</w:t>
            </w:r>
            <w:r>
              <w:rPr>
                <w:color w:val="000000"/>
              </w:rPr>
              <w:t> oblasti intervence</w:t>
            </w:r>
            <w:r w:rsidRPr="00F93DA9">
              <w:rPr>
                <w:color w:val="000000"/>
              </w:rPr>
              <w:t xml:space="preserve"> 3.3 a) a b) k problematice financování projektů </w:t>
            </w:r>
            <w:r>
              <w:rPr>
                <w:color w:val="000000"/>
              </w:rPr>
              <w:br/>
            </w:r>
            <w:r w:rsidRPr="00F93DA9">
              <w:rPr>
                <w:color w:val="000000"/>
              </w:rPr>
              <w:t>a udržitelnosti projektu, místo konání: Hradec Králové</w:t>
            </w:r>
            <w:r>
              <w:rPr>
                <w:color w:val="000000"/>
                <w:sz w:val="22"/>
                <w:szCs w:val="22"/>
              </w:rPr>
              <w:t xml:space="preserve">  </w:t>
            </w:r>
          </w:p>
        </w:tc>
      </w:tr>
      <w:tr w:rsidR="00AE3AC6"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Pr="00D33D0C" w:rsidRDefault="00E32D9F" w:rsidP="00D33D0C">
            <w:pPr>
              <w:jc w:val="right"/>
              <w:rPr>
                <w:color w:val="000000"/>
              </w:rPr>
            </w:pPr>
            <w:r>
              <w:t>19. 11. 2014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Pr="00640E48" w:rsidRDefault="00AE3AC6" w:rsidP="00D33D0C">
            <w:pPr>
              <w:rPr>
                <w:color w:val="000000"/>
              </w:rPr>
            </w:pPr>
            <w:r>
              <w:t>Prodloužení ukončení termínu realizace projektů 3. výzvy MK v oblasti intervence 5.1 z </w:t>
            </w:r>
            <w:r w:rsidR="00E32D9F">
              <w:t>31. 12. 2014</w:t>
            </w:r>
            <w:r>
              <w:t xml:space="preserve"> na </w:t>
            </w:r>
            <w:r w:rsidR="00E32D9F">
              <w:t>30. 9. 2015</w:t>
            </w:r>
            <w:r>
              <w:t xml:space="preserve"> (aktualizace Příručky pro žadatele a příjemce)</w:t>
            </w:r>
          </w:p>
        </w:tc>
      </w:tr>
      <w:tr w:rsidR="00AE3AC6"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Default="00E32D9F" w:rsidP="00D33D0C">
            <w:pPr>
              <w:jc w:val="right"/>
            </w:pPr>
            <w:r>
              <w:t>21. 11. 2014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Default="00AE3AC6" w:rsidP="00BD0BDF">
            <w:r w:rsidRPr="00BD0BDF">
              <w:t xml:space="preserve">Zvýšení alokace 25. kontinuální výzvy MMR o </w:t>
            </w:r>
            <w:r w:rsidRPr="00BD0BDF">
              <w:rPr>
                <w:color w:val="000000"/>
              </w:rPr>
              <w:t>214,2 mil.  Kč (182,1 mil. Kč ERDF + 32,1 mil. Kč SR</w:t>
            </w:r>
            <w:r w:rsidRPr="00BD0BDF">
              <w:t xml:space="preserve"> v oblasti intervence 4.1</w:t>
            </w:r>
          </w:p>
        </w:tc>
      </w:tr>
      <w:tr w:rsidR="00AE3AC6"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Default="00AE3AC6" w:rsidP="00D33D0C">
            <w:pPr>
              <w:jc w:val="right"/>
            </w:pPr>
            <w:r w:rsidRPr="00B446EC">
              <w:t>26. 11. 2014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Default="00AE3AC6" w:rsidP="004D2697">
            <w:r w:rsidRPr="00B446EC">
              <w:t>Seminář pro příjemce v</w:t>
            </w:r>
            <w:r>
              <w:t> oblasti intervence</w:t>
            </w:r>
            <w:r w:rsidRPr="00B446EC">
              <w:t xml:space="preserve"> 3.3 a) a b) k problematice financování projektů </w:t>
            </w:r>
            <w:r>
              <w:br/>
            </w:r>
            <w:r w:rsidRPr="00B446EC">
              <w:t>a udržitelnosti projektu s celkovou účastí 17 osob, místo konání: Praha</w:t>
            </w:r>
          </w:p>
        </w:tc>
      </w:tr>
      <w:tr w:rsidR="0057750E"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57750E" w:rsidRDefault="00E32D9F" w:rsidP="00170450">
            <w:pPr>
              <w:jc w:val="right"/>
            </w:pPr>
            <w:r>
              <w:t>3. 12. 2014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57750E" w:rsidRDefault="00EC5484" w:rsidP="00170450">
            <w:r>
              <w:t>Z</w:t>
            </w:r>
            <w:r w:rsidR="0057750E">
              <w:t xml:space="preserve">výšení alokace 24. výzvy MMR v oblasti intervence 5.1 o 80 mil. Kč (68 mil. Kč ERDF </w:t>
            </w:r>
            <w:r w:rsidR="00DE3774">
              <w:br/>
            </w:r>
            <w:r w:rsidR="0057750E">
              <w:t>a 12 mil. Kč ze SR)</w:t>
            </w:r>
          </w:p>
        </w:tc>
      </w:tr>
      <w:tr w:rsidR="006C0C4A" w:rsidRPr="00D33D0C" w:rsidTr="006C0C4A">
        <w:trPr>
          <w:trHeight w:val="337"/>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6C0C4A" w:rsidRDefault="00E32D9F" w:rsidP="00170450">
            <w:pPr>
              <w:jc w:val="right"/>
            </w:pPr>
            <w:r>
              <w:t>4. 12. 2014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bottom"/>
          </w:tcPr>
          <w:p w:rsidR="006C0C4A" w:rsidRPr="006C0C4A" w:rsidRDefault="00EC5484" w:rsidP="006C0C4A">
            <w:r>
              <w:t>Z</w:t>
            </w:r>
            <w:r w:rsidRPr="006C0C4A">
              <w:t xml:space="preserve">výšení </w:t>
            </w:r>
            <w:r w:rsidR="006C0C4A" w:rsidRPr="006C0C4A">
              <w:t>alokace 22. výzvy oblasti intervence 2.1 na celkových 697 mil Kč ERDF</w:t>
            </w:r>
          </w:p>
        </w:tc>
      </w:tr>
      <w:tr w:rsidR="006C0C4A" w:rsidRPr="00D33D0C" w:rsidTr="00152C53">
        <w:trPr>
          <w:trHeight w:val="364"/>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6C0C4A" w:rsidRPr="00B446EC" w:rsidRDefault="00E32D9F" w:rsidP="00D33D0C">
            <w:pPr>
              <w:jc w:val="right"/>
            </w:pPr>
            <w:r>
              <w:t>9. 12. 2014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6C0C4A" w:rsidRPr="00B446EC" w:rsidRDefault="006C0C4A" w:rsidP="006247B6">
            <w:r>
              <w:t xml:space="preserve">Vydáno </w:t>
            </w:r>
            <w:r w:rsidRPr="006247B6">
              <w:t xml:space="preserve">Rozhodnutí Komise C(2014) 9551 k přijetí změny operačního programu IOP </w:t>
            </w:r>
          </w:p>
        </w:tc>
      </w:tr>
      <w:tr w:rsidR="006C0C4A" w:rsidRPr="00D33D0C"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6C0C4A" w:rsidRPr="00B446EC" w:rsidRDefault="00E32D9F" w:rsidP="00D33D0C">
            <w:pPr>
              <w:jc w:val="right"/>
            </w:pPr>
            <w:r>
              <w:t>10. 12. 2014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6C0C4A" w:rsidRPr="00B446EC" w:rsidRDefault="001A5DD2" w:rsidP="004D2697">
            <w:r>
              <w:t>Z</w:t>
            </w:r>
            <w:r w:rsidRPr="002C4E8E">
              <w:t xml:space="preserve">výšení </w:t>
            </w:r>
            <w:r w:rsidR="006C0C4A" w:rsidRPr="002C4E8E">
              <w:t>alokace 27. výzvy oblasti intervence 3.4 na celkových 415 mil Kč ERDF</w:t>
            </w:r>
          </w:p>
        </w:tc>
      </w:tr>
      <w:tr w:rsidR="006C0C4A" w:rsidRPr="00D33D0C" w:rsidTr="006C0C4A">
        <w:trPr>
          <w:trHeight w:val="525"/>
        </w:trPr>
        <w:tc>
          <w:tcPr>
            <w:tcW w:w="0" w:type="auto"/>
            <w:tcBorders>
              <w:top w:val="single" w:sz="4" w:space="0" w:color="auto"/>
              <w:left w:val="double" w:sz="6" w:space="0" w:color="4F6228"/>
              <w:bottom w:val="double" w:sz="6" w:space="0" w:color="4F6228"/>
              <w:right w:val="single" w:sz="4" w:space="0" w:color="auto"/>
            </w:tcBorders>
            <w:shd w:val="clear" w:color="auto" w:fill="auto"/>
            <w:vAlign w:val="center"/>
          </w:tcPr>
          <w:p w:rsidR="006C0C4A" w:rsidRDefault="006C0C4A" w:rsidP="00234210">
            <w:pPr>
              <w:jc w:val="right"/>
            </w:pPr>
            <w:r>
              <w:t>prosinec 2014</w:t>
            </w:r>
          </w:p>
        </w:tc>
        <w:tc>
          <w:tcPr>
            <w:tcW w:w="0" w:type="auto"/>
            <w:tcBorders>
              <w:top w:val="single" w:sz="4" w:space="0" w:color="auto"/>
              <w:left w:val="single" w:sz="4" w:space="0" w:color="auto"/>
              <w:bottom w:val="double" w:sz="6" w:space="0" w:color="4F6228"/>
              <w:right w:val="double" w:sz="6" w:space="0" w:color="4F6228"/>
            </w:tcBorders>
            <w:shd w:val="clear" w:color="auto" w:fill="auto"/>
            <w:vAlign w:val="center"/>
          </w:tcPr>
          <w:p w:rsidR="006C0C4A" w:rsidRDefault="00EC5484" w:rsidP="002D3DA8">
            <w:r>
              <w:t>V</w:t>
            </w:r>
            <w:r w:rsidR="006C0C4A" w:rsidRPr="00F75115">
              <w:t xml:space="preserve">ydání Rozhodnutí o poskytnutí dotací na většinu projektů předložených do 17. a 18. </w:t>
            </w:r>
            <w:r w:rsidR="00247745" w:rsidRPr="00F75115">
              <w:t xml:space="preserve">výzvy </w:t>
            </w:r>
            <w:r w:rsidR="00247745">
              <w:t>v oblasti</w:t>
            </w:r>
            <w:r w:rsidR="006C0C4A">
              <w:t xml:space="preserve"> intervence </w:t>
            </w:r>
            <w:r w:rsidR="006C0C4A" w:rsidRPr="00F75115">
              <w:t xml:space="preserve">3.2 IOP, jejichž vydávání bylo pozastaveno z důvodu přerušení certifikace </w:t>
            </w:r>
            <w:r w:rsidR="006C0C4A">
              <w:br/>
            </w:r>
            <w:r w:rsidR="006C0C4A" w:rsidRPr="00F75115">
              <w:t xml:space="preserve">a z důvodu očekávání závěrů z horizontálního auditu ve zdravotnictví. </w:t>
            </w:r>
          </w:p>
        </w:tc>
      </w:tr>
    </w:tbl>
    <w:p w:rsidR="00C92288" w:rsidRPr="00C92288" w:rsidRDefault="00C92288" w:rsidP="00F95266"/>
    <w:p w:rsidR="000C5269" w:rsidRPr="00F644B8" w:rsidRDefault="00A75862" w:rsidP="00F644B8">
      <w:pPr>
        <w:pStyle w:val="Nadpis2"/>
        <w:rPr>
          <w:rFonts w:ascii="Times New Roman" w:hAnsi="Times New Roman"/>
          <w:i w:val="0"/>
        </w:rPr>
      </w:pPr>
      <w:bookmarkStart w:id="15" w:name="_Toc417024835"/>
      <w:r w:rsidRPr="009026D3">
        <w:rPr>
          <w:rFonts w:ascii="Times New Roman" w:hAnsi="Times New Roman"/>
          <w:i w:val="0"/>
        </w:rPr>
        <w:t>2.1 Dosažený pokrok a jeho analýza</w:t>
      </w:r>
      <w:bookmarkEnd w:id="15"/>
    </w:p>
    <w:p w:rsidR="00A75862" w:rsidRPr="00DF4078" w:rsidRDefault="00D5319B" w:rsidP="000F2A6C">
      <w:pPr>
        <w:pStyle w:val="Nadpis3"/>
      </w:pPr>
      <w:bookmarkStart w:id="16" w:name="_Toc382407659"/>
      <w:bookmarkStart w:id="17" w:name="_Toc383084667"/>
      <w:bookmarkStart w:id="18" w:name="_Toc417024836"/>
      <w:r w:rsidRPr="00DF4078">
        <w:t>2.1. A Informace</w:t>
      </w:r>
      <w:r w:rsidR="00A75862" w:rsidRPr="00DF4078">
        <w:t xml:space="preserve"> o věcném pokroku programu</w:t>
      </w:r>
      <w:bookmarkEnd w:id="16"/>
      <w:bookmarkEnd w:id="17"/>
      <w:bookmarkEnd w:id="18"/>
    </w:p>
    <w:p w:rsidR="00D029EB" w:rsidRDefault="00D029EB" w:rsidP="00D029EB">
      <w:pPr>
        <w:jc w:val="both"/>
        <w:rPr>
          <w:sz w:val="22"/>
          <w:szCs w:val="22"/>
        </w:rPr>
      </w:pPr>
      <w:r w:rsidRPr="00CB7043">
        <w:rPr>
          <w:sz w:val="22"/>
          <w:szCs w:val="22"/>
        </w:rPr>
        <w:t>Věcný rámec pro měření a kvantifikac</w:t>
      </w:r>
      <w:r>
        <w:rPr>
          <w:sz w:val="22"/>
          <w:szCs w:val="22"/>
        </w:rPr>
        <w:t>i</w:t>
      </w:r>
      <w:r w:rsidRPr="00CB7043">
        <w:rPr>
          <w:sz w:val="22"/>
          <w:szCs w:val="22"/>
        </w:rPr>
        <w:t xml:space="preserve"> programových cílů je určen charakterem předpokládaných výstupů z realizovaných aktivit a zahrnuje v souladu s metodikou Evropské komise tři úrovně </w:t>
      </w:r>
      <w:r>
        <w:rPr>
          <w:sz w:val="22"/>
          <w:szCs w:val="22"/>
        </w:rPr>
        <w:t>indikátorů</w:t>
      </w:r>
      <w:r w:rsidRPr="00CB7043">
        <w:rPr>
          <w:sz w:val="22"/>
          <w:szCs w:val="22"/>
        </w:rPr>
        <w:t xml:space="preserve">: </w:t>
      </w:r>
    </w:p>
    <w:p w:rsidR="00ED1F05" w:rsidRPr="00CB7043" w:rsidRDefault="00ED1F05" w:rsidP="00B90C30">
      <w:pPr>
        <w:jc w:val="both"/>
        <w:rPr>
          <w:sz w:val="22"/>
          <w:szCs w:val="22"/>
        </w:rPr>
      </w:pPr>
    </w:p>
    <w:p w:rsidR="00A75862" w:rsidRPr="00CB7043" w:rsidRDefault="00A75862" w:rsidP="002E608B">
      <w:pPr>
        <w:numPr>
          <w:ilvl w:val="0"/>
          <w:numId w:val="28"/>
        </w:numPr>
        <w:spacing w:before="60"/>
        <w:jc w:val="both"/>
        <w:rPr>
          <w:sz w:val="22"/>
          <w:szCs w:val="22"/>
        </w:rPr>
      </w:pPr>
      <w:r>
        <w:rPr>
          <w:b/>
          <w:sz w:val="22"/>
          <w:szCs w:val="22"/>
        </w:rPr>
        <w:t>indikátory v</w:t>
      </w:r>
      <w:r w:rsidRPr="0069452C">
        <w:rPr>
          <w:b/>
          <w:sz w:val="22"/>
          <w:szCs w:val="22"/>
        </w:rPr>
        <w:t>ýstupů</w:t>
      </w:r>
      <w:r w:rsidRPr="00CB7043">
        <w:rPr>
          <w:sz w:val="22"/>
          <w:szCs w:val="22"/>
        </w:rPr>
        <w:t>, kterými je vyjádřen rozsah uskutečněných aktivit a které jsou součástí průběžného monitorovac</w:t>
      </w:r>
      <w:r>
        <w:rPr>
          <w:sz w:val="22"/>
          <w:szCs w:val="22"/>
        </w:rPr>
        <w:t>ího procesu, v IOP jsou rozvedeny do úrovně oblastí intervence</w:t>
      </w:r>
      <w:r w:rsidR="00126B40">
        <w:rPr>
          <w:sz w:val="22"/>
          <w:szCs w:val="22"/>
        </w:rPr>
        <w:t>,</w:t>
      </w:r>
      <w:r w:rsidRPr="00CB7043">
        <w:rPr>
          <w:sz w:val="22"/>
          <w:szCs w:val="22"/>
        </w:rPr>
        <w:t xml:space="preserve"> </w:t>
      </w:r>
    </w:p>
    <w:p w:rsidR="00A75862" w:rsidRPr="00CB7043" w:rsidRDefault="00A75862" w:rsidP="002E608B">
      <w:pPr>
        <w:numPr>
          <w:ilvl w:val="0"/>
          <w:numId w:val="28"/>
        </w:numPr>
        <w:spacing w:before="60"/>
        <w:jc w:val="both"/>
        <w:rPr>
          <w:sz w:val="22"/>
          <w:szCs w:val="22"/>
        </w:rPr>
      </w:pPr>
      <w:r>
        <w:rPr>
          <w:b/>
          <w:sz w:val="22"/>
          <w:szCs w:val="22"/>
        </w:rPr>
        <w:lastRenderedPageBreak/>
        <w:t xml:space="preserve">indikátory </w:t>
      </w:r>
      <w:r w:rsidRPr="0069452C">
        <w:rPr>
          <w:b/>
          <w:sz w:val="22"/>
          <w:szCs w:val="22"/>
        </w:rPr>
        <w:t>výsledků</w:t>
      </w:r>
      <w:r w:rsidRPr="00CB7043">
        <w:rPr>
          <w:sz w:val="22"/>
          <w:szCs w:val="22"/>
        </w:rPr>
        <w:t>, kterými se charakterizují přímé účinky programu na př</w:t>
      </w:r>
      <w:r>
        <w:rPr>
          <w:sz w:val="22"/>
          <w:szCs w:val="22"/>
        </w:rPr>
        <w:t>íjemce podpory, v IOP jsou rozvedeny do úrovně oblastí intervence</w:t>
      </w:r>
      <w:r w:rsidR="00126B40">
        <w:rPr>
          <w:sz w:val="22"/>
          <w:szCs w:val="22"/>
        </w:rPr>
        <w:t>,</w:t>
      </w:r>
    </w:p>
    <w:p w:rsidR="00A75862" w:rsidRPr="00CB7043" w:rsidRDefault="00A75862" w:rsidP="002E608B">
      <w:pPr>
        <w:numPr>
          <w:ilvl w:val="0"/>
          <w:numId w:val="28"/>
        </w:numPr>
        <w:spacing w:before="60"/>
        <w:jc w:val="both"/>
        <w:rPr>
          <w:sz w:val="22"/>
          <w:szCs w:val="22"/>
        </w:rPr>
      </w:pPr>
      <w:r>
        <w:rPr>
          <w:b/>
          <w:sz w:val="22"/>
          <w:szCs w:val="22"/>
        </w:rPr>
        <w:t xml:space="preserve">indikátory </w:t>
      </w:r>
      <w:r w:rsidRPr="0069452C">
        <w:rPr>
          <w:b/>
          <w:sz w:val="22"/>
          <w:szCs w:val="22"/>
        </w:rPr>
        <w:t>dopadu</w:t>
      </w:r>
      <w:r>
        <w:rPr>
          <w:b/>
          <w:sz w:val="22"/>
          <w:szCs w:val="22"/>
        </w:rPr>
        <w:t xml:space="preserve"> </w:t>
      </w:r>
      <w:r w:rsidRPr="00652EC4">
        <w:rPr>
          <w:sz w:val="22"/>
          <w:szCs w:val="22"/>
        </w:rPr>
        <w:t>na</w:t>
      </w:r>
      <w:r w:rsidRPr="00863D4A">
        <w:rPr>
          <w:sz w:val="22"/>
          <w:szCs w:val="22"/>
        </w:rPr>
        <w:t xml:space="preserve"> úrovni programu informují o souvislostech, které překračují rámec okamžitých účinků programu.</w:t>
      </w:r>
      <w:r w:rsidRPr="00CB7043">
        <w:rPr>
          <w:sz w:val="22"/>
          <w:szCs w:val="22"/>
        </w:rPr>
        <w:t xml:space="preserve"> </w:t>
      </w:r>
    </w:p>
    <w:p w:rsidR="00A75862" w:rsidRPr="00CB7043" w:rsidRDefault="00A75862" w:rsidP="00B90C30">
      <w:pPr>
        <w:jc w:val="both"/>
        <w:rPr>
          <w:sz w:val="22"/>
          <w:szCs w:val="22"/>
        </w:rPr>
      </w:pPr>
    </w:p>
    <w:p w:rsidR="00A75862" w:rsidRDefault="00A75862" w:rsidP="00B90C30">
      <w:pPr>
        <w:jc w:val="both"/>
        <w:rPr>
          <w:sz w:val="22"/>
          <w:szCs w:val="22"/>
        </w:rPr>
      </w:pPr>
      <w:r w:rsidRPr="00CB7043">
        <w:rPr>
          <w:sz w:val="22"/>
          <w:szCs w:val="22"/>
        </w:rPr>
        <w:t xml:space="preserve">Pro úroveň programu jsou stanoveny </w:t>
      </w:r>
      <w:r w:rsidRPr="0069452C">
        <w:rPr>
          <w:b/>
          <w:sz w:val="22"/>
          <w:szCs w:val="22"/>
        </w:rPr>
        <w:t xml:space="preserve">kontextové </w:t>
      </w:r>
      <w:r>
        <w:rPr>
          <w:b/>
          <w:sz w:val="22"/>
          <w:szCs w:val="22"/>
        </w:rPr>
        <w:t>indikátory</w:t>
      </w:r>
      <w:r w:rsidRPr="00CB7043">
        <w:rPr>
          <w:sz w:val="22"/>
          <w:szCs w:val="22"/>
        </w:rPr>
        <w:t xml:space="preserve">, které </w:t>
      </w:r>
      <w:r w:rsidRPr="00863D4A">
        <w:rPr>
          <w:sz w:val="22"/>
          <w:szCs w:val="22"/>
        </w:rPr>
        <w:t xml:space="preserve">poskytují měřitelné informace </w:t>
      </w:r>
      <w:r w:rsidR="0076027F">
        <w:rPr>
          <w:sz w:val="22"/>
          <w:szCs w:val="22"/>
        </w:rPr>
        <w:br/>
      </w:r>
      <w:r w:rsidRPr="00863D4A">
        <w:rPr>
          <w:sz w:val="22"/>
          <w:szCs w:val="22"/>
        </w:rPr>
        <w:t xml:space="preserve">o sociálně-ekonomické situaci prostředí, ve kterém se IOP realizuje. Vyjadřují hlavní makroekonomické tendence kvantifikovanou formou. </w:t>
      </w:r>
    </w:p>
    <w:p w:rsidR="00A75862" w:rsidRDefault="00A75862" w:rsidP="00B90C30">
      <w:pPr>
        <w:jc w:val="both"/>
        <w:rPr>
          <w:sz w:val="22"/>
          <w:szCs w:val="22"/>
        </w:rPr>
      </w:pPr>
    </w:p>
    <w:p w:rsidR="00D029EB" w:rsidRDefault="00D029EB" w:rsidP="00D029EB">
      <w:pPr>
        <w:jc w:val="both"/>
        <w:rPr>
          <w:sz w:val="22"/>
          <w:szCs w:val="22"/>
        </w:rPr>
      </w:pPr>
      <w:r>
        <w:rPr>
          <w:sz w:val="22"/>
          <w:szCs w:val="22"/>
        </w:rPr>
        <w:t>V celé zprávě je na všech úrovních indikátorů sledována:</w:t>
      </w:r>
    </w:p>
    <w:p w:rsidR="00D029EB" w:rsidRDefault="00D029EB" w:rsidP="00D029EB">
      <w:pPr>
        <w:jc w:val="both"/>
        <w:rPr>
          <w:sz w:val="22"/>
          <w:szCs w:val="22"/>
        </w:rPr>
      </w:pPr>
    </w:p>
    <w:p w:rsidR="00D029EB" w:rsidRDefault="00D029EB" w:rsidP="00D029EB">
      <w:pPr>
        <w:jc w:val="both"/>
        <w:rPr>
          <w:sz w:val="22"/>
          <w:szCs w:val="22"/>
        </w:rPr>
      </w:pPr>
      <w:r w:rsidRPr="00434BD4">
        <w:rPr>
          <w:b/>
          <w:sz w:val="22"/>
          <w:szCs w:val="22"/>
        </w:rPr>
        <w:t>Dosažená hodnota celkem</w:t>
      </w:r>
      <w:r w:rsidRPr="00E64A13">
        <w:rPr>
          <w:rStyle w:val="Znakapoznpodarou"/>
          <w:b/>
          <w:bCs/>
          <w:sz w:val="18"/>
          <w:szCs w:val="18"/>
        </w:rPr>
        <w:footnoteReference w:id="2"/>
      </w:r>
      <w:r w:rsidRPr="00434BD4">
        <w:rPr>
          <w:b/>
          <w:sz w:val="22"/>
          <w:szCs w:val="22"/>
        </w:rPr>
        <w:t>:</w:t>
      </w:r>
      <w:r>
        <w:rPr>
          <w:sz w:val="22"/>
          <w:szCs w:val="22"/>
        </w:rPr>
        <w:t xml:space="preserve"> hodnota průběžného naplnění indikátoru v roce, za který je zpráva předkládána. Dosažená hodnota je kumulativní od začátku realizace projektu nebo přírůstkový údaj podle povahy indikátoru a jeho definice (přírůstkový údaj je uveden např. u statistických nebo podílových indikátorů).</w:t>
      </w:r>
    </w:p>
    <w:p w:rsidR="00D029EB" w:rsidRDefault="00D029EB" w:rsidP="00D029EB">
      <w:pPr>
        <w:jc w:val="both"/>
        <w:rPr>
          <w:b/>
          <w:sz w:val="22"/>
          <w:szCs w:val="22"/>
        </w:rPr>
      </w:pPr>
    </w:p>
    <w:p w:rsidR="00D029EB" w:rsidRDefault="00D029EB" w:rsidP="00D029EB">
      <w:pPr>
        <w:jc w:val="both"/>
        <w:rPr>
          <w:sz w:val="22"/>
          <w:szCs w:val="22"/>
        </w:rPr>
      </w:pPr>
      <w:r w:rsidRPr="003A1C13">
        <w:rPr>
          <w:b/>
          <w:sz w:val="22"/>
          <w:szCs w:val="22"/>
        </w:rPr>
        <w:t xml:space="preserve">Výchozí hodnota celkem: </w:t>
      </w:r>
      <w:r>
        <w:rPr>
          <w:sz w:val="22"/>
          <w:szCs w:val="22"/>
        </w:rPr>
        <w:t>hodnota indikátoru naměřená před začátkem realizace programu. Během realizace programu se nemění.</w:t>
      </w:r>
    </w:p>
    <w:p w:rsidR="00D029EB" w:rsidRDefault="00D029EB" w:rsidP="00D029EB">
      <w:pPr>
        <w:jc w:val="both"/>
        <w:rPr>
          <w:b/>
          <w:sz w:val="22"/>
          <w:szCs w:val="22"/>
        </w:rPr>
      </w:pPr>
    </w:p>
    <w:p w:rsidR="00D029EB" w:rsidRDefault="00D029EB" w:rsidP="00D029EB">
      <w:pPr>
        <w:jc w:val="both"/>
        <w:rPr>
          <w:sz w:val="22"/>
          <w:szCs w:val="22"/>
        </w:rPr>
      </w:pPr>
      <w:r w:rsidRPr="003A1C13">
        <w:rPr>
          <w:b/>
          <w:sz w:val="22"/>
          <w:szCs w:val="22"/>
        </w:rPr>
        <w:t xml:space="preserve">Plánovaná hodnota celkem: </w:t>
      </w:r>
      <w:r>
        <w:rPr>
          <w:sz w:val="22"/>
          <w:szCs w:val="22"/>
        </w:rPr>
        <w:t>hodnota indikátoru na konci programovacího období.</w:t>
      </w:r>
    </w:p>
    <w:p w:rsidR="00AB34FC" w:rsidRDefault="00AB34FC" w:rsidP="00D029EB">
      <w:pPr>
        <w:jc w:val="both"/>
        <w:rPr>
          <w:sz w:val="22"/>
          <w:szCs w:val="22"/>
        </w:rPr>
        <w:sectPr w:rsidR="00AB34FC" w:rsidSect="003F08D8">
          <w:footerReference w:type="even" r:id="rId18"/>
          <w:pgSz w:w="11906" w:h="16838"/>
          <w:pgMar w:top="1418" w:right="1418" w:bottom="1418" w:left="1418" w:header="709" w:footer="709" w:gutter="0"/>
          <w:cols w:space="708"/>
        </w:sectPr>
      </w:pPr>
    </w:p>
    <w:p w:rsidR="001E5DC0" w:rsidRDefault="00A75862" w:rsidP="00D029EB">
      <w:pPr>
        <w:jc w:val="both"/>
        <w:rPr>
          <w:sz w:val="22"/>
          <w:szCs w:val="22"/>
        </w:rPr>
      </w:pPr>
      <w:r>
        <w:rPr>
          <w:sz w:val="22"/>
          <w:szCs w:val="22"/>
        </w:rPr>
        <w:lastRenderedPageBreak/>
        <w:t>Hodnoty kontextových a dopadových indikátorů IOP k </w:t>
      </w:r>
      <w:r w:rsidR="0076027F">
        <w:rPr>
          <w:sz w:val="22"/>
          <w:szCs w:val="22"/>
        </w:rPr>
        <w:t>31. 12. 201</w:t>
      </w:r>
      <w:r w:rsidR="00012BC6">
        <w:rPr>
          <w:sz w:val="22"/>
          <w:szCs w:val="22"/>
        </w:rPr>
        <w:t>4</w:t>
      </w:r>
      <w:r>
        <w:rPr>
          <w:sz w:val="22"/>
          <w:szCs w:val="22"/>
        </w:rPr>
        <w:t xml:space="preserve"> jsou uvedeny v následujících tabulkách.</w:t>
      </w:r>
    </w:p>
    <w:p w:rsidR="001415D0" w:rsidRDefault="001415D0" w:rsidP="00D029EB">
      <w:pPr>
        <w:jc w:val="both"/>
        <w:rPr>
          <w:sz w:val="22"/>
          <w:szCs w:val="22"/>
        </w:rPr>
      </w:pPr>
    </w:p>
    <w:p w:rsidR="00CF7718" w:rsidRPr="002D06DB" w:rsidRDefault="009E1585" w:rsidP="00CA445B">
      <w:pPr>
        <w:pStyle w:val="Tabulkanzev"/>
        <w:rPr>
          <w:vertAlign w:val="superscript"/>
        </w:rPr>
      </w:pPr>
      <w:r>
        <w:t xml:space="preserve"> </w:t>
      </w:r>
      <w:bookmarkStart w:id="19" w:name="_Toc416431796"/>
      <w:r w:rsidR="00CF7718" w:rsidRPr="009D60FB">
        <w:t>Kontextové indikátory k </w:t>
      </w:r>
      <w:r w:rsidR="00CA445B" w:rsidRPr="009D60FB">
        <w:t xml:space="preserve">31. 12. </w:t>
      </w:r>
      <w:proofErr w:type="gramStart"/>
      <w:r w:rsidR="00CA445B" w:rsidRPr="009D60FB">
        <w:t>2014</w:t>
      </w:r>
      <w:r w:rsidR="002D06DB" w:rsidRPr="002D06DB">
        <w:t xml:space="preserve"> </w:t>
      </w:r>
      <w:r w:rsidR="00CF7718" w:rsidRPr="00BA2804">
        <w:rPr>
          <w:vertAlign w:val="superscript"/>
        </w:rPr>
        <w:footnoteReference w:id="3"/>
      </w:r>
      <w:r w:rsidR="001B73CE" w:rsidRPr="00BA2804">
        <w:rPr>
          <w:vertAlign w:val="superscript"/>
        </w:rPr>
        <w:t>,</w:t>
      </w:r>
      <w:r w:rsidR="00CF7718" w:rsidRPr="00BA2804">
        <w:rPr>
          <w:vertAlign w:val="superscript"/>
        </w:rPr>
        <w:footnoteReference w:id="4"/>
      </w:r>
      <w:bookmarkEnd w:id="19"/>
      <w:r w:rsidR="00E22AA2">
        <w:rPr>
          <w:vertAlign w:val="superscript"/>
        </w:rPr>
        <w:t>,</w:t>
      </w:r>
      <w:proofErr w:type="gramEnd"/>
      <w:r w:rsidR="00E22AA2">
        <w:rPr>
          <w:rStyle w:val="Znakapoznpodarou"/>
        </w:rPr>
        <w:footnoteReference w:id="5"/>
      </w:r>
    </w:p>
    <w:tbl>
      <w:tblPr>
        <w:tblW w:w="14055" w:type="dxa"/>
        <w:tblInd w:w="65" w:type="dxa"/>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95"/>
        <w:gridCol w:w="1800"/>
        <w:gridCol w:w="896"/>
        <w:gridCol w:w="992"/>
        <w:gridCol w:w="1559"/>
        <w:gridCol w:w="851"/>
        <w:gridCol w:w="850"/>
        <w:gridCol w:w="851"/>
        <w:gridCol w:w="992"/>
        <w:gridCol w:w="851"/>
        <w:gridCol w:w="850"/>
        <w:gridCol w:w="851"/>
        <w:gridCol w:w="850"/>
        <w:gridCol w:w="867"/>
      </w:tblGrid>
      <w:tr w:rsidR="008818D8" w:rsidRPr="00DE4E3B" w:rsidTr="008818D8">
        <w:trPr>
          <w:trHeight w:val="509"/>
          <w:tblHeader/>
        </w:trPr>
        <w:tc>
          <w:tcPr>
            <w:tcW w:w="995"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Kód NČI</w:t>
            </w:r>
          </w:p>
        </w:tc>
        <w:tc>
          <w:tcPr>
            <w:tcW w:w="1800" w:type="dxa"/>
            <w:shd w:val="clear" w:color="000000" w:fill="C4D79B"/>
            <w:vAlign w:val="center"/>
            <w:hideMark/>
          </w:tcPr>
          <w:p w:rsidR="00DE4E3B" w:rsidRPr="00DE4E3B" w:rsidRDefault="00DE4E3B" w:rsidP="00DE4E3B">
            <w:pPr>
              <w:jc w:val="center"/>
              <w:rPr>
                <w:b/>
                <w:bCs/>
                <w:color w:val="000000"/>
              </w:rPr>
            </w:pPr>
            <w:r w:rsidRPr="00DE4E3B">
              <w:rPr>
                <w:b/>
                <w:bCs/>
                <w:color w:val="000000"/>
              </w:rPr>
              <w:t>Název indikátoru</w:t>
            </w:r>
          </w:p>
        </w:tc>
        <w:tc>
          <w:tcPr>
            <w:tcW w:w="896" w:type="dxa"/>
            <w:shd w:val="clear" w:color="000000" w:fill="C4D79B"/>
            <w:vAlign w:val="center"/>
            <w:hideMark/>
          </w:tcPr>
          <w:p w:rsidR="00DE4E3B" w:rsidRPr="00DE4E3B" w:rsidRDefault="00DE4E3B" w:rsidP="00DE4E3B">
            <w:pPr>
              <w:jc w:val="center"/>
              <w:rPr>
                <w:b/>
                <w:bCs/>
                <w:color w:val="000000"/>
              </w:rPr>
            </w:pPr>
            <w:r w:rsidRPr="00DE4E3B">
              <w:rPr>
                <w:b/>
                <w:bCs/>
                <w:color w:val="000000"/>
              </w:rPr>
              <w:t>Měrná jednotka</w:t>
            </w:r>
          </w:p>
        </w:tc>
        <w:tc>
          <w:tcPr>
            <w:tcW w:w="992"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 xml:space="preserve">Zdroj </w:t>
            </w:r>
          </w:p>
        </w:tc>
        <w:tc>
          <w:tcPr>
            <w:tcW w:w="1559"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 xml:space="preserve">Hodnota </w:t>
            </w:r>
          </w:p>
        </w:tc>
        <w:tc>
          <w:tcPr>
            <w:tcW w:w="851"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2007</w:t>
            </w:r>
          </w:p>
        </w:tc>
        <w:tc>
          <w:tcPr>
            <w:tcW w:w="850"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2008</w:t>
            </w:r>
          </w:p>
        </w:tc>
        <w:tc>
          <w:tcPr>
            <w:tcW w:w="851"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2009</w:t>
            </w:r>
          </w:p>
        </w:tc>
        <w:tc>
          <w:tcPr>
            <w:tcW w:w="992"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2010</w:t>
            </w:r>
          </w:p>
        </w:tc>
        <w:tc>
          <w:tcPr>
            <w:tcW w:w="851"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2011</w:t>
            </w:r>
          </w:p>
        </w:tc>
        <w:tc>
          <w:tcPr>
            <w:tcW w:w="850"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2012</w:t>
            </w:r>
          </w:p>
        </w:tc>
        <w:tc>
          <w:tcPr>
            <w:tcW w:w="851"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2013</w:t>
            </w:r>
          </w:p>
        </w:tc>
        <w:tc>
          <w:tcPr>
            <w:tcW w:w="850"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2014</w:t>
            </w:r>
          </w:p>
        </w:tc>
        <w:tc>
          <w:tcPr>
            <w:tcW w:w="867" w:type="dxa"/>
            <w:shd w:val="clear" w:color="000000" w:fill="C4D79B"/>
            <w:noWrap/>
            <w:vAlign w:val="center"/>
            <w:hideMark/>
          </w:tcPr>
          <w:p w:rsidR="00DE4E3B" w:rsidRPr="00DE4E3B" w:rsidRDefault="00DE4E3B" w:rsidP="00DE4E3B">
            <w:pPr>
              <w:jc w:val="center"/>
              <w:rPr>
                <w:b/>
                <w:bCs/>
                <w:color w:val="000000"/>
              </w:rPr>
            </w:pPr>
            <w:r w:rsidRPr="00DE4E3B">
              <w:rPr>
                <w:b/>
                <w:bCs/>
                <w:color w:val="000000"/>
              </w:rPr>
              <w:t xml:space="preserve">Celkem </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10200</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 xml:space="preserve">Vytvořený HDP </w:t>
            </w:r>
            <w:r w:rsidR="00DE3774">
              <w:rPr>
                <w:color w:val="000000"/>
                <w:sz w:val="16"/>
                <w:szCs w:val="16"/>
              </w:rPr>
              <w:br/>
            </w:r>
            <w:r w:rsidRPr="00DE4E3B">
              <w:rPr>
                <w:color w:val="000000"/>
                <w:sz w:val="16"/>
                <w:szCs w:val="16"/>
              </w:rPr>
              <w:t>v běžných cenách</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mil. Kč</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p>
        </w:tc>
        <w:tc>
          <w:tcPr>
            <w:tcW w:w="1559" w:type="dxa"/>
            <w:shd w:val="clear" w:color="auto" w:fill="FFFFFF" w:themeFill="background1"/>
            <w:noWrap/>
            <w:vAlign w:val="center"/>
            <w:hideMark/>
          </w:tcPr>
          <w:p w:rsidR="00DE4E3B" w:rsidRPr="00B51776" w:rsidRDefault="00DE4E3B" w:rsidP="00DE4E3B">
            <w:pPr>
              <w:rPr>
                <w:color w:val="000000"/>
                <w:sz w:val="16"/>
                <w:szCs w:val="16"/>
              </w:rPr>
            </w:pPr>
            <w:r w:rsidRPr="00B51776">
              <w:rPr>
                <w:color w:val="000000"/>
                <w:sz w:val="16"/>
                <w:szCs w:val="16"/>
              </w:rPr>
              <w:t>Dosažená</w:t>
            </w:r>
          </w:p>
        </w:tc>
        <w:tc>
          <w:tcPr>
            <w:tcW w:w="851"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3 831 819</w:t>
            </w:r>
          </w:p>
        </w:tc>
        <w:tc>
          <w:tcPr>
            <w:tcW w:w="850"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4 015 346</w:t>
            </w:r>
          </w:p>
        </w:tc>
        <w:tc>
          <w:tcPr>
            <w:tcW w:w="851"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3 921 827</w:t>
            </w:r>
          </w:p>
        </w:tc>
        <w:tc>
          <w:tcPr>
            <w:tcW w:w="992"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3 953 651</w:t>
            </w:r>
          </w:p>
        </w:tc>
        <w:tc>
          <w:tcPr>
            <w:tcW w:w="851"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4 022 410</w:t>
            </w:r>
          </w:p>
        </w:tc>
        <w:tc>
          <w:tcPr>
            <w:tcW w:w="850"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4 047 675</w:t>
            </w:r>
          </w:p>
        </w:tc>
        <w:tc>
          <w:tcPr>
            <w:tcW w:w="851"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4 086 260</w:t>
            </w:r>
          </w:p>
        </w:tc>
        <w:tc>
          <w:tcPr>
            <w:tcW w:w="850"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N/A</w:t>
            </w:r>
          </w:p>
        </w:tc>
        <w:tc>
          <w:tcPr>
            <w:tcW w:w="867" w:type="dxa"/>
            <w:shd w:val="clear" w:color="auto" w:fill="FFFFFF" w:themeFill="background1"/>
            <w:vAlign w:val="center"/>
            <w:hideMark/>
          </w:tcPr>
          <w:p w:rsidR="00DE4E3B" w:rsidRPr="00B51776" w:rsidRDefault="00DE4E3B" w:rsidP="00DE4E3B">
            <w:pPr>
              <w:jc w:val="right"/>
              <w:rPr>
                <w:color w:val="000000"/>
                <w:sz w:val="16"/>
                <w:szCs w:val="16"/>
              </w:rPr>
            </w:pPr>
            <w:r w:rsidRPr="00B51776">
              <w:rPr>
                <w:color w:val="000000"/>
                <w:sz w:val="16"/>
                <w:szCs w:val="16"/>
              </w:rPr>
              <w:t>4 086 260</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B51776" w:rsidRDefault="00DE4E3B" w:rsidP="00DE4E3B">
            <w:pPr>
              <w:rPr>
                <w:color w:val="000000"/>
                <w:sz w:val="16"/>
                <w:szCs w:val="16"/>
              </w:rPr>
            </w:pPr>
            <w:r w:rsidRPr="00B51776">
              <w:rPr>
                <w:color w:val="000000"/>
                <w:sz w:val="16"/>
                <w:szCs w:val="16"/>
              </w:rPr>
              <w:t>Výchozí</w:t>
            </w:r>
          </w:p>
        </w:tc>
        <w:tc>
          <w:tcPr>
            <w:tcW w:w="851" w:type="dxa"/>
            <w:shd w:val="clear" w:color="000000" w:fill="D6E3BC"/>
            <w:noWrap/>
            <w:vAlign w:val="center"/>
            <w:hideMark/>
          </w:tcPr>
          <w:p w:rsidR="00DE4E3B" w:rsidRPr="00B51776" w:rsidRDefault="00DE4E3B" w:rsidP="00DE4E3B">
            <w:pPr>
              <w:jc w:val="right"/>
              <w:rPr>
                <w:color w:val="000000"/>
                <w:sz w:val="16"/>
                <w:szCs w:val="16"/>
              </w:rPr>
            </w:pPr>
            <w:r w:rsidRPr="00B51776">
              <w:rPr>
                <w:color w:val="000000"/>
                <w:sz w:val="16"/>
                <w:szCs w:val="16"/>
              </w:rPr>
              <w:t>2 994 400</w:t>
            </w:r>
          </w:p>
        </w:tc>
        <w:tc>
          <w:tcPr>
            <w:tcW w:w="850" w:type="dxa"/>
            <w:shd w:val="clear" w:color="000000" w:fill="D6E3BC"/>
            <w:noWrap/>
            <w:vAlign w:val="center"/>
            <w:hideMark/>
          </w:tcPr>
          <w:p w:rsidR="00DE4E3B" w:rsidRPr="00B51776" w:rsidRDefault="00DE4E3B" w:rsidP="00DE4E3B">
            <w:pPr>
              <w:jc w:val="right"/>
              <w:rPr>
                <w:color w:val="000000"/>
                <w:sz w:val="16"/>
                <w:szCs w:val="16"/>
              </w:rPr>
            </w:pPr>
            <w:r w:rsidRPr="00B51776">
              <w:rPr>
                <w:color w:val="000000"/>
                <w:sz w:val="16"/>
                <w:szCs w:val="16"/>
              </w:rPr>
              <w:t>3 831 819</w:t>
            </w:r>
          </w:p>
        </w:tc>
        <w:tc>
          <w:tcPr>
            <w:tcW w:w="851" w:type="dxa"/>
            <w:shd w:val="clear" w:color="000000" w:fill="D6E3BC"/>
            <w:vAlign w:val="center"/>
            <w:hideMark/>
          </w:tcPr>
          <w:p w:rsidR="00DE4E3B" w:rsidRPr="00B51776" w:rsidRDefault="00DE4E3B" w:rsidP="00DE4E3B">
            <w:pPr>
              <w:jc w:val="right"/>
              <w:rPr>
                <w:color w:val="000000"/>
                <w:sz w:val="16"/>
                <w:szCs w:val="16"/>
              </w:rPr>
            </w:pPr>
            <w:r w:rsidRPr="00B51776">
              <w:rPr>
                <w:color w:val="000000"/>
                <w:sz w:val="16"/>
                <w:szCs w:val="16"/>
              </w:rPr>
              <w:t>4 015 346</w:t>
            </w:r>
          </w:p>
        </w:tc>
        <w:tc>
          <w:tcPr>
            <w:tcW w:w="992" w:type="dxa"/>
            <w:shd w:val="clear" w:color="000000" w:fill="D6E3BC"/>
            <w:vAlign w:val="center"/>
            <w:hideMark/>
          </w:tcPr>
          <w:p w:rsidR="00DE4E3B" w:rsidRPr="00B51776" w:rsidRDefault="00DE4E3B" w:rsidP="00DE4E3B">
            <w:pPr>
              <w:jc w:val="right"/>
              <w:rPr>
                <w:color w:val="000000"/>
                <w:sz w:val="16"/>
                <w:szCs w:val="16"/>
              </w:rPr>
            </w:pPr>
            <w:r w:rsidRPr="00B51776">
              <w:rPr>
                <w:color w:val="000000"/>
                <w:sz w:val="16"/>
                <w:szCs w:val="16"/>
              </w:rPr>
              <w:t>3 921 827</w:t>
            </w:r>
          </w:p>
        </w:tc>
        <w:tc>
          <w:tcPr>
            <w:tcW w:w="851" w:type="dxa"/>
            <w:shd w:val="clear" w:color="000000" w:fill="D6E3BC"/>
            <w:vAlign w:val="center"/>
            <w:hideMark/>
          </w:tcPr>
          <w:p w:rsidR="00DE4E3B" w:rsidRPr="00B51776" w:rsidRDefault="00DE4E3B" w:rsidP="00DE4E3B">
            <w:pPr>
              <w:jc w:val="right"/>
              <w:rPr>
                <w:color w:val="000000"/>
                <w:sz w:val="16"/>
                <w:szCs w:val="16"/>
              </w:rPr>
            </w:pPr>
            <w:r w:rsidRPr="00B51776">
              <w:rPr>
                <w:color w:val="000000"/>
                <w:sz w:val="16"/>
                <w:szCs w:val="16"/>
              </w:rPr>
              <w:t>3 953 651</w:t>
            </w:r>
          </w:p>
        </w:tc>
        <w:tc>
          <w:tcPr>
            <w:tcW w:w="850" w:type="dxa"/>
            <w:shd w:val="clear" w:color="000000" w:fill="D6E3BC"/>
            <w:vAlign w:val="center"/>
            <w:hideMark/>
          </w:tcPr>
          <w:p w:rsidR="00DE4E3B" w:rsidRPr="00B51776" w:rsidRDefault="00DE4E3B" w:rsidP="00DE4E3B">
            <w:pPr>
              <w:jc w:val="right"/>
              <w:rPr>
                <w:color w:val="000000"/>
                <w:sz w:val="16"/>
                <w:szCs w:val="16"/>
              </w:rPr>
            </w:pPr>
            <w:r w:rsidRPr="00B51776">
              <w:rPr>
                <w:color w:val="000000"/>
                <w:sz w:val="16"/>
                <w:szCs w:val="16"/>
              </w:rPr>
              <w:t>4 022 410</w:t>
            </w:r>
          </w:p>
        </w:tc>
        <w:tc>
          <w:tcPr>
            <w:tcW w:w="851" w:type="dxa"/>
            <w:shd w:val="clear" w:color="000000" w:fill="D6E3BC"/>
            <w:vAlign w:val="center"/>
            <w:hideMark/>
          </w:tcPr>
          <w:p w:rsidR="00DE4E3B" w:rsidRPr="00B51776" w:rsidRDefault="00DE4E3B" w:rsidP="00DE4E3B">
            <w:pPr>
              <w:jc w:val="right"/>
              <w:rPr>
                <w:color w:val="000000"/>
                <w:sz w:val="16"/>
                <w:szCs w:val="16"/>
              </w:rPr>
            </w:pPr>
            <w:r w:rsidRPr="00B51776">
              <w:rPr>
                <w:color w:val="000000"/>
                <w:sz w:val="16"/>
                <w:szCs w:val="16"/>
              </w:rPr>
              <w:t>4 047 675</w:t>
            </w:r>
          </w:p>
        </w:tc>
        <w:tc>
          <w:tcPr>
            <w:tcW w:w="850" w:type="dxa"/>
            <w:shd w:val="clear" w:color="000000" w:fill="D6E3BC"/>
            <w:vAlign w:val="center"/>
            <w:hideMark/>
          </w:tcPr>
          <w:p w:rsidR="00DE4E3B" w:rsidRPr="00B51776" w:rsidRDefault="00DE4E3B" w:rsidP="00DE4E3B">
            <w:pPr>
              <w:jc w:val="right"/>
              <w:rPr>
                <w:color w:val="000000"/>
                <w:sz w:val="16"/>
                <w:szCs w:val="16"/>
              </w:rPr>
            </w:pPr>
            <w:r w:rsidRPr="00B51776">
              <w:rPr>
                <w:color w:val="000000"/>
                <w:sz w:val="16"/>
                <w:szCs w:val="16"/>
              </w:rPr>
              <w:t>4 086 260</w:t>
            </w:r>
          </w:p>
        </w:tc>
        <w:tc>
          <w:tcPr>
            <w:tcW w:w="867" w:type="dxa"/>
            <w:shd w:val="clear" w:color="000000" w:fill="D6E3BC"/>
            <w:noWrap/>
            <w:vAlign w:val="center"/>
            <w:hideMark/>
          </w:tcPr>
          <w:p w:rsidR="00DE4E3B" w:rsidRPr="00B51776" w:rsidRDefault="00DE4E3B" w:rsidP="00DE4E3B">
            <w:pPr>
              <w:jc w:val="right"/>
              <w:rPr>
                <w:color w:val="000000"/>
                <w:sz w:val="16"/>
                <w:szCs w:val="16"/>
              </w:rPr>
            </w:pPr>
            <w:r w:rsidRPr="00B51776">
              <w:rPr>
                <w:color w:val="000000"/>
                <w:sz w:val="16"/>
                <w:szCs w:val="16"/>
              </w:rPr>
              <w:t>2 994 400</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B51776" w:rsidRDefault="00DE4E3B" w:rsidP="00DE4E3B">
            <w:pPr>
              <w:rPr>
                <w:color w:val="000000"/>
                <w:sz w:val="18"/>
                <w:szCs w:val="18"/>
              </w:rPr>
            </w:pPr>
            <w:r w:rsidRPr="00B51776">
              <w:rPr>
                <w:color w:val="000000"/>
                <w:sz w:val="18"/>
                <w:szCs w:val="18"/>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72200</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Míra zaměstnanosti obyvatel ve věku 15-64 let - celkem</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r w:rsidRPr="00B51776">
              <w:rPr>
                <w:color w:val="000000"/>
                <w:sz w:val="18"/>
                <w:szCs w:val="18"/>
              </w:rPr>
              <w:br/>
            </w:r>
            <w:proofErr w:type="spellStart"/>
            <w:r w:rsidRPr="00B51776">
              <w:rPr>
                <w:color w:val="000000"/>
                <w:sz w:val="18"/>
                <w:szCs w:val="18"/>
              </w:rPr>
              <w:t>Eurostat</w:t>
            </w:r>
            <w:proofErr w:type="spellEnd"/>
          </w:p>
        </w:tc>
        <w:tc>
          <w:tcPr>
            <w:tcW w:w="1559" w:type="dxa"/>
            <w:shd w:val="clear" w:color="auto" w:fill="FFFFFF" w:themeFill="background1"/>
            <w:noWrap/>
            <w:vAlign w:val="center"/>
            <w:hideMark/>
          </w:tcPr>
          <w:p w:rsidR="00DE4E3B" w:rsidRPr="00B51776" w:rsidRDefault="00DE4E3B" w:rsidP="00DE4E3B">
            <w:pPr>
              <w:rPr>
                <w:color w:val="000000"/>
                <w:sz w:val="18"/>
                <w:szCs w:val="18"/>
              </w:rPr>
            </w:pPr>
            <w:r w:rsidRPr="00B51776">
              <w:rPr>
                <w:color w:val="000000"/>
                <w:sz w:val="18"/>
                <w:szCs w:val="18"/>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66,1</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66,58</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65,36</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65</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65,73</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66,5</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67,74</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67,74</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B51776" w:rsidRDefault="00DE4E3B" w:rsidP="00DE4E3B">
            <w:pPr>
              <w:rPr>
                <w:color w:val="000000"/>
                <w:sz w:val="18"/>
                <w:szCs w:val="18"/>
              </w:rPr>
            </w:pPr>
            <w:r w:rsidRPr="00B51776">
              <w:rPr>
                <w:color w:val="000000"/>
                <w:sz w:val="18"/>
                <w:szCs w:val="18"/>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64,8</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66,1</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66,58</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65,36</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65</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65,73</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66,5</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67,74</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64,8</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B51776" w:rsidRDefault="00DE4E3B" w:rsidP="00DE4E3B">
            <w:pPr>
              <w:rPr>
                <w:color w:val="000000"/>
                <w:sz w:val="18"/>
                <w:szCs w:val="18"/>
              </w:rPr>
            </w:pPr>
            <w:r w:rsidRPr="00B51776">
              <w:rPr>
                <w:color w:val="000000"/>
                <w:sz w:val="18"/>
                <w:szCs w:val="18"/>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72201</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 xml:space="preserve">Míra zaměstnanosti obyvatel ve věku 15-64 let - muži </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r w:rsidRPr="00B51776">
              <w:rPr>
                <w:color w:val="000000"/>
                <w:sz w:val="18"/>
                <w:szCs w:val="18"/>
              </w:rPr>
              <w:br/>
            </w:r>
            <w:proofErr w:type="spellStart"/>
            <w:r w:rsidRPr="00B51776">
              <w:rPr>
                <w:color w:val="000000"/>
                <w:sz w:val="18"/>
                <w:szCs w:val="18"/>
              </w:rPr>
              <w:t>Eurostat</w:t>
            </w:r>
            <w:proofErr w:type="spellEnd"/>
          </w:p>
        </w:tc>
        <w:tc>
          <w:tcPr>
            <w:tcW w:w="1559" w:type="dxa"/>
            <w:shd w:val="clear" w:color="auto" w:fill="FFFFFF" w:themeFill="background1"/>
            <w:noWrap/>
            <w:vAlign w:val="center"/>
            <w:hideMark/>
          </w:tcPr>
          <w:p w:rsidR="00DE4E3B" w:rsidRPr="00B51776" w:rsidRDefault="00DE4E3B" w:rsidP="00DE4E3B">
            <w:pPr>
              <w:rPr>
                <w:color w:val="000000"/>
                <w:sz w:val="18"/>
                <w:szCs w:val="18"/>
              </w:rPr>
            </w:pPr>
            <w:r w:rsidRPr="00B51776">
              <w:rPr>
                <w:color w:val="000000"/>
                <w:sz w:val="18"/>
                <w:szCs w:val="18"/>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74,79</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75,41</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73,84</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73,53</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74,04</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74,33</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75,67</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75,67</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B51776" w:rsidRDefault="00DE4E3B" w:rsidP="00DE4E3B">
            <w:pPr>
              <w:rPr>
                <w:color w:val="000000"/>
                <w:sz w:val="18"/>
                <w:szCs w:val="18"/>
              </w:rPr>
            </w:pPr>
            <w:r w:rsidRPr="00B51776">
              <w:rPr>
                <w:color w:val="000000"/>
                <w:sz w:val="18"/>
                <w:szCs w:val="18"/>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73,3</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74,79</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75,41</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73,84</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73,53</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74,04</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74,33</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75,67</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73,3</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B51776" w:rsidRDefault="00DE4E3B" w:rsidP="00DE4E3B">
            <w:pPr>
              <w:rPr>
                <w:color w:val="000000"/>
                <w:sz w:val="18"/>
                <w:szCs w:val="18"/>
              </w:rPr>
            </w:pPr>
            <w:r w:rsidRPr="00B51776">
              <w:rPr>
                <w:color w:val="000000"/>
                <w:sz w:val="18"/>
                <w:szCs w:val="18"/>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72202</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 xml:space="preserve">Míra zaměstnanosti obyvatel ve věku 15-64 let - ženy </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r w:rsidRPr="00B51776">
              <w:rPr>
                <w:color w:val="000000"/>
                <w:sz w:val="18"/>
                <w:szCs w:val="18"/>
              </w:rPr>
              <w:br/>
            </w:r>
            <w:proofErr w:type="spellStart"/>
            <w:r w:rsidRPr="00B51776">
              <w:rPr>
                <w:color w:val="000000"/>
                <w:sz w:val="18"/>
                <w:szCs w:val="18"/>
              </w:rPr>
              <w:t>Eurostat</w:t>
            </w:r>
            <w:proofErr w:type="spellEnd"/>
          </w:p>
        </w:tc>
        <w:tc>
          <w:tcPr>
            <w:tcW w:w="1559" w:type="dxa"/>
            <w:shd w:val="clear" w:color="auto" w:fill="FFFFFF" w:themeFill="background1"/>
            <w:noWrap/>
            <w:vAlign w:val="center"/>
            <w:hideMark/>
          </w:tcPr>
          <w:p w:rsidR="00DE4E3B" w:rsidRPr="00B51776" w:rsidRDefault="00DE4E3B" w:rsidP="00DE4E3B">
            <w:pPr>
              <w:rPr>
                <w:color w:val="000000"/>
                <w:sz w:val="18"/>
                <w:szCs w:val="18"/>
              </w:rPr>
            </w:pPr>
            <w:r w:rsidRPr="00B51776">
              <w:rPr>
                <w:color w:val="000000"/>
                <w:sz w:val="18"/>
                <w:szCs w:val="18"/>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57,29</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57,58</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56,68</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56,27</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57,23</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58</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59,6</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59,6</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B51776" w:rsidRDefault="00DE4E3B" w:rsidP="00DE4E3B">
            <w:pPr>
              <w:rPr>
                <w:color w:val="000000"/>
                <w:sz w:val="18"/>
                <w:szCs w:val="18"/>
              </w:rPr>
            </w:pPr>
            <w:r w:rsidRPr="00B51776">
              <w:rPr>
                <w:color w:val="000000"/>
                <w:sz w:val="18"/>
                <w:szCs w:val="18"/>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56,3</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57,29</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57,58</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56,68</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56,27</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57,23</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58</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59,6</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56,3</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B51776" w:rsidRDefault="00DE4E3B" w:rsidP="00DE4E3B">
            <w:pPr>
              <w:rPr>
                <w:color w:val="000000"/>
                <w:sz w:val="18"/>
                <w:szCs w:val="18"/>
              </w:rPr>
            </w:pPr>
            <w:r w:rsidRPr="00B51776">
              <w:rPr>
                <w:color w:val="000000"/>
                <w:sz w:val="18"/>
                <w:szCs w:val="18"/>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20101</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Saldo státního rozpočtu (SR)</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mil. Kč</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ČNB,</w:t>
            </w:r>
            <w:r w:rsidRPr="00B51776">
              <w:rPr>
                <w:color w:val="000000"/>
                <w:sz w:val="18"/>
                <w:szCs w:val="18"/>
              </w:rPr>
              <w:br/>
              <w:t>ČSÚ</w:t>
            </w:r>
          </w:p>
        </w:tc>
        <w:tc>
          <w:tcPr>
            <w:tcW w:w="1559" w:type="dxa"/>
            <w:shd w:val="clear" w:color="auto" w:fill="FFFFFF" w:themeFill="background1"/>
            <w:noWrap/>
            <w:vAlign w:val="center"/>
            <w:hideMark/>
          </w:tcPr>
          <w:p w:rsidR="00DE4E3B" w:rsidRPr="00B51776" w:rsidRDefault="00DE4E3B" w:rsidP="00DE4E3B">
            <w:pPr>
              <w:rPr>
                <w:color w:val="000000"/>
                <w:sz w:val="18"/>
                <w:szCs w:val="18"/>
              </w:rPr>
            </w:pPr>
            <w:r w:rsidRPr="00B51776">
              <w:rPr>
                <w:color w:val="000000"/>
                <w:sz w:val="18"/>
                <w:szCs w:val="18"/>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66 392</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20 003</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192 394</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156 416</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142 771</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101 000</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81 264</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77 782</w:t>
            </w:r>
          </w:p>
        </w:tc>
        <w:tc>
          <w:tcPr>
            <w:tcW w:w="867" w:type="dxa"/>
            <w:shd w:val="clear" w:color="auto" w:fill="FFFFFF" w:themeFill="background1"/>
            <w:noWrap/>
            <w:vAlign w:val="center"/>
            <w:hideMark/>
          </w:tcPr>
          <w:p w:rsidR="00192DA8" w:rsidRPr="00DE4E3B" w:rsidRDefault="00192DA8" w:rsidP="00192DA8">
            <w:pPr>
              <w:jc w:val="right"/>
              <w:rPr>
                <w:color w:val="000000"/>
                <w:sz w:val="16"/>
                <w:szCs w:val="16"/>
              </w:rPr>
            </w:pPr>
            <w:r>
              <w:rPr>
                <w:color w:val="000000"/>
                <w:sz w:val="16"/>
                <w:szCs w:val="16"/>
              </w:rPr>
              <w:t>77 782</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B51776" w:rsidRDefault="00DE4E3B" w:rsidP="00DE4E3B">
            <w:pPr>
              <w:rPr>
                <w:color w:val="000000"/>
                <w:sz w:val="18"/>
                <w:szCs w:val="18"/>
              </w:rPr>
            </w:pPr>
            <w:r w:rsidRPr="00B51776">
              <w:rPr>
                <w:color w:val="000000"/>
                <w:sz w:val="18"/>
                <w:szCs w:val="18"/>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56 300</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66392</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20 003</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192 394</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156 416</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142 771</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101 000</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81 264</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56 300</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B51776" w:rsidRDefault="00DE4E3B" w:rsidP="00DE4E3B">
            <w:pPr>
              <w:rPr>
                <w:color w:val="000000"/>
                <w:sz w:val="18"/>
                <w:szCs w:val="18"/>
              </w:rPr>
            </w:pPr>
            <w:r w:rsidRPr="00B51776">
              <w:rPr>
                <w:color w:val="000000"/>
                <w:sz w:val="18"/>
                <w:szCs w:val="18"/>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412500</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 xml:space="preserve">Přenocování hostů v hromadných ubytovacích zařízeních celkem </w:t>
            </w:r>
          </w:p>
        </w:tc>
        <w:tc>
          <w:tcPr>
            <w:tcW w:w="896"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Počet</w:t>
            </w:r>
            <w:r w:rsidRPr="00B51776">
              <w:rPr>
                <w:color w:val="000000"/>
                <w:sz w:val="18"/>
                <w:szCs w:val="18"/>
              </w:rPr>
              <w:br/>
              <w:t>(tis.)</w:t>
            </w:r>
          </w:p>
        </w:tc>
        <w:tc>
          <w:tcPr>
            <w:tcW w:w="992"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ČSÚ</w:t>
            </w:r>
          </w:p>
        </w:tc>
        <w:tc>
          <w:tcPr>
            <w:tcW w:w="1559" w:type="dxa"/>
            <w:shd w:val="clear" w:color="auto" w:fill="FFFFFF" w:themeFill="background1"/>
            <w:noWrap/>
            <w:vAlign w:val="center"/>
            <w:hideMark/>
          </w:tcPr>
          <w:p w:rsidR="00DE4E3B" w:rsidRPr="00B51776" w:rsidRDefault="00DE4E3B" w:rsidP="00DE4E3B">
            <w:pPr>
              <w:rPr>
                <w:color w:val="000000"/>
                <w:sz w:val="18"/>
                <w:szCs w:val="18"/>
              </w:rPr>
            </w:pPr>
            <w:r w:rsidRPr="00B51776">
              <w:rPr>
                <w:color w:val="000000"/>
                <w:sz w:val="18"/>
                <w:szCs w:val="18"/>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40831,07</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39 283</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36 662</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36 909</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38 235</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43 278</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43308,28</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43 308</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B51776" w:rsidRDefault="00DE4E3B" w:rsidP="00DE4E3B">
            <w:pPr>
              <w:rPr>
                <w:color w:val="000000"/>
                <w:sz w:val="18"/>
                <w:szCs w:val="18"/>
              </w:rPr>
            </w:pPr>
            <w:r w:rsidRPr="00B51776">
              <w:rPr>
                <w:color w:val="000000"/>
                <w:sz w:val="18"/>
                <w:szCs w:val="18"/>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40320</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40831,07</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39 283</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36 662</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36 909</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38 235</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43 278</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43 308</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40 320</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B51776" w:rsidRDefault="00DE4E3B" w:rsidP="00DE4E3B">
            <w:pPr>
              <w:rPr>
                <w:color w:val="000000"/>
                <w:sz w:val="18"/>
                <w:szCs w:val="18"/>
              </w:rPr>
            </w:pPr>
            <w:r w:rsidRPr="00B51776">
              <w:rPr>
                <w:color w:val="000000"/>
                <w:sz w:val="18"/>
                <w:szCs w:val="18"/>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412600</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Přenocování hostů v hromadných ubytovacích zařízeních</w:t>
            </w:r>
            <w:r w:rsidRPr="00DE4E3B">
              <w:rPr>
                <w:color w:val="000000"/>
                <w:sz w:val="16"/>
                <w:szCs w:val="16"/>
              </w:rPr>
              <w:br/>
              <w:t>z toho cizinců</w:t>
            </w:r>
          </w:p>
        </w:tc>
        <w:tc>
          <w:tcPr>
            <w:tcW w:w="896"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Počet (tis.)</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p>
        </w:tc>
        <w:tc>
          <w:tcPr>
            <w:tcW w:w="1559" w:type="dxa"/>
            <w:shd w:val="clear" w:color="auto" w:fill="FFFFFF" w:themeFill="background1"/>
            <w:noWrap/>
            <w:vAlign w:val="center"/>
            <w:hideMark/>
          </w:tcPr>
          <w:p w:rsidR="00DE4E3B" w:rsidRPr="00B51776" w:rsidRDefault="00DE4E3B" w:rsidP="00DE4E3B">
            <w:pPr>
              <w:rPr>
                <w:color w:val="000000"/>
                <w:sz w:val="18"/>
                <w:szCs w:val="18"/>
              </w:rPr>
            </w:pPr>
            <w:r w:rsidRPr="00B51776">
              <w:rPr>
                <w:color w:val="000000"/>
                <w:sz w:val="18"/>
                <w:szCs w:val="18"/>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20 620</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19 987</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17 747</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18 366</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19 425</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21 794</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22145</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22 145</w:t>
            </w:r>
          </w:p>
        </w:tc>
      </w:tr>
      <w:tr w:rsidR="008818D8" w:rsidRPr="00DE4E3B" w:rsidTr="008818D8">
        <w:trPr>
          <w:trHeight w:val="299"/>
        </w:trPr>
        <w:tc>
          <w:tcPr>
            <w:tcW w:w="995" w:type="dxa"/>
            <w:vMerge/>
            <w:vAlign w:val="center"/>
            <w:hideMark/>
          </w:tcPr>
          <w:p w:rsidR="00DE4E3B" w:rsidRPr="00DE4E3B" w:rsidRDefault="00DE4E3B" w:rsidP="00DE4E3B">
            <w:pPr>
              <w:rPr>
                <w:color w:val="000000"/>
                <w:sz w:val="16"/>
                <w:szCs w:val="16"/>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DE4E3B" w:rsidRDefault="00DE4E3B" w:rsidP="00DE4E3B">
            <w:pPr>
              <w:rPr>
                <w:color w:val="000000"/>
                <w:sz w:val="16"/>
                <w:szCs w:val="16"/>
              </w:rPr>
            </w:pPr>
          </w:p>
        </w:tc>
        <w:tc>
          <w:tcPr>
            <w:tcW w:w="992" w:type="dxa"/>
            <w:vMerge/>
            <w:vAlign w:val="center"/>
            <w:hideMark/>
          </w:tcPr>
          <w:p w:rsidR="00DE4E3B" w:rsidRPr="00DE4E3B" w:rsidRDefault="00DE4E3B" w:rsidP="00DE4E3B">
            <w:pPr>
              <w:rPr>
                <w:color w:val="000000"/>
                <w:sz w:val="16"/>
                <w:szCs w:val="16"/>
              </w:rPr>
            </w:pPr>
          </w:p>
        </w:tc>
        <w:tc>
          <w:tcPr>
            <w:tcW w:w="1559" w:type="dxa"/>
            <w:shd w:val="clear" w:color="000000" w:fill="D6E3BC"/>
            <w:noWrap/>
            <w:vAlign w:val="center"/>
            <w:hideMark/>
          </w:tcPr>
          <w:p w:rsidR="00DE4E3B" w:rsidRPr="00B51776" w:rsidRDefault="00DE4E3B" w:rsidP="00DE4E3B">
            <w:pPr>
              <w:rPr>
                <w:color w:val="000000"/>
                <w:sz w:val="18"/>
                <w:szCs w:val="18"/>
              </w:rPr>
            </w:pPr>
            <w:r w:rsidRPr="00B51776">
              <w:rPr>
                <w:color w:val="000000"/>
                <w:sz w:val="18"/>
                <w:szCs w:val="18"/>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19 595</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20 620</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19 987</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17 747</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18 366</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19 425</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21 794</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22 145</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19 595</w:t>
            </w:r>
          </w:p>
        </w:tc>
      </w:tr>
      <w:tr w:rsidR="00DE4E3B" w:rsidRPr="00DE4E3B" w:rsidTr="008818D8">
        <w:trPr>
          <w:trHeight w:val="299"/>
        </w:trPr>
        <w:tc>
          <w:tcPr>
            <w:tcW w:w="995" w:type="dxa"/>
            <w:vMerge/>
            <w:vAlign w:val="center"/>
            <w:hideMark/>
          </w:tcPr>
          <w:p w:rsidR="00DE4E3B" w:rsidRPr="00DE4E3B" w:rsidRDefault="00DE4E3B" w:rsidP="00DE4E3B">
            <w:pPr>
              <w:rPr>
                <w:color w:val="000000"/>
                <w:sz w:val="16"/>
                <w:szCs w:val="16"/>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DE4E3B" w:rsidRDefault="00DE4E3B" w:rsidP="00DE4E3B">
            <w:pPr>
              <w:rPr>
                <w:color w:val="000000"/>
                <w:sz w:val="16"/>
                <w:szCs w:val="16"/>
              </w:rPr>
            </w:pPr>
          </w:p>
        </w:tc>
        <w:tc>
          <w:tcPr>
            <w:tcW w:w="992" w:type="dxa"/>
            <w:vMerge/>
            <w:vAlign w:val="center"/>
            <w:hideMark/>
          </w:tcPr>
          <w:p w:rsidR="00DE4E3B" w:rsidRPr="00DE4E3B" w:rsidRDefault="00DE4E3B" w:rsidP="00DE4E3B">
            <w:pPr>
              <w:rPr>
                <w:color w:val="000000"/>
                <w:sz w:val="16"/>
                <w:szCs w:val="16"/>
              </w:rPr>
            </w:pPr>
          </w:p>
        </w:tc>
        <w:tc>
          <w:tcPr>
            <w:tcW w:w="1559" w:type="dxa"/>
            <w:shd w:val="clear" w:color="auto" w:fill="auto"/>
            <w:noWrap/>
            <w:vAlign w:val="center"/>
            <w:hideMark/>
          </w:tcPr>
          <w:p w:rsidR="00DE4E3B" w:rsidRPr="00B51776" w:rsidRDefault="00DE4E3B" w:rsidP="00DE4E3B">
            <w:pPr>
              <w:rPr>
                <w:color w:val="000000"/>
                <w:sz w:val="18"/>
                <w:szCs w:val="18"/>
              </w:rPr>
            </w:pPr>
            <w:r w:rsidRPr="00B51776">
              <w:rPr>
                <w:color w:val="000000"/>
                <w:sz w:val="18"/>
                <w:szCs w:val="18"/>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lastRenderedPageBreak/>
              <w:t>21103</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Výdaje na ICT - podíl na HDP</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r w:rsidRPr="00B51776">
              <w:rPr>
                <w:color w:val="000000"/>
                <w:sz w:val="18"/>
                <w:szCs w:val="18"/>
              </w:rPr>
              <w:br/>
            </w:r>
            <w:proofErr w:type="spellStart"/>
            <w:r w:rsidRPr="00B51776">
              <w:rPr>
                <w:color w:val="000000"/>
                <w:sz w:val="18"/>
                <w:szCs w:val="18"/>
              </w:rPr>
              <w:t>Eurostat</w:t>
            </w:r>
            <w:proofErr w:type="spellEnd"/>
          </w:p>
        </w:tc>
        <w:tc>
          <w:tcPr>
            <w:tcW w:w="1559" w:type="dxa"/>
            <w:shd w:val="clear" w:color="auto" w:fill="FFFFFF" w:themeFill="background1"/>
            <w:noWrap/>
            <w:vAlign w:val="center"/>
            <w:hideMark/>
          </w:tcPr>
          <w:p w:rsidR="00DE4E3B" w:rsidRPr="00DE4E3B" w:rsidRDefault="00DE4E3B" w:rsidP="00DE4E3B">
            <w:pPr>
              <w:rPr>
                <w:color w:val="000000"/>
                <w:sz w:val="16"/>
                <w:szCs w:val="16"/>
              </w:rPr>
            </w:pPr>
            <w:r w:rsidRPr="00DE4E3B">
              <w:rPr>
                <w:color w:val="000000"/>
                <w:sz w:val="16"/>
                <w:szCs w:val="16"/>
              </w:rPr>
              <w:t>Dosažená</w:t>
            </w:r>
          </w:p>
        </w:tc>
        <w:tc>
          <w:tcPr>
            <w:tcW w:w="851" w:type="dxa"/>
            <w:shd w:val="clear" w:color="auto" w:fill="FFFFFF" w:themeFill="background1"/>
            <w:noWrap/>
            <w:vAlign w:val="center"/>
            <w:hideMark/>
          </w:tcPr>
          <w:p w:rsidR="00DE4E3B" w:rsidRPr="00DE4E3B" w:rsidRDefault="008935B8" w:rsidP="00DE4E3B">
            <w:pPr>
              <w:jc w:val="right"/>
              <w:rPr>
                <w:color w:val="000000"/>
                <w:sz w:val="16"/>
                <w:szCs w:val="16"/>
              </w:rPr>
            </w:pPr>
            <w:r>
              <w:rPr>
                <w:color w:val="000000"/>
                <w:sz w:val="16"/>
                <w:szCs w:val="16"/>
              </w:rPr>
              <w:t>2,2</w:t>
            </w:r>
          </w:p>
        </w:tc>
        <w:tc>
          <w:tcPr>
            <w:tcW w:w="850" w:type="dxa"/>
            <w:shd w:val="clear" w:color="auto" w:fill="FFFFFF" w:themeFill="background1"/>
            <w:noWrap/>
            <w:vAlign w:val="center"/>
            <w:hideMark/>
          </w:tcPr>
          <w:p w:rsidR="00DE4E3B" w:rsidRPr="00DE4E3B" w:rsidRDefault="008935B8" w:rsidP="00DE4E3B">
            <w:pPr>
              <w:jc w:val="right"/>
              <w:rPr>
                <w:color w:val="000000"/>
                <w:sz w:val="16"/>
                <w:szCs w:val="16"/>
              </w:rPr>
            </w:pPr>
            <w:r>
              <w:rPr>
                <w:color w:val="000000"/>
                <w:sz w:val="16"/>
                <w:szCs w:val="16"/>
              </w:rPr>
              <w:t>2</w:t>
            </w:r>
          </w:p>
        </w:tc>
        <w:tc>
          <w:tcPr>
            <w:tcW w:w="851" w:type="dxa"/>
            <w:shd w:val="clear" w:color="auto" w:fill="FFFFFF" w:themeFill="background1"/>
            <w:vAlign w:val="center"/>
            <w:hideMark/>
          </w:tcPr>
          <w:p w:rsidR="00DE4E3B" w:rsidRPr="00DE4E3B" w:rsidRDefault="008935B8" w:rsidP="00DE4E3B">
            <w:pPr>
              <w:jc w:val="right"/>
              <w:rPr>
                <w:color w:val="000000"/>
                <w:sz w:val="16"/>
                <w:szCs w:val="16"/>
              </w:rPr>
            </w:pPr>
            <w:r>
              <w:rPr>
                <w:color w:val="000000"/>
                <w:sz w:val="16"/>
                <w:szCs w:val="16"/>
              </w:rPr>
              <w:t>2,2</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17,37</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16,88</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15,67</w:t>
            </w:r>
          </w:p>
        </w:tc>
        <w:tc>
          <w:tcPr>
            <w:tcW w:w="851" w:type="dxa"/>
            <w:shd w:val="clear" w:color="auto" w:fill="FFFFFF" w:themeFill="background1"/>
            <w:vAlign w:val="center"/>
            <w:hideMark/>
          </w:tcPr>
          <w:p w:rsidR="00DE4E3B" w:rsidRPr="00DE4E3B" w:rsidRDefault="00B25F87" w:rsidP="00DE4E3B">
            <w:pPr>
              <w:jc w:val="right"/>
              <w:rPr>
                <w:color w:val="000000"/>
                <w:sz w:val="16"/>
                <w:szCs w:val="16"/>
              </w:rPr>
            </w:pPr>
            <w:r>
              <w:rPr>
                <w:color w:val="000000"/>
                <w:sz w:val="16"/>
                <w:szCs w:val="16"/>
              </w:rPr>
              <w:t>N/A</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16,5</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DE4E3B" w:rsidRDefault="00DE4E3B" w:rsidP="00DE4E3B">
            <w:pPr>
              <w:rPr>
                <w:color w:val="000000"/>
                <w:sz w:val="16"/>
                <w:szCs w:val="16"/>
              </w:rPr>
            </w:pPr>
            <w:r w:rsidRPr="00DE4E3B">
              <w:rPr>
                <w:color w:val="000000"/>
                <w:sz w:val="16"/>
                <w:szCs w:val="16"/>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3</w:t>
            </w:r>
          </w:p>
        </w:tc>
        <w:tc>
          <w:tcPr>
            <w:tcW w:w="850" w:type="dxa"/>
            <w:shd w:val="clear" w:color="000000" w:fill="D6E3BC"/>
            <w:noWrap/>
            <w:vAlign w:val="center"/>
            <w:hideMark/>
          </w:tcPr>
          <w:p w:rsidR="00DE4E3B" w:rsidRPr="00DE4E3B" w:rsidRDefault="008935B8" w:rsidP="00DE4E3B">
            <w:pPr>
              <w:jc w:val="right"/>
              <w:rPr>
                <w:color w:val="000000"/>
                <w:sz w:val="16"/>
                <w:szCs w:val="16"/>
              </w:rPr>
            </w:pPr>
            <w:r>
              <w:rPr>
                <w:color w:val="000000"/>
                <w:sz w:val="16"/>
                <w:szCs w:val="16"/>
              </w:rPr>
              <w:t>2,2</w:t>
            </w:r>
          </w:p>
        </w:tc>
        <w:tc>
          <w:tcPr>
            <w:tcW w:w="851" w:type="dxa"/>
            <w:shd w:val="clear" w:color="000000" w:fill="D6E3BC"/>
            <w:vAlign w:val="center"/>
            <w:hideMark/>
          </w:tcPr>
          <w:p w:rsidR="00DE4E3B" w:rsidRPr="00DE4E3B" w:rsidRDefault="008935B8" w:rsidP="00DE4E3B">
            <w:pPr>
              <w:jc w:val="right"/>
              <w:rPr>
                <w:color w:val="000000"/>
                <w:sz w:val="16"/>
                <w:szCs w:val="16"/>
              </w:rPr>
            </w:pPr>
            <w:r>
              <w:rPr>
                <w:color w:val="000000"/>
                <w:sz w:val="16"/>
                <w:szCs w:val="16"/>
              </w:rPr>
              <w:t>2</w:t>
            </w:r>
          </w:p>
        </w:tc>
        <w:tc>
          <w:tcPr>
            <w:tcW w:w="992" w:type="dxa"/>
            <w:shd w:val="clear" w:color="000000" w:fill="D6E3BC"/>
            <w:vAlign w:val="center"/>
            <w:hideMark/>
          </w:tcPr>
          <w:p w:rsidR="00DE4E3B" w:rsidRPr="00DE4E3B" w:rsidRDefault="008935B8" w:rsidP="00DE4E3B">
            <w:pPr>
              <w:jc w:val="right"/>
              <w:rPr>
                <w:color w:val="000000"/>
                <w:sz w:val="16"/>
                <w:szCs w:val="16"/>
              </w:rPr>
            </w:pPr>
            <w:r>
              <w:rPr>
                <w:color w:val="000000"/>
                <w:sz w:val="16"/>
                <w:szCs w:val="16"/>
              </w:rPr>
              <w:t>2,2</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17,37</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16,88</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15,67</w:t>
            </w:r>
          </w:p>
        </w:tc>
        <w:tc>
          <w:tcPr>
            <w:tcW w:w="850" w:type="dxa"/>
            <w:shd w:val="clear" w:color="000000" w:fill="D6E3BC"/>
            <w:vAlign w:val="center"/>
            <w:hideMark/>
          </w:tcPr>
          <w:p w:rsidR="00DE4E3B" w:rsidRPr="00DE4E3B" w:rsidRDefault="00B25F87" w:rsidP="00DE4E3B">
            <w:pPr>
              <w:jc w:val="right"/>
              <w:rPr>
                <w:color w:val="000000"/>
                <w:sz w:val="16"/>
                <w:szCs w:val="16"/>
              </w:rPr>
            </w:pPr>
            <w:r>
              <w:rPr>
                <w:color w:val="000000"/>
                <w:sz w:val="16"/>
                <w:szCs w:val="16"/>
              </w:rPr>
              <w:t>N/A</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3</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DE4E3B" w:rsidRDefault="00DE4E3B" w:rsidP="00DE4E3B">
            <w:pPr>
              <w:rPr>
                <w:color w:val="000000"/>
                <w:sz w:val="16"/>
                <w:szCs w:val="16"/>
              </w:rPr>
            </w:pPr>
            <w:r w:rsidRPr="00DE4E3B">
              <w:rPr>
                <w:color w:val="000000"/>
                <w:sz w:val="16"/>
                <w:szCs w:val="16"/>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21101</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Celkové výdaje na zdravotnictví - podíl na HDP v běžných cenách</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r w:rsidRPr="00B51776">
              <w:rPr>
                <w:color w:val="000000"/>
                <w:sz w:val="18"/>
                <w:szCs w:val="18"/>
              </w:rPr>
              <w:br/>
              <w:t>(ÚZIS)</w:t>
            </w:r>
          </w:p>
        </w:tc>
        <w:tc>
          <w:tcPr>
            <w:tcW w:w="1559" w:type="dxa"/>
            <w:shd w:val="clear" w:color="auto" w:fill="FFFFFF" w:themeFill="background1"/>
            <w:noWrap/>
            <w:vAlign w:val="center"/>
            <w:hideMark/>
          </w:tcPr>
          <w:p w:rsidR="00DE4E3B" w:rsidRPr="00DE4E3B" w:rsidRDefault="00DE4E3B" w:rsidP="00DE4E3B">
            <w:pPr>
              <w:rPr>
                <w:color w:val="000000"/>
                <w:sz w:val="16"/>
                <w:szCs w:val="16"/>
              </w:rPr>
            </w:pPr>
            <w:r w:rsidRPr="00DE4E3B">
              <w:rPr>
                <w:color w:val="000000"/>
                <w:sz w:val="16"/>
                <w:szCs w:val="16"/>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5,81</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6,59</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7,46</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7,19</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7,19</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7,21</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7,21</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DE4E3B" w:rsidRDefault="00DE4E3B" w:rsidP="00DE4E3B">
            <w:pPr>
              <w:rPr>
                <w:color w:val="000000"/>
                <w:sz w:val="16"/>
                <w:szCs w:val="16"/>
              </w:rPr>
            </w:pPr>
            <w:r w:rsidRPr="00DE4E3B">
              <w:rPr>
                <w:color w:val="000000"/>
                <w:sz w:val="16"/>
                <w:szCs w:val="16"/>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7</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5,81</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6,59</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7,46</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7,19</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7,19</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7,21</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7</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DE4E3B" w:rsidRDefault="00DE4E3B" w:rsidP="00DE4E3B">
            <w:pPr>
              <w:rPr>
                <w:color w:val="000000"/>
                <w:sz w:val="16"/>
                <w:szCs w:val="16"/>
              </w:rPr>
            </w:pPr>
            <w:r w:rsidRPr="00DE4E3B">
              <w:rPr>
                <w:color w:val="000000"/>
                <w:sz w:val="16"/>
                <w:szCs w:val="16"/>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21102</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Celkové výdaje na kulturu a sport - podíl na HDP</w:t>
            </w:r>
          </w:p>
        </w:tc>
        <w:tc>
          <w:tcPr>
            <w:tcW w:w="896"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w:t>
            </w:r>
          </w:p>
        </w:tc>
        <w:tc>
          <w:tcPr>
            <w:tcW w:w="992"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ČSÚ</w:t>
            </w:r>
            <w:r w:rsidRPr="00B51776">
              <w:rPr>
                <w:color w:val="000000"/>
                <w:sz w:val="18"/>
                <w:szCs w:val="18"/>
              </w:rPr>
              <w:br/>
              <w:t>(NIPOS)</w:t>
            </w:r>
          </w:p>
        </w:tc>
        <w:tc>
          <w:tcPr>
            <w:tcW w:w="1559" w:type="dxa"/>
            <w:shd w:val="clear" w:color="auto" w:fill="FFFFFF" w:themeFill="background1"/>
            <w:noWrap/>
            <w:vAlign w:val="center"/>
            <w:hideMark/>
          </w:tcPr>
          <w:p w:rsidR="00DE4E3B" w:rsidRPr="00DE4E3B" w:rsidRDefault="00DE4E3B" w:rsidP="00DE4E3B">
            <w:pPr>
              <w:rPr>
                <w:color w:val="000000"/>
                <w:sz w:val="16"/>
                <w:szCs w:val="16"/>
              </w:rPr>
            </w:pPr>
            <w:r w:rsidRPr="00DE4E3B">
              <w:rPr>
                <w:color w:val="000000"/>
                <w:sz w:val="16"/>
                <w:szCs w:val="16"/>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0,95</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0,98</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1,13</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1,15</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1,01</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1,01</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1,03</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1,03</w:t>
            </w:r>
          </w:p>
        </w:tc>
      </w:tr>
      <w:tr w:rsidR="008818D8"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000000" w:fill="D6E3BC"/>
            <w:noWrap/>
            <w:vAlign w:val="center"/>
            <w:hideMark/>
          </w:tcPr>
          <w:p w:rsidR="00DE4E3B" w:rsidRPr="00DE4E3B" w:rsidRDefault="00DE4E3B" w:rsidP="00DE4E3B">
            <w:pPr>
              <w:rPr>
                <w:color w:val="000000"/>
                <w:sz w:val="16"/>
                <w:szCs w:val="16"/>
              </w:rPr>
            </w:pPr>
            <w:r w:rsidRPr="00DE4E3B">
              <w:rPr>
                <w:color w:val="000000"/>
                <w:sz w:val="16"/>
                <w:szCs w:val="16"/>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1,7</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0,95</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0,98</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1,13</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1,15</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1,01</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1,01</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1,03</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1,7</w:t>
            </w:r>
          </w:p>
        </w:tc>
      </w:tr>
      <w:tr w:rsidR="00DE4E3B" w:rsidRPr="00DE4E3B" w:rsidTr="008818D8">
        <w:trPr>
          <w:trHeight w:val="299"/>
        </w:trPr>
        <w:tc>
          <w:tcPr>
            <w:tcW w:w="995" w:type="dxa"/>
            <w:vMerge/>
            <w:vAlign w:val="center"/>
            <w:hideMark/>
          </w:tcPr>
          <w:p w:rsidR="00DE4E3B" w:rsidRPr="00B51776" w:rsidRDefault="00DE4E3B" w:rsidP="00DE4E3B">
            <w:pPr>
              <w:rPr>
                <w:color w:val="000000"/>
                <w:sz w:val="18"/>
                <w:szCs w:val="18"/>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B51776" w:rsidRDefault="00DE4E3B" w:rsidP="00DE4E3B">
            <w:pPr>
              <w:rPr>
                <w:color w:val="000000"/>
                <w:sz w:val="18"/>
                <w:szCs w:val="18"/>
              </w:rPr>
            </w:pPr>
          </w:p>
        </w:tc>
        <w:tc>
          <w:tcPr>
            <w:tcW w:w="992" w:type="dxa"/>
            <w:vMerge/>
            <w:vAlign w:val="center"/>
            <w:hideMark/>
          </w:tcPr>
          <w:p w:rsidR="00DE4E3B" w:rsidRPr="00B51776" w:rsidRDefault="00DE4E3B" w:rsidP="00DE4E3B">
            <w:pPr>
              <w:rPr>
                <w:color w:val="000000"/>
                <w:sz w:val="18"/>
                <w:szCs w:val="18"/>
              </w:rPr>
            </w:pPr>
          </w:p>
        </w:tc>
        <w:tc>
          <w:tcPr>
            <w:tcW w:w="1559" w:type="dxa"/>
            <w:shd w:val="clear" w:color="auto" w:fill="auto"/>
            <w:noWrap/>
            <w:vAlign w:val="center"/>
            <w:hideMark/>
          </w:tcPr>
          <w:p w:rsidR="00DE4E3B" w:rsidRPr="00DE4E3B" w:rsidRDefault="00DE4E3B" w:rsidP="00DE4E3B">
            <w:pPr>
              <w:rPr>
                <w:color w:val="000000"/>
                <w:sz w:val="16"/>
                <w:szCs w:val="16"/>
              </w:rPr>
            </w:pPr>
            <w:r w:rsidRPr="00DE4E3B">
              <w:rPr>
                <w:color w:val="000000"/>
                <w:sz w:val="16"/>
                <w:szCs w:val="16"/>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r w:rsidR="008818D8" w:rsidRPr="00DE4E3B" w:rsidTr="008818D8">
        <w:trPr>
          <w:trHeight w:val="299"/>
        </w:trPr>
        <w:tc>
          <w:tcPr>
            <w:tcW w:w="995"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11406</w:t>
            </w:r>
          </w:p>
        </w:tc>
        <w:tc>
          <w:tcPr>
            <w:tcW w:w="1800" w:type="dxa"/>
            <w:vMerge w:val="restart"/>
            <w:shd w:val="clear" w:color="auto" w:fill="auto"/>
            <w:vAlign w:val="center"/>
            <w:hideMark/>
          </w:tcPr>
          <w:p w:rsidR="00DE4E3B" w:rsidRPr="00DE4E3B" w:rsidRDefault="00DE4E3B" w:rsidP="00DE4E3B">
            <w:pPr>
              <w:rPr>
                <w:color w:val="000000"/>
                <w:sz w:val="16"/>
                <w:szCs w:val="16"/>
              </w:rPr>
            </w:pPr>
            <w:r w:rsidRPr="00DE4E3B">
              <w:rPr>
                <w:color w:val="000000"/>
                <w:sz w:val="16"/>
                <w:szCs w:val="16"/>
              </w:rPr>
              <w:t xml:space="preserve">Průměrná roční energetická spotřeba </w:t>
            </w:r>
          </w:p>
        </w:tc>
        <w:tc>
          <w:tcPr>
            <w:tcW w:w="896" w:type="dxa"/>
            <w:vMerge w:val="restart"/>
            <w:shd w:val="clear" w:color="auto" w:fill="auto"/>
            <w:vAlign w:val="center"/>
            <w:hideMark/>
          </w:tcPr>
          <w:p w:rsidR="00DE4E3B" w:rsidRPr="00B51776" w:rsidRDefault="00DE4E3B" w:rsidP="00DE4E3B">
            <w:pPr>
              <w:jc w:val="center"/>
              <w:rPr>
                <w:color w:val="000000"/>
                <w:sz w:val="18"/>
                <w:szCs w:val="18"/>
              </w:rPr>
            </w:pPr>
            <w:r w:rsidRPr="00B51776">
              <w:rPr>
                <w:color w:val="000000"/>
                <w:sz w:val="18"/>
                <w:szCs w:val="18"/>
              </w:rPr>
              <w:t>GJ/byt</w:t>
            </w:r>
          </w:p>
        </w:tc>
        <w:tc>
          <w:tcPr>
            <w:tcW w:w="992" w:type="dxa"/>
            <w:vMerge w:val="restart"/>
            <w:shd w:val="clear" w:color="auto" w:fill="auto"/>
            <w:noWrap/>
            <w:vAlign w:val="center"/>
            <w:hideMark/>
          </w:tcPr>
          <w:p w:rsidR="00DE4E3B" w:rsidRPr="00B51776" w:rsidRDefault="00DE4E3B" w:rsidP="00DE4E3B">
            <w:pPr>
              <w:jc w:val="center"/>
              <w:rPr>
                <w:color w:val="000000"/>
                <w:sz w:val="18"/>
                <w:szCs w:val="18"/>
              </w:rPr>
            </w:pPr>
            <w:r w:rsidRPr="00B51776">
              <w:rPr>
                <w:color w:val="000000"/>
                <w:sz w:val="18"/>
                <w:szCs w:val="18"/>
              </w:rPr>
              <w:t>ČSÚ</w:t>
            </w:r>
          </w:p>
        </w:tc>
        <w:tc>
          <w:tcPr>
            <w:tcW w:w="1559" w:type="dxa"/>
            <w:shd w:val="clear" w:color="auto" w:fill="FFFFFF" w:themeFill="background1"/>
            <w:noWrap/>
            <w:vAlign w:val="center"/>
            <w:hideMark/>
          </w:tcPr>
          <w:p w:rsidR="00DE4E3B" w:rsidRPr="00DE4E3B" w:rsidRDefault="00DE4E3B" w:rsidP="00DE4E3B">
            <w:pPr>
              <w:rPr>
                <w:color w:val="000000"/>
                <w:sz w:val="16"/>
                <w:szCs w:val="16"/>
              </w:rPr>
            </w:pPr>
            <w:r w:rsidRPr="00DE4E3B">
              <w:rPr>
                <w:color w:val="000000"/>
                <w:sz w:val="16"/>
                <w:szCs w:val="16"/>
              </w:rPr>
              <w:t>Dosažená</w:t>
            </w:r>
          </w:p>
        </w:tc>
        <w:tc>
          <w:tcPr>
            <w:tcW w:w="851"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0"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992"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1"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0" w:type="dxa"/>
            <w:shd w:val="clear" w:color="auto" w:fill="FFFFFF" w:themeFill="background1"/>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auto" w:fill="FFFFFF" w:themeFill="background1"/>
            <w:noWrap/>
            <w:vAlign w:val="center"/>
            <w:hideMark/>
          </w:tcPr>
          <w:p w:rsidR="00DE4E3B" w:rsidRPr="00DE4E3B" w:rsidRDefault="00DE4E3B" w:rsidP="00DE4E3B">
            <w:pPr>
              <w:jc w:val="right"/>
              <w:rPr>
                <w:color w:val="000000"/>
                <w:sz w:val="16"/>
                <w:szCs w:val="16"/>
              </w:rPr>
            </w:pPr>
            <w:r w:rsidRPr="00DE4E3B">
              <w:rPr>
                <w:color w:val="000000"/>
                <w:sz w:val="16"/>
                <w:szCs w:val="16"/>
              </w:rPr>
              <w:t>N/A</w:t>
            </w:r>
          </w:p>
        </w:tc>
      </w:tr>
      <w:tr w:rsidR="008818D8" w:rsidRPr="00DE4E3B" w:rsidTr="008818D8">
        <w:trPr>
          <w:trHeight w:val="299"/>
        </w:trPr>
        <w:tc>
          <w:tcPr>
            <w:tcW w:w="995" w:type="dxa"/>
            <w:vMerge/>
            <w:vAlign w:val="center"/>
            <w:hideMark/>
          </w:tcPr>
          <w:p w:rsidR="00DE4E3B" w:rsidRPr="00DE4E3B" w:rsidRDefault="00DE4E3B" w:rsidP="00DE4E3B">
            <w:pPr>
              <w:rPr>
                <w:color w:val="000000"/>
                <w:sz w:val="16"/>
                <w:szCs w:val="16"/>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DE4E3B" w:rsidRDefault="00DE4E3B" w:rsidP="00DE4E3B">
            <w:pPr>
              <w:rPr>
                <w:color w:val="000000"/>
                <w:sz w:val="16"/>
                <w:szCs w:val="16"/>
              </w:rPr>
            </w:pPr>
          </w:p>
        </w:tc>
        <w:tc>
          <w:tcPr>
            <w:tcW w:w="992" w:type="dxa"/>
            <w:vMerge/>
            <w:vAlign w:val="center"/>
            <w:hideMark/>
          </w:tcPr>
          <w:p w:rsidR="00DE4E3B" w:rsidRPr="00DE4E3B" w:rsidRDefault="00DE4E3B" w:rsidP="00DE4E3B">
            <w:pPr>
              <w:rPr>
                <w:color w:val="000000"/>
                <w:sz w:val="16"/>
                <w:szCs w:val="16"/>
              </w:rPr>
            </w:pPr>
          </w:p>
        </w:tc>
        <w:tc>
          <w:tcPr>
            <w:tcW w:w="1559" w:type="dxa"/>
            <w:shd w:val="clear" w:color="000000" w:fill="D6E3BC"/>
            <w:noWrap/>
            <w:vAlign w:val="center"/>
            <w:hideMark/>
          </w:tcPr>
          <w:p w:rsidR="00DE4E3B" w:rsidRPr="00DE4E3B" w:rsidRDefault="00DE4E3B" w:rsidP="00DE4E3B">
            <w:pPr>
              <w:rPr>
                <w:color w:val="000000"/>
                <w:sz w:val="16"/>
                <w:szCs w:val="16"/>
              </w:rPr>
            </w:pPr>
            <w:r w:rsidRPr="00DE4E3B">
              <w:rPr>
                <w:color w:val="000000"/>
                <w:sz w:val="16"/>
                <w:szCs w:val="16"/>
              </w:rPr>
              <w:t>Výchozí</w:t>
            </w:r>
          </w:p>
        </w:tc>
        <w:tc>
          <w:tcPr>
            <w:tcW w:w="851"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78,2</w:t>
            </w:r>
          </w:p>
        </w:tc>
        <w:tc>
          <w:tcPr>
            <w:tcW w:w="850"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992"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1"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50" w:type="dxa"/>
            <w:shd w:val="clear" w:color="000000" w:fill="D6E3BC"/>
            <w:vAlign w:val="center"/>
            <w:hideMark/>
          </w:tcPr>
          <w:p w:rsidR="00DE4E3B" w:rsidRPr="00DE4E3B" w:rsidRDefault="00DE4E3B" w:rsidP="00DE4E3B">
            <w:pPr>
              <w:jc w:val="right"/>
              <w:rPr>
                <w:color w:val="000000"/>
                <w:sz w:val="16"/>
                <w:szCs w:val="16"/>
              </w:rPr>
            </w:pPr>
            <w:r w:rsidRPr="00DE4E3B">
              <w:rPr>
                <w:color w:val="000000"/>
                <w:sz w:val="16"/>
                <w:szCs w:val="16"/>
              </w:rPr>
              <w:t>N/A</w:t>
            </w:r>
          </w:p>
        </w:tc>
        <w:tc>
          <w:tcPr>
            <w:tcW w:w="867" w:type="dxa"/>
            <w:shd w:val="clear" w:color="000000" w:fill="D6E3BC"/>
            <w:noWrap/>
            <w:vAlign w:val="center"/>
            <w:hideMark/>
          </w:tcPr>
          <w:p w:rsidR="00DE4E3B" w:rsidRPr="00DE4E3B" w:rsidRDefault="00DE4E3B" w:rsidP="00DE4E3B">
            <w:pPr>
              <w:jc w:val="right"/>
              <w:rPr>
                <w:color w:val="000000"/>
                <w:sz w:val="16"/>
                <w:szCs w:val="16"/>
              </w:rPr>
            </w:pPr>
            <w:r w:rsidRPr="00DE4E3B">
              <w:rPr>
                <w:color w:val="000000"/>
                <w:sz w:val="16"/>
                <w:szCs w:val="16"/>
              </w:rPr>
              <w:t>78,2</w:t>
            </w:r>
          </w:p>
        </w:tc>
      </w:tr>
      <w:tr w:rsidR="00DE4E3B" w:rsidRPr="00DE4E3B" w:rsidTr="008818D8">
        <w:trPr>
          <w:trHeight w:val="312"/>
        </w:trPr>
        <w:tc>
          <w:tcPr>
            <w:tcW w:w="995" w:type="dxa"/>
            <w:vMerge/>
            <w:vAlign w:val="center"/>
            <w:hideMark/>
          </w:tcPr>
          <w:p w:rsidR="00DE4E3B" w:rsidRPr="00DE4E3B" w:rsidRDefault="00DE4E3B" w:rsidP="00DE4E3B">
            <w:pPr>
              <w:rPr>
                <w:color w:val="000000"/>
                <w:sz w:val="16"/>
                <w:szCs w:val="16"/>
              </w:rPr>
            </w:pPr>
          </w:p>
        </w:tc>
        <w:tc>
          <w:tcPr>
            <w:tcW w:w="1800" w:type="dxa"/>
            <w:vMerge/>
            <w:vAlign w:val="center"/>
            <w:hideMark/>
          </w:tcPr>
          <w:p w:rsidR="00DE4E3B" w:rsidRPr="00DE4E3B" w:rsidRDefault="00DE4E3B" w:rsidP="00DE4E3B">
            <w:pPr>
              <w:rPr>
                <w:color w:val="000000"/>
                <w:sz w:val="16"/>
                <w:szCs w:val="16"/>
              </w:rPr>
            </w:pPr>
          </w:p>
        </w:tc>
        <w:tc>
          <w:tcPr>
            <w:tcW w:w="896" w:type="dxa"/>
            <w:vMerge/>
            <w:vAlign w:val="center"/>
            <w:hideMark/>
          </w:tcPr>
          <w:p w:rsidR="00DE4E3B" w:rsidRPr="00DE4E3B" w:rsidRDefault="00DE4E3B" w:rsidP="00DE4E3B">
            <w:pPr>
              <w:rPr>
                <w:color w:val="000000"/>
                <w:sz w:val="16"/>
                <w:szCs w:val="16"/>
              </w:rPr>
            </w:pPr>
          </w:p>
        </w:tc>
        <w:tc>
          <w:tcPr>
            <w:tcW w:w="992" w:type="dxa"/>
            <w:vMerge/>
            <w:vAlign w:val="center"/>
            <w:hideMark/>
          </w:tcPr>
          <w:p w:rsidR="00DE4E3B" w:rsidRPr="00DE4E3B" w:rsidRDefault="00DE4E3B" w:rsidP="00DE4E3B">
            <w:pPr>
              <w:rPr>
                <w:color w:val="000000"/>
                <w:sz w:val="16"/>
                <w:szCs w:val="16"/>
              </w:rPr>
            </w:pPr>
          </w:p>
        </w:tc>
        <w:tc>
          <w:tcPr>
            <w:tcW w:w="1559" w:type="dxa"/>
            <w:shd w:val="clear" w:color="auto" w:fill="auto"/>
            <w:noWrap/>
            <w:vAlign w:val="center"/>
            <w:hideMark/>
          </w:tcPr>
          <w:p w:rsidR="00DE4E3B" w:rsidRPr="00DE4E3B" w:rsidRDefault="00DE4E3B" w:rsidP="00DE4E3B">
            <w:pPr>
              <w:rPr>
                <w:color w:val="000000"/>
                <w:sz w:val="16"/>
                <w:szCs w:val="16"/>
              </w:rPr>
            </w:pPr>
            <w:r w:rsidRPr="00DE4E3B">
              <w:rPr>
                <w:color w:val="000000"/>
                <w:sz w:val="16"/>
                <w:szCs w:val="16"/>
              </w:rPr>
              <w:t>Plánovaná</w:t>
            </w:r>
          </w:p>
        </w:tc>
        <w:tc>
          <w:tcPr>
            <w:tcW w:w="7813" w:type="dxa"/>
            <w:gridSpan w:val="9"/>
            <w:shd w:val="clear" w:color="auto" w:fill="auto"/>
            <w:vAlign w:val="center"/>
            <w:hideMark/>
          </w:tcPr>
          <w:p w:rsidR="00DE4E3B" w:rsidRPr="00DE4E3B" w:rsidRDefault="00DE4E3B" w:rsidP="00DE4E3B">
            <w:pPr>
              <w:jc w:val="center"/>
              <w:rPr>
                <w:color w:val="000000"/>
                <w:sz w:val="16"/>
                <w:szCs w:val="16"/>
              </w:rPr>
            </w:pPr>
            <w:r w:rsidRPr="00DE4E3B">
              <w:rPr>
                <w:color w:val="000000"/>
                <w:sz w:val="16"/>
                <w:szCs w:val="16"/>
              </w:rPr>
              <w:t>N/A</w:t>
            </w:r>
          </w:p>
        </w:tc>
      </w:tr>
    </w:tbl>
    <w:p w:rsidR="00F555E6" w:rsidRDefault="00F555E6" w:rsidP="00F555E6">
      <w:pPr>
        <w:spacing w:line="276" w:lineRule="auto"/>
        <w:jc w:val="both"/>
        <w:rPr>
          <w:i/>
          <w:sz w:val="18"/>
          <w:szCs w:val="18"/>
        </w:rPr>
      </w:pPr>
      <w:r w:rsidRPr="00A646BF">
        <w:rPr>
          <w:i/>
          <w:sz w:val="18"/>
          <w:szCs w:val="18"/>
        </w:rPr>
        <w:t xml:space="preserve">Zdroj: MSC 2007 ke dni </w:t>
      </w:r>
      <w:r w:rsidR="00DE4E3B">
        <w:rPr>
          <w:i/>
          <w:sz w:val="18"/>
          <w:szCs w:val="18"/>
        </w:rPr>
        <w:t>2. 3. 2015</w:t>
      </w:r>
    </w:p>
    <w:p w:rsidR="000C2A0F" w:rsidRDefault="000C2A0F" w:rsidP="00F555E6">
      <w:pPr>
        <w:spacing w:line="276" w:lineRule="auto"/>
        <w:jc w:val="both"/>
        <w:rPr>
          <w:b/>
          <w:i/>
          <w:color w:val="0070C0"/>
          <w:sz w:val="18"/>
          <w:szCs w:val="18"/>
        </w:rPr>
      </w:pPr>
    </w:p>
    <w:p w:rsidR="004A7772" w:rsidRPr="007D3C8F" w:rsidRDefault="004A7772" w:rsidP="00F061D9">
      <w:pPr>
        <w:pStyle w:val="Tabulkanzev"/>
      </w:pPr>
      <w:bookmarkStart w:id="21" w:name="_Toc416431797"/>
      <w:r w:rsidRPr="007D3C8F">
        <w:t>Indikátory dopadu k </w:t>
      </w:r>
      <w:bookmarkEnd w:id="21"/>
      <w:r w:rsidR="00F061D9" w:rsidRPr="007D3C8F">
        <w:t>31. 12. 2014</w:t>
      </w:r>
    </w:p>
    <w:tbl>
      <w:tblPr>
        <w:tblW w:w="5000" w:type="pct"/>
        <w:tblCellMar>
          <w:left w:w="70" w:type="dxa"/>
          <w:right w:w="70" w:type="dxa"/>
        </w:tblCellMar>
        <w:tblLook w:val="04A0" w:firstRow="1" w:lastRow="0" w:firstColumn="1" w:lastColumn="0" w:noHBand="0" w:noVBand="1"/>
      </w:tblPr>
      <w:tblGrid>
        <w:gridCol w:w="933"/>
        <w:gridCol w:w="1926"/>
        <w:gridCol w:w="897"/>
        <w:gridCol w:w="809"/>
        <w:gridCol w:w="891"/>
        <w:gridCol w:w="851"/>
        <w:gridCol w:w="851"/>
        <w:gridCol w:w="849"/>
        <w:gridCol w:w="993"/>
        <w:gridCol w:w="993"/>
        <w:gridCol w:w="851"/>
        <w:gridCol w:w="851"/>
        <w:gridCol w:w="634"/>
        <w:gridCol w:w="897"/>
        <w:gridCol w:w="916"/>
      </w:tblGrid>
      <w:tr w:rsidR="00382DD9" w:rsidRPr="009E6780" w:rsidTr="00382DD9">
        <w:trPr>
          <w:trHeight w:val="825"/>
        </w:trPr>
        <w:tc>
          <w:tcPr>
            <w:tcW w:w="330" w:type="pct"/>
            <w:tcBorders>
              <w:top w:val="double" w:sz="6" w:space="0" w:color="4F6228"/>
              <w:left w:val="double" w:sz="6" w:space="0" w:color="4F6228"/>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Kód NČI</w:t>
            </w:r>
          </w:p>
        </w:tc>
        <w:tc>
          <w:tcPr>
            <w:tcW w:w="681" w:type="pct"/>
            <w:tcBorders>
              <w:top w:val="double" w:sz="6" w:space="0" w:color="4F6228"/>
              <w:left w:val="nil"/>
              <w:bottom w:val="single" w:sz="4" w:space="0" w:color="4F6228"/>
              <w:right w:val="single" w:sz="4" w:space="0" w:color="4F6228"/>
            </w:tcBorders>
            <w:shd w:val="clear" w:color="000000" w:fill="C4D79B"/>
            <w:vAlign w:val="center"/>
            <w:hideMark/>
          </w:tcPr>
          <w:p w:rsidR="009E6780" w:rsidRPr="009E6780" w:rsidRDefault="009E6780" w:rsidP="009E6780">
            <w:pPr>
              <w:jc w:val="center"/>
              <w:rPr>
                <w:b/>
                <w:bCs/>
                <w:color w:val="000000"/>
              </w:rPr>
            </w:pPr>
            <w:r w:rsidRPr="009E6780">
              <w:rPr>
                <w:b/>
                <w:bCs/>
                <w:color w:val="000000"/>
              </w:rPr>
              <w:t>Název indikátoru</w:t>
            </w:r>
          </w:p>
        </w:tc>
        <w:tc>
          <w:tcPr>
            <w:tcW w:w="317" w:type="pct"/>
            <w:tcBorders>
              <w:top w:val="double" w:sz="6" w:space="0" w:color="4F6228"/>
              <w:left w:val="nil"/>
              <w:bottom w:val="single" w:sz="4" w:space="0" w:color="4F6228"/>
              <w:right w:val="single" w:sz="4" w:space="0" w:color="4F6228"/>
            </w:tcBorders>
            <w:shd w:val="clear" w:color="000000" w:fill="C4D79B"/>
            <w:vAlign w:val="center"/>
            <w:hideMark/>
          </w:tcPr>
          <w:p w:rsidR="009E6780" w:rsidRPr="009E6780" w:rsidRDefault="009E6780" w:rsidP="009E6780">
            <w:pPr>
              <w:jc w:val="center"/>
              <w:rPr>
                <w:b/>
                <w:bCs/>
                <w:color w:val="000000"/>
              </w:rPr>
            </w:pPr>
            <w:r w:rsidRPr="009E6780">
              <w:rPr>
                <w:b/>
                <w:bCs/>
                <w:color w:val="000000"/>
              </w:rPr>
              <w:t>Měrná jednotka</w:t>
            </w:r>
          </w:p>
        </w:tc>
        <w:tc>
          <w:tcPr>
            <w:tcW w:w="286"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 xml:space="preserve">Zdroj </w:t>
            </w:r>
          </w:p>
        </w:tc>
        <w:tc>
          <w:tcPr>
            <w:tcW w:w="315"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 xml:space="preserve">Hodnota </w:t>
            </w:r>
          </w:p>
        </w:tc>
        <w:tc>
          <w:tcPr>
            <w:tcW w:w="30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2007</w:t>
            </w:r>
          </w:p>
        </w:tc>
        <w:tc>
          <w:tcPr>
            <w:tcW w:w="30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2008</w:t>
            </w:r>
          </w:p>
        </w:tc>
        <w:tc>
          <w:tcPr>
            <w:tcW w:w="300"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2009</w:t>
            </w:r>
          </w:p>
        </w:tc>
        <w:tc>
          <w:tcPr>
            <w:tcW w:w="35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2010</w:t>
            </w:r>
          </w:p>
        </w:tc>
        <w:tc>
          <w:tcPr>
            <w:tcW w:w="35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2011</w:t>
            </w:r>
          </w:p>
        </w:tc>
        <w:tc>
          <w:tcPr>
            <w:tcW w:w="30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2012</w:t>
            </w:r>
          </w:p>
        </w:tc>
        <w:tc>
          <w:tcPr>
            <w:tcW w:w="30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2013</w:t>
            </w:r>
          </w:p>
        </w:tc>
        <w:tc>
          <w:tcPr>
            <w:tcW w:w="224"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2014</w:t>
            </w:r>
          </w:p>
        </w:tc>
        <w:tc>
          <w:tcPr>
            <w:tcW w:w="317" w:type="pct"/>
            <w:tcBorders>
              <w:top w:val="double" w:sz="6" w:space="0" w:color="4F6228"/>
              <w:left w:val="nil"/>
              <w:bottom w:val="single" w:sz="4" w:space="0" w:color="4F6228"/>
              <w:right w:val="single" w:sz="4" w:space="0" w:color="4F6228"/>
            </w:tcBorders>
            <w:shd w:val="clear" w:color="000000" w:fill="C4D79B"/>
            <w:vAlign w:val="center"/>
            <w:hideMark/>
          </w:tcPr>
          <w:p w:rsidR="009E6780" w:rsidRPr="009E6780" w:rsidRDefault="009E6780" w:rsidP="009E6780">
            <w:pPr>
              <w:jc w:val="center"/>
              <w:rPr>
                <w:b/>
                <w:bCs/>
                <w:color w:val="000000"/>
              </w:rPr>
            </w:pPr>
            <w:r w:rsidRPr="009E6780">
              <w:rPr>
                <w:b/>
                <w:bCs/>
                <w:color w:val="000000"/>
              </w:rPr>
              <w:t>Cílová hodnota 2015</w:t>
            </w:r>
          </w:p>
        </w:tc>
        <w:tc>
          <w:tcPr>
            <w:tcW w:w="324" w:type="pct"/>
            <w:tcBorders>
              <w:top w:val="double" w:sz="6" w:space="0" w:color="4F6228"/>
              <w:left w:val="nil"/>
              <w:bottom w:val="single" w:sz="4" w:space="0" w:color="4F6228"/>
              <w:right w:val="double" w:sz="6" w:space="0" w:color="4F6228"/>
            </w:tcBorders>
            <w:shd w:val="clear" w:color="000000" w:fill="C4D79B"/>
            <w:noWrap/>
            <w:vAlign w:val="center"/>
            <w:hideMark/>
          </w:tcPr>
          <w:p w:rsidR="009E6780" w:rsidRPr="009E6780" w:rsidRDefault="009E6780" w:rsidP="009E6780">
            <w:pPr>
              <w:jc w:val="center"/>
              <w:rPr>
                <w:b/>
                <w:bCs/>
                <w:color w:val="000000"/>
              </w:rPr>
            </w:pPr>
            <w:r w:rsidRPr="009E6780">
              <w:rPr>
                <w:b/>
                <w:bCs/>
                <w:color w:val="000000"/>
              </w:rPr>
              <w:t xml:space="preserve">Celkem </w:t>
            </w:r>
          </w:p>
        </w:tc>
      </w:tr>
      <w:tr w:rsidR="00382DD9" w:rsidRPr="009E6780" w:rsidTr="00382DD9">
        <w:trPr>
          <w:trHeight w:val="315"/>
        </w:trPr>
        <w:tc>
          <w:tcPr>
            <w:tcW w:w="330" w:type="pct"/>
            <w:vMerge w:val="restart"/>
            <w:tcBorders>
              <w:top w:val="nil"/>
              <w:left w:val="double" w:sz="6" w:space="0" w:color="4F6228"/>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153501</w:t>
            </w:r>
          </w:p>
        </w:tc>
        <w:tc>
          <w:tcPr>
            <w:tcW w:w="681" w:type="pct"/>
            <w:vMerge w:val="restart"/>
            <w:tcBorders>
              <w:top w:val="nil"/>
              <w:left w:val="single" w:sz="4" w:space="0" w:color="4F6228"/>
              <w:bottom w:val="single" w:sz="4" w:space="0" w:color="4F6228"/>
              <w:right w:val="single" w:sz="4" w:space="0" w:color="4F6228"/>
            </w:tcBorders>
            <w:shd w:val="clear" w:color="auto" w:fill="auto"/>
            <w:vAlign w:val="center"/>
            <w:hideMark/>
          </w:tcPr>
          <w:p w:rsidR="009E6780" w:rsidRPr="009E6780" w:rsidRDefault="009E6780" w:rsidP="009E6780">
            <w:pPr>
              <w:rPr>
                <w:color w:val="000000"/>
                <w:sz w:val="18"/>
                <w:szCs w:val="18"/>
              </w:rPr>
            </w:pPr>
            <w:r w:rsidRPr="009E6780">
              <w:rPr>
                <w:color w:val="000000"/>
                <w:sz w:val="18"/>
                <w:szCs w:val="18"/>
              </w:rPr>
              <w:t>Indikátor vládní efektivity</w:t>
            </w:r>
          </w:p>
        </w:tc>
        <w:tc>
          <w:tcPr>
            <w:tcW w:w="317"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Index</w:t>
            </w:r>
          </w:p>
        </w:tc>
        <w:tc>
          <w:tcPr>
            <w:tcW w:w="286" w:type="pct"/>
            <w:vMerge w:val="restart"/>
            <w:tcBorders>
              <w:top w:val="nil"/>
              <w:left w:val="single" w:sz="4" w:space="0" w:color="4F6228"/>
              <w:bottom w:val="single" w:sz="4"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Světová banka</w:t>
            </w:r>
          </w:p>
        </w:tc>
        <w:tc>
          <w:tcPr>
            <w:tcW w:w="315"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rPr>
                <w:color w:val="000000"/>
                <w:sz w:val="18"/>
                <w:szCs w:val="18"/>
              </w:rPr>
            </w:pPr>
            <w:r w:rsidRPr="009E6780">
              <w:rPr>
                <w:color w:val="000000"/>
                <w:sz w:val="18"/>
                <w:szCs w:val="18"/>
              </w:rPr>
              <w:t>Dosažená</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78,64</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81,1</w:t>
            </w:r>
          </w:p>
        </w:tc>
        <w:tc>
          <w:tcPr>
            <w:tcW w:w="300"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77,0</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78,5</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77,7</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76,6</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75,1</w:t>
            </w:r>
          </w:p>
        </w:tc>
        <w:tc>
          <w:tcPr>
            <w:tcW w:w="224"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17"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24" w:type="pct"/>
            <w:tcBorders>
              <w:top w:val="nil"/>
              <w:left w:val="nil"/>
              <w:bottom w:val="single" w:sz="4" w:space="0" w:color="4F6228"/>
              <w:right w:val="double" w:sz="6"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75,1</w:t>
            </w:r>
          </w:p>
        </w:tc>
      </w:tr>
      <w:tr w:rsidR="00382DD9" w:rsidRPr="009E6780"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5"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rPr>
                <w:color w:val="000000"/>
                <w:sz w:val="18"/>
                <w:szCs w:val="18"/>
              </w:rPr>
            </w:pPr>
            <w:r w:rsidRPr="009E6780">
              <w:rPr>
                <w:color w:val="000000"/>
                <w:sz w:val="18"/>
                <w:szCs w:val="18"/>
              </w:rPr>
              <w:t>Výchozí</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76,6</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78,64</w:t>
            </w:r>
          </w:p>
        </w:tc>
        <w:tc>
          <w:tcPr>
            <w:tcW w:w="300"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81,1</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77,0</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78,5</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77,7</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76,6</w:t>
            </w:r>
          </w:p>
        </w:tc>
        <w:tc>
          <w:tcPr>
            <w:tcW w:w="224"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75,1</w:t>
            </w:r>
          </w:p>
        </w:tc>
        <w:tc>
          <w:tcPr>
            <w:tcW w:w="317"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24" w:type="pct"/>
            <w:tcBorders>
              <w:top w:val="nil"/>
              <w:left w:val="nil"/>
              <w:bottom w:val="single" w:sz="4" w:space="0" w:color="4F6228"/>
              <w:right w:val="double" w:sz="6"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76,6</w:t>
            </w:r>
          </w:p>
        </w:tc>
      </w:tr>
      <w:tr w:rsidR="009E6780" w:rsidRPr="009E6780"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5" w:type="pct"/>
            <w:tcBorders>
              <w:top w:val="nil"/>
              <w:left w:val="nil"/>
              <w:bottom w:val="single" w:sz="4" w:space="0" w:color="4F6228"/>
              <w:right w:val="single" w:sz="4" w:space="0" w:color="4F6228"/>
            </w:tcBorders>
            <w:shd w:val="clear" w:color="auto" w:fill="auto"/>
            <w:noWrap/>
            <w:vAlign w:val="center"/>
            <w:hideMark/>
          </w:tcPr>
          <w:p w:rsidR="009E6780" w:rsidRPr="009E6780" w:rsidRDefault="009E6780" w:rsidP="009E6780">
            <w:pPr>
              <w:rPr>
                <w:color w:val="000000"/>
                <w:sz w:val="18"/>
                <w:szCs w:val="18"/>
              </w:rPr>
            </w:pPr>
            <w:r w:rsidRPr="009E6780">
              <w:rPr>
                <w:color w:val="000000"/>
                <w:sz w:val="18"/>
                <w:szCs w:val="18"/>
              </w:rPr>
              <w:t>Plánovaná</w:t>
            </w:r>
          </w:p>
        </w:tc>
        <w:tc>
          <w:tcPr>
            <w:tcW w:w="1604" w:type="pct"/>
            <w:gridSpan w:val="5"/>
            <w:tcBorders>
              <w:top w:val="single" w:sz="4" w:space="0" w:color="4F6228"/>
              <w:left w:val="nil"/>
              <w:bottom w:val="single" w:sz="4" w:space="0" w:color="4F6228"/>
              <w:right w:val="single" w:sz="4" w:space="0" w:color="4F6228"/>
            </w:tcBorders>
            <w:shd w:val="clear" w:color="auto" w:fill="auto"/>
            <w:noWrap/>
            <w:vAlign w:val="center"/>
            <w:hideMark/>
          </w:tcPr>
          <w:p w:rsidR="009E6780" w:rsidRPr="009E6780" w:rsidRDefault="009E6780" w:rsidP="009E6780">
            <w:pPr>
              <w:jc w:val="right"/>
              <w:rPr>
                <w:color w:val="000000"/>
                <w:sz w:val="18"/>
                <w:szCs w:val="18"/>
              </w:rPr>
            </w:pPr>
            <w:r w:rsidRPr="009E6780">
              <w:rPr>
                <w:color w:val="000000"/>
                <w:sz w:val="18"/>
                <w:szCs w:val="18"/>
              </w:rPr>
              <w:t>N/A</w:t>
            </w:r>
          </w:p>
        </w:tc>
        <w:tc>
          <w:tcPr>
            <w:tcW w:w="301" w:type="pct"/>
            <w:tcBorders>
              <w:top w:val="nil"/>
              <w:left w:val="nil"/>
              <w:bottom w:val="single" w:sz="4"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301" w:type="pct"/>
            <w:tcBorders>
              <w:top w:val="nil"/>
              <w:left w:val="nil"/>
              <w:bottom w:val="single" w:sz="4"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224" w:type="pct"/>
            <w:tcBorders>
              <w:top w:val="nil"/>
              <w:left w:val="nil"/>
              <w:bottom w:val="single" w:sz="4"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317" w:type="pct"/>
            <w:tcBorders>
              <w:top w:val="nil"/>
              <w:left w:val="nil"/>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88</w:t>
            </w:r>
          </w:p>
        </w:tc>
        <w:tc>
          <w:tcPr>
            <w:tcW w:w="324" w:type="pct"/>
            <w:tcBorders>
              <w:top w:val="nil"/>
              <w:left w:val="nil"/>
              <w:bottom w:val="single" w:sz="4" w:space="0" w:color="4F6228"/>
              <w:right w:val="double" w:sz="6"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88</w:t>
            </w:r>
          </w:p>
        </w:tc>
      </w:tr>
      <w:tr w:rsidR="00382DD9" w:rsidRPr="009E6780" w:rsidTr="00382DD9">
        <w:trPr>
          <w:trHeight w:val="300"/>
        </w:trPr>
        <w:tc>
          <w:tcPr>
            <w:tcW w:w="330" w:type="pct"/>
            <w:vMerge w:val="restart"/>
            <w:tcBorders>
              <w:top w:val="nil"/>
              <w:left w:val="double" w:sz="6" w:space="0" w:color="4F6228"/>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412700</w:t>
            </w:r>
          </w:p>
        </w:tc>
        <w:tc>
          <w:tcPr>
            <w:tcW w:w="681" w:type="pct"/>
            <w:vMerge w:val="restart"/>
            <w:tcBorders>
              <w:top w:val="nil"/>
              <w:left w:val="single" w:sz="4" w:space="0" w:color="4F6228"/>
              <w:bottom w:val="single" w:sz="4" w:space="0" w:color="4F6228"/>
              <w:right w:val="single" w:sz="4" w:space="0" w:color="4F6228"/>
            </w:tcBorders>
            <w:shd w:val="clear" w:color="auto" w:fill="auto"/>
            <w:vAlign w:val="center"/>
            <w:hideMark/>
          </w:tcPr>
          <w:p w:rsidR="009E6780" w:rsidRPr="009E6780" w:rsidRDefault="009E6780" w:rsidP="009E6780">
            <w:pPr>
              <w:rPr>
                <w:color w:val="000000"/>
                <w:sz w:val="18"/>
                <w:szCs w:val="18"/>
              </w:rPr>
            </w:pPr>
            <w:r w:rsidRPr="009E6780">
              <w:rPr>
                <w:color w:val="000000"/>
                <w:sz w:val="18"/>
                <w:szCs w:val="18"/>
              </w:rPr>
              <w:t>Zvýšení podílu počtu turistů na počtu návštěvníků ČR</w:t>
            </w:r>
          </w:p>
        </w:tc>
        <w:tc>
          <w:tcPr>
            <w:tcW w:w="317"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w:t>
            </w:r>
          </w:p>
        </w:tc>
        <w:tc>
          <w:tcPr>
            <w:tcW w:w="286"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9E6780" w:rsidRDefault="007C2FB7" w:rsidP="009E6780">
            <w:pPr>
              <w:jc w:val="center"/>
              <w:rPr>
                <w:color w:val="000000"/>
                <w:sz w:val="18"/>
                <w:szCs w:val="18"/>
              </w:rPr>
            </w:pPr>
            <w:r>
              <w:rPr>
                <w:color w:val="000000"/>
                <w:sz w:val="18"/>
                <w:szCs w:val="18"/>
              </w:rPr>
              <w:t>ČSÚ</w:t>
            </w:r>
          </w:p>
        </w:tc>
        <w:tc>
          <w:tcPr>
            <w:tcW w:w="315"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rPr>
                <w:color w:val="000000"/>
                <w:sz w:val="18"/>
                <w:szCs w:val="18"/>
              </w:rPr>
            </w:pPr>
            <w:r w:rsidRPr="009E6780">
              <w:rPr>
                <w:color w:val="000000"/>
                <w:sz w:val="18"/>
                <w:szCs w:val="18"/>
              </w:rPr>
              <w:t>Dosažená</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41,4</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42,9</w:t>
            </w:r>
          </w:p>
        </w:tc>
        <w:tc>
          <w:tcPr>
            <w:tcW w:w="300"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42,8</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39,3</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39,5</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39,3</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39,1</w:t>
            </w:r>
          </w:p>
        </w:tc>
        <w:tc>
          <w:tcPr>
            <w:tcW w:w="224"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17"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24" w:type="pct"/>
            <w:tcBorders>
              <w:top w:val="nil"/>
              <w:left w:val="nil"/>
              <w:bottom w:val="single" w:sz="4" w:space="0" w:color="4F6228"/>
              <w:right w:val="double" w:sz="6"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39,1</w:t>
            </w:r>
          </w:p>
        </w:tc>
      </w:tr>
      <w:tr w:rsidR="00382DD9" w:rsidRPr="009E6780"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5"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rPr>
                <w:color w:val="000000"/>
                <w:sz w:val="18"/>
                <w:szCs w:val="18"/>
              </w:rPr>
            </w:pPr>
            <w:r w:rsidRPr="009E6780">
              <w:rPr>
                <w:color w:val="000000"/>
                <w:sz w:val="18"/>
                <w:szCs w:val="18"/>
              </w:rPr>
              <w:t>Výchozí</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31</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41,4</w:t>
            </w:r>
          </w:p>
        </w:tc>
        <w:tc>
          <w:tcPr>
            <w:tcW w:w="300"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42,9</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42,8</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39,3</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39,5</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39,3</w:t>
            </w:r>
          </w:p>
        </w:tc>
        <w:tc>
          <w:tcPr>
            <w:tcW w:w="224"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39,1</w:t>
            </w:r>
          </w:p>
        </w:tc>
        <w:tc>
          <w:tcPr>
            <w:tcW w:w="317"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24" w:type="pct"/>
            <w:tcBorders>
              <w:top w:val="nil"/>
              <w:left w:val="nil"/>
              <w:bottom w:val="single" w:sz="4" w:space="0" w:color="4F6228"/>
              <w:right w:val="double" w:sz="6"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31</w:t>
            </w:r>
          </w:p>
        </w:tc>
      </w:tr>
      <w:tr w:rsidR="009E6780" w:rsidRPr="009E6780"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5" w:type="pct"/>
            <w:tcBorders>
              <w:top w:val="nil"/>
              <w:left w:val="nil"/>
              <w:bottom w:val="single" w:sz="4" w:space="0" w:color="4F6228"/>
              <w:right w:val="single" w:sz="4" w:space="0" w:color="4F6228"/>
            </w:tcBorders>
            <w:shd w:val="clear" w:color="auto" w:fill="auto"/>
            <w:noWrap/>
            <w:vAlign w:val="center"/>
            <w:hideMark/>
          </w:tcPr>
          <w:p w:rsidR="009E6780" w:rsidRPr="009E6780" w:rsidRDefault="009E6780" w:rsidP="009E6780">
            <w:pPr>
              <w:rPr>
                <w:color w:val="000000"/>
                <w:sz w:val="18"/>
                <w:szCs w:val="18"/>
              </w:rPr>
            </w:pPr>
            <w:r w:rsidRPr="009E6780">
              <w:rPr>
                <w:color w:val="000000"/>
                <w:sz w:val="18"/>
                <w:szCs w:val="18"/>
              </w:rPr>
              <w:t>Plánovaná</w:t>
            </w:r>
          </w:p>
        </w:tc>
        <w:tc>
          <w:tcPr>
            <w:tcW w:w="1604" w:type="pct"/>
            <w:gridSpan w:val="5"/>
            <w:tcBorders>
              <w:top w:val="single" w:sz="4" w:space="0" w:color="4F6228"/>
              <w:left w:val="nil"/>
              <w:bottom w:val="single" w:sz="4" w:space="0" w:color="4F6228"/>
              <w:right w:val="single" w:sz="4" w:space="0" w:color="4F6228"/>
            </w:tcBorders>
            <w:shd w:val="clear" w:color="auto" w:fill="auto"/>
            <w:noWrap/>
            <w:vAlign w:val="center"/>
            <w:hideMark/>
          </w:tcPr>
          <w:p w:rsidR="009E6780" w:rsidRPr="009E6780" w:rsidRDefault="009E6780" w:rsidP="009E6780">
            <w:pPr>
              <w:jc w:val="right"/>
              <w:rPr>
                <w:color w:val="000000"/>
                <w:sz w:val="18"/>
                <w:szCs w:val="18"/>
              </w:rPr>
            </w:pPr>
            <w:r w:rsidRPr="009E6780">
              <w:rPr>
                <w:color w:val="000000"/>
                <w:sz w:val="18"/>
                <w:szCs w:val="18"/>
              </w:rPr>
              <w:t>N/A</w:t>
            </w:r>
          </w:p>
        </w:tc>
        <w:tc>
          <w:tcPr>
            <w:tcW w:w="301" w:type="pct"/>
            <w:tcBorders>
              <w:top w:val="nil"/>
              <w:left w:val="nil"/>
              <w:bottom w:val="single" w:sz="4"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301" w:type="pct"/>
            <w:tcBorders>
              <w:top w:val="nil"/>
              <w:left w:val="nil"/>
              <w:bottom w:val="single" w:sz="4"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224" w:type="pct"/>
            <w:tcBorders>
              <w:top w:val="nil"/>
              <w:left w:val="nil"/>
              <w:bottom w:val="single" w:sz="4"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317" w:type="pct"/>
            <w:tcBorders>
              <w:top w:val="nil"/>
              <w:left w:val="nil"/>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41</w:t>
            </w:r>
          </w:p>
        </w:tc>
        <w:tc>
          <w:tcPr>
            <w:tcW w:w="324" w:type="pct"/>
            <w:tcBorders>
              <w:top w:val="nil"/>
              <w:left w:val="nil"/>
              <w:bottom w:val="single" w:sz="4" w:space="0" w:color="4F6228"/>
              <w:right w:val="double" w:sz="6"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41</w:t>
            </w:r>
          </w:p>
        </w:tc>
      </w:tr>
      <w:tr w:rsidR="00382DD9" w:rsidRPr="009E6780" w:rsidTr="00382DD9">
        <w:trPr>
          <w:trHeight w:val="300"/>
        </w:trPr>
        <w:tc>
          <w:tcPr>
            <w:tcW w:w="330" w:type="pct"/>
            <w:vMerge w:val="restart"/>
            <w:tcBorders>
              <w:top w:val="nil"/>
              <w:left w:val="double" w:sz="6" w:space="0" w:color="4F6228"/>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520513</w:t>
            </w:r>
          </w:p>
        </w:tc>
        <w:tc>
          <w:tcPr>
            <w:tcW w:w="681" w:type="pct"/>
            <w:vMerge w:val="restart"/>
            <w:tcBorders>
              <w:top w:val="nil"/>
              <w:left w:val="single" w:sz="4" w:space="0" w:color="4F6228"/>
              <w:bottom w:val="single" w:sz="4" w:space="0" w:color="4F6228"/>
              <w:right w:val="single" w:sz="4" w:space="0" w:color="4F6228"/>
            </w:tcBorders>
            <w:shd w:val="clear" w:color="auto" w:fill="auto"/>
            <w:vAlign w:val="center"/>
            <w:hideMark/>
          </w:tcPr>
          <w:p w:rsidR="009E6780" w:rsidRPr="009E6780" w:rsidRDefault="009E6780" w:rsidP="009E6780">
            <w:pPr>
              <w:rPr>
                <w:color w:val="000000"/>
                <w:sz w:val="18"/>
                <w:szCs w:val="18"/>
              </w:rPr>
            </w:pPr>
            <w:r w:rsidRPr="009E6780">
              <w:rPr>
                <w:color w:val="000000"/>
                <w:sz w:val="18"/>
                <w:szCs w:val="18"/>
              </w:rPr>
              <w:t>Míra zaměstnanosti v terciárním sektoru</w:t>
            </w:r>
          </w:p>
        </w:tc>
        <w:tc>
          <w:tcPr>
            <w:tcW w:w="317"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w:t>
            </w:r>
          </w:p>
        </w:tc>
        <w:tc>
          <w:tcPr>
            <w:tcW w:w="286"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ČSÚ</w:t>
            </w:r>
          </w:p>
        </w:tc>
        <w:tc>
          <w:tcPr>
            <w:tcW w:w="315"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rPr>
                <w:color w:val="000000"/>
                <w:sz w:val="18"/>
                <w:szCs w:val="18"/>
              </w:rPr>
            </w:pPr>
            <w:r w:rsidRPr="009E6780">
              <w:rPr>
                <w:color w:val="000000"/>
                <w:sz w:val="18"/>
                <w:szCs w:val="18"/>
              </w:rPr>
              <w:t>Dosažená</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56,19</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56,13</w:t>
            </w:r>
          </w:p>
        </w:tc>
        <w:tc>
          <w:tcPr>
            <w:tcW w:w="300"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58,08</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58,56</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58,2</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58,8</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59,46</w:t>
            </w:r>
          </w:p>
        </w:tc>
        <w:tc>
          <w:tcPr>
            <w:tcW w:w="224" w:type="pct"/>
            <w:tcBorders>
              <w:top w:val="nil"/>
              <w:left w:val="nil"/>
              <w:bottom w:val="single" w:sz="4" w:space="0" w:color="4F6228"/>
              <w:right w:val="single" w:sz="4" w:space="0" w:color="4F6228"/>
            </w:tcBorders>
            <w:shd w:val="clear" w:color="000000" w:fill="FFFFFF"/>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17" w:type="pct"/>
            <w:tcBorders>
              <w:top w:val="nil"/>
              <w:left w:val="nil"/>
              <w:bottom w:val="single" w:sz="4" w:space="0" w:color="4F6228"/>
              <w:right w:val="single" w:sz="4"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24" w:type="pct"/>
            <w:tcBorders>
              <w:top w:val="nil"/>
              <w:left w:val="nil"/>
              <w:bottom w:val="single" w:sz="4" w:space="0" w:color="4F6228"/>
              <w:right w:val="double" w:sz="6" w:space="0" w:color="4F6228"/>
            </w:tcBorders>
            <w:shd w:val="clear" w:color="000000" w:fill="FFFFFF"/>
            <w:noWrap/>
            <w:vAlign w:val="center"/>
            <w:hideMark/>
          </w:tcPr>
          <w:p w:rsidR="009E6780" w:rsidRPr="009E6780" w:rsidRDefault="009E6780" w:rsidP="009E6780">
            <w:pPr>
              <w:jc w:val="center"/>
              <w:rPr>
                <w:color w:val="000000"/>
                <w:sz w:val="18"/>
                <w:szCs w:val="18"/>
              </w:rPr>
            </w:pPr>
            <w:r w:rsidRPr="009E6780">
              <w:rPr>
                <w:color w:val="000000"/>
                <w:sz w:val="18"/>
                <w:szCs w:val="18"/>
              </w:rPr>
              <w:t>59,46</w:t>
            </w:r>
          </w:p>
        </w:tc>
      </w:tr>
      <w:tr w:rsidR="00382DD9" w:rsidRPr="009E6780"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9E6780" w:rsidRDefault="009E6780" w:rsidP="009E6780">
            <w:pPr>
              <w:rPr>
                <w:color w:val="000000"/>
                <w:sz w:val="18"/>
                <w:szCs w:val="18"/>
              </w:rPr>
            </w:pPr>
          </w:p>
        </w:tc>
        <w:tc>
          <w:tcPr>
            <w:tcW w:w="315"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rPr>
                <w:color w:val="000000"/>
                <w:sz w:val="18"/>
                <w:szCs w:val="18"/>
              </w:rPr>
            </w:pPr>
            <w:r w:rsidRPr="009E6780">
              <w:rPr>
                <w:color w:val="000000"/>
                <w:sz w:val="18"/>
                <w:szCs w:val="18"/>
              </w:rPr>
              <w:t>Výchozí</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56</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56,19</w:t>
            </w:r>
          </w:p>
        </w:tc>
        <w:tc>
          <w:tcPr>
            <w:tcW w:w="300"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56,13</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58,08</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58,56</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58,2</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58,8</w:t>
            </w:r>
          </w:p>
        </w:tc>
        <w:tc>
          <w:tcPr>
            <w:tcW w:w="224" w:type="pct"/>
            <w:tcBorders>
              <w:top w:val="nil"/>
              <w:left w:val="nil"/>
              <w:bottom w:val="single" w:sz="4" w:space="0" w:color="4F6228"/>
              <w:right w:val="single" w:sz="4" w:space="0" w:color="4F6228"/>
            </w:tcBorders>
            <w:shd w:val="clear" w:color="000000" w:fill="D6E3BC"/>
            <w:vAlign w:val="center"/>
            <w:hideMark/>
          </w:tcPr>
          <w:p w:rsidR="009E6780" w:rsidRPr="009E6780" w:rsidRDefault="009E6780" w:rsidP="009E6780">
            <w:pPr>
              <w:jc w:val="center"/>
              <w:rPr>
                <w:color w:val="000000"/>
                <w:sz w:val="18"/>
                <w:szCs w:val="18"/>
              </w:rPr>
            </w:pPr>
            <w:r w:rsidRPr="009E6780">
              <w:rPr>
                <w:color w:val="000000"/>
                <w:sz w:val="18"/>
                <w:szCs w:val="18"/>
              </w:rPr>
              <w:t>59,46</w:t>
            </w:r>
          </w:p>
        </w:tc>
        <w:tc>
          <w:tcPr>
            <w:tcW w:w="317" w:type="pct"/>
            <w:tcBorders>
              <w:top w:val="nil"/>
              <w:left w:val="nil"/>
              <w:bottom w:val="single" w:sz="4" w:space="0" w:color="4F6228"/>
              <w:right w:val="single" w:sz="4"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N/A</w:t>
            </w:r>
          </w:p>
        </w:tc>
        <w:tc>
          <w:tcPr>
            <w:tcW w:w="324" w:type="pct"/>
            <w:tcBorders>
              <w:top w:val="nil"/>
              <w:left w:val="nil"/>
              <w:bottom w:val="single" w:sz="4" w:space="0" w:color="4F6228"/>
              <w:right w:val="double" w:sz="6" w:space="0" w:color="4F6228"/>
            </w:tcBorders>
            <w:shd w:val="clear" w:color="000000" w:fill="D6E3BC"/>
            <w:noWrap/>
            <w:vAlign w:val="center"/>
            <w:hideMark/>
          </w:tcPr>
          <w:p w:rsidR="009E6780" w:rsidRPr="009E6780" w:rsidRDefault="009E6780" w:rsidP="009E6780">
            <w:pPr>
              <w:jc w:val="center"/>
              <w:rPr>
                <w:color w:val="000000"/>
                <w:sz w:val="18"/>
                <w:szCs w:val="18"/>
              </w:rPr>
            </w:pPr>
            <w:r w:rsidRPr="009E6780">
              <w:rPr>
                <w:color w:val="000000"/>
                <w:sz w:val="18"/>
                <w:szCs w:val="18"/>
              </w:rPr>
              <w:t>56</w:t>
            </w:r>
          </w:p>
        </w:tc>
      </w:tr>
      <w:tr w:rsidR="009E6780" w:rsidRPr="009E6780" w:rsidTr="00382DD9">
        <w:trPr>
          <w:trHeight w:val="300"/>
        </w:trPr>
        <w:tc>
          <w:tcPr>
            <w:tcW w:w="330" w:type="pct"/>
            <w:vMerge/>
            <w:tcBorders>
              <w:top w:val="nil"/>
              <w:left w:val="double" w:sz="6" w:space="0" w:color="4F6228"/>
              <w:bottom w:val="double" w:sz="6" w:space="0" w:color="4F6228"/>
              <w:right w:val="single" w:sz="4" w:space="0" w:color="4F6228"/>
            </w:tcBorders>
            <w:vAlign w:val="center"/>
            <w:hideMark/>
          </w:tcPr>
          <w:p w:rsidR="009E6780" w:rsidRPr="009E6780" w:rsidRDefault="009E6780" w:rsidP="009E6780">
            <w:pPr>
              <w:rPr>
                <w:color w:val="000000"/>
                <w:sz w:val="18"/>
                <w:szCs w:val="18"/>
              </w:rPr>
            </w:pPr>
          </w:p>
        </w:tc>
        <w:tc>
          <w:tcPr>
            <w:tcW w:w="681" w:type="pct"/>
            <w:vMerge/>
            <w:tcBorders>
              <w:top w:val="nil"/>
              <w:left w:val="single" w:sz="4" w:space="0" w:color="4F6228"/>
              <w:bottom w:val="double" w:sz="6" w:space="0" w:color="4F6228"/>
              <w:right w:val="single" w:sz="4" w:space="0" w:color="4F6228"/>
            </w:tcBorders>
            <w:vAlign w:val="center"/>
            <w:hideMark/>
          </w:tcPr>
          <w:p w:rsidR="009E6780" w:rsidRPr="009E6780" w:rsidRDefault="009E6780" w:rsidP="009E6780">
            <w:pPr>
              <w:rPr>
                <w:color w:val="000000"/>
                <w:sz w:val="18"/>
                <w:szCs w:val="18"/>
              </w:rPr>
            </w:pPr>
          </w:p>
        </w:tc>
        <w:tc>
          <w:tcPr>
            <w:tcW w:w="317" w:type="pct"/>
            <w:vMerge/>
            <w:tcBorders>
              <w:top w:val="nil"/>
              <w:left w:val="single" w:sz="4" w:space="0" w:color="4F6228"/>
              <w:bottom w:val="double" w:sz="6" w:space="0" w:color="4F6228"/>
              <w:right w:val="single" w:sz="4" w:space="0" w:color="4F6228"/>
            </w:tcBorders>
            <w:vAlign w:val="center"/>
            <w:hideMark/>
          </w:tcPr>
          <w:p w:rsidR="009E6780" w:rsidRPr="009E6780" w:rsidRDefault="009E6780" w:rsidP="009E6780">
            <w:pPr>
              <w:rPr>
                <w:color w:val="000000"/>
                <w:sz w:val="18"/>
                <w:szCs w:val="18"/>
              </w:rPr>
            </w:pPr>
          </w:p>
        </w:tc>
        <w:tc>
          <w:tcPr>
            <w:tcW w:w="286" w:type="pct"/>
            <w:vMerge/>
            <w:tcBorders>
              <w:top w:val="nil"/>
              <w:left w:val="single" w:sz="4" w:space="0" w:color="4F6228"/>
              <w:bottom w:val="double" w:sz="6" w:space="0" w:color="4F6228"/>
              <w:right w:val="single" w:sz="4" w:space="0" w:color="4F6228"/>
            </w:tcBorders>
            <w:vAlign w:val="center"/>
            <w:hideMark/>
          </w:tcPr>
          <w:p w:rsidR="009E6780" w:rsidRPr="009E6780" w:rsidRDefault="009E6780" w:rsidP="009E6780">
            <w:pPr>
              <w:rPr>
                <w:color w:val="000000"/>
                <w:sz w:val="18"/>
                <w:szCs w:val="18"/>
              </w:rPr>
            </w:pPr>
          </w:p>
        </w:tc>
        <w:tc>
          <w:tcPr>
            <w:tcW w:w="315" w:type="pct"/>
            <w:tcBorders>
              <w:top w:val="nil"/>
              <w:left w:val="nil"/>
              <w:bottom w:val="double" w:sz="6" w:space="0" w:color="4F6228"/>
              <w:right w:val="single" w:sz="4" w:space="0" w:color="4F6228"/>
            </w:tcBorders>
            <w:shd w:val="clear" w:color="auto" w:fill="auto"/>
            <w:noWrap/>
            <w:vAlign w:val="center"/>
            <w:hideMark/>
          </w:tcPr>
          <w:p w:rsidR="009E6780" w:rsidRPr="009E6780" w:rsidRDefault="009E6780" w:rsidP="009E6780">
            <w:pPr>
              <w:rPr>
                <w:color w:val="000000"/>
                <w:sz w:val="18"/>
                <w:szCs w:val="18"/>
              </w:rPr>
            </w:pPr>
            <w:r w:rsidRPr="009E6780">
              <w:rPr>
                <w:color w:val="000000"/>
                <w:sz w:val="18"/>
                <w:szCs w:val="18"/>
              </w:rPr>
              <w:t>Plánovaná</w:t>
            </w:r>
          </w:p>
        </w:tc>
        <w:tc>
          <w:tcPr>
            <w:tcW w:w="1604" w:type="pct"/>
            <w:gridSpan w:val="5"/>
            <w:tcBorders>
              <w:top w:val="single" w:sz="4" w:space="0" w:color="4F6228"/>
              <w:left w:val="nil"/>
              <w:bottom w:val="double" w:sz="6" w:space="0" w:color="4F6228"/>
              <w:right w:val="single" w:sz="4" w:space="0" w:color="4F6228"/>
            </w:tcBorders>
            <w:shd w:val="clear" w:color="auto" w:fill="auto"/>
            <w:noWrap/>
            <w:vAlign w:val="center"/>
            <w:hideMark/>
          </w:tcPr>
          <w:p w:rsidR="009E6780" w:rsidRPr="009E6780" w:rsidRDefault="009E6780" w:rsidP="009E6780">
            <w:pPr>
              <w:jc w:val="right"/>
              <w:rPr>
                <w:color w:val="000000"/>
                <w:sz w:val="18"/>
                <w:szCs w:val="18"/>
              </w:rPr>
            </w:pPr>
            <w:r w:rsidRPr="009E6780">
              <w:rPr>
                <w:color w:val="000000"/>
                <w:sz w:val="18"/>
                <w:szCs w:val="18"/>
              </w:rPr>
              <w:t>N/A</w:t>
            </w:r>
          </w:p>
        </w:tc>
        <w:tc>
          <w:tcPr>
            <w:tcW w:w="301" w:type="pct"/>
            <w:tcBorders>
              <w:top w:val="nil"/>
              <w:left w:val="nil"/>
              <w:bottom w:val="double" w:sz="6"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301" w:type="pct"/>
            <w:tcBorders>
              <w:top w:val="nil"/>
              <w:left w:val="nil"/>
              <w:bottom w:val="double" w:sz="6"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224" w:type="pct"/>
            <w:tcBorders>
              <w:top w:val="nil"/>
              <w:left w:val="nil"/>
              <w:bottom w:val="double" w:sz="6" w:space="0" w:color="4F6228"/>
              <w:right w:val="single" w:sz="4" w:space="0" w:color="4F6228"/>
            </w:tcBorders>
            <w:shd w:val="clear" w:color="auto" w:fill="auto"/>
            <w:vAlign w:val="center"/>
            <w:hideMark/>
          </w:tcPr>
          <w:p w:rsidR="009E6780" w:rsidRPr="009E6780" w:rsidRDefault="009E6780" w:rsidP="009E6780">
            <w:pPr>
              <w:jc w:val="center"/>
              <w:rPr>
                <w:color w:val="000000"/>
                <w:sz w:val="18"/>
                <w:szCs w:val="18"/>
              </w:rPr>
            </w:pPr>
            <w:r w:rsidRPr="009E6780">
              <w:rPr>
                <w:color w:val="000000"/>
                <w:sz w:val="18"/>
                <w:szCs w:val="18"/>
              </w:rPr>
              <w:t> </w:t>
            </w:r>
          </w:p>
        </w:tc>
        <w:tc>
          <w:tcPr>
            <w:tcW w:w="317" w:type="pct"/>
            <w:tcBorders>
              <w:top w:val="nil"/>
              <w:left w:val="nil"/>
              <w:bottom w:val="double" w:sz="6" w:space="0" w:color="4F6228"/>
              <w:right w:val="single" w:sz="4"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70</w:t>
            </w:r>
          </w:p>
        </w:tc>
        <w:tc>
          <w:tcPr>
            <w:tcW w:w="324" w:type="pct"/>
            <w:tcBorders>
              <w:top w:val="nil"/>
              <w:left w:val="nil"/>
              <w:bottom w:val="double" w:sz="6" w:space="0" w:color="4F6228"/>
              <w:right w:val="double" w:sz="6" w:space="0" w:color="4F6228"/>
            </w:tcBorders>
            <w:shd w:val="clear" w:color="auto" w:fill="auto"/>
            <w:noWrap/>
            <w:vAlign w:val="center"/>
            <w:hideMark/>
          </w:tcPr>
          <w:p w:rsidR="009E6780" w:rsidRPr="009E6780" w:rsidRDefault="009E6780" w:rsidP="009E6780">
            <w:pPr>
              <w:jc w:val="center"/>
              <w:rPr>
                <w:color w:val="000000"/>
                <w:sz w:val="18"/>
                <w:szCs w:val="18"/>
              </w:rPr>
            </w:pPr>
            <w:r w:rsidRPr="009E6780">
              <w:rPr>
                <w:color w:val="000000"/>
                <w:sz w:val="18"/>
                <w:szCs w:val="18"/>
              </w:rPr>
              <w:t>70</w:t>
            </w:r>
          </w:p>
        </w:tc>
      </w:tr>
    </w:tbl>
    <w:p w:rsidR="00382DD9" w:rsidRDefault="00382DD9" w:rsidP="00382DD9">
      <w:pPr>
        <w:spacing w:line="276" w:lineRule="auto"/>
        <w:jc w:val="both"/>
        <w:rPr>
          <w:i/>
          <w:sz w:val="18"/>
          <w:szCs w:val="18"/>
        </w:rPr>
      </w:pPr>
      <w:r w:rsidRPr="00A646BF">
        <w:rPr>
          <w:i/>
          <w:sz w:val="18"/>
          <w:szCs w:val="18"/>
        </w:rPr>
        <w:t xml:space="preserve">Zdroj: MSC 2007 ke dni </w:t>
      </w:r>
      <w:r w:rsidR="00D94A77">
        <w:rPr>
          <w:i/>
          <w:sz w:val="18"/>
          <w:szCs w:val="18"/>
        </w:rPr>
        <w:t>2</w:t>
      </w:r>
      <w:r w:rsidR="00D94A77" w:rsidRPr="00453C61">
        <w:rPr>
          <w:i/>
          <w:sz w:val="18"/>
          <w:szCs w:val="18"/>
        </w:rPr>
        <w:t>. 3. 2015</w:t>
      </w:r>
    </w:p>
    <w:p w:rsidR="00855962" w:rsidRDefault="00855962" w:rsidP="00382DD9">
      <w:pPr>
        <w:spacing w:line="276" w:lineRule="auto"/>
        <w:jc w:val="both"/>
        <w:rPr>
          <w:i/>
          <w:sz w:val="18"/>
          <w:szCs w:val="18"/>
        </w:rPr>
        <w:sectPr w:rsidR="00855962" w:rsidSect="00AB34FC">
          <w:pgSz w:w="16838" w:h="11906" w:orient="landscape"/>
          <w:pgMar w:top="1418" w:right="1418" w:bottom="1418" w:left="1418" w:header="709" w:footer="709" w:gutter="0"/>
          <w:cols w:space="708"/>
          <w:docGrid w:linePitch="272"/>
        </w:sectPr>
      </w:pPr>
    </w:p>
    <w:p w:rsidR="00A75862" w:rsidRPr="009026D3" w:rsidRDefault="00E66D23" w:rsidP="000F2A6C">
      <w:pPr>
        <w:pStyle w:val="Nadpis3"/>
      </w:pPr>
      <w:bookmarkStart w:id="22" w:name="_Toc382407660"/>
      <w:bookmarkStart w:id="23" w:name="_Toc383084668"/>
      <w:bookmarkStart w:id="24" w:name="_Toc417024837"/>
      <w:r w:rsidRPr="009026D3">
        <w:lastRenderedPageBreak/>
        <w:t>2.1. B Informace</w:t>
      </w:r>
      <w:r w:rsidR="00A75862" w:rsidRPr="009026D3">
        <w:t xml:space="preserve"> o finančních údajích IOP</w:t>
      </w:r>
      <w:bookmarkEnd w:id="22"/>
      <w:bookmarkEnd w:id="23"/>
      <w:bookmarkEnd w:id="24"/>
      <w:r w:rsidR="00A75862" w:rsidRPr="009026D3">
        <w:t xml:space="preserve"> </w:t>
      </w:r>
    </w:p>
    <w:p w:rsidR="00EC5484" w:rsidRPr="00AB1A60" w:rsidRDefault="00EC5484" w:rsidP="00EC5484">
      <w:pPr>
        <w:rPr>
          <w:b/>
          <w:sz w:val="24"/>
          <w:szCs w:val="24"/>
        </w:rPr>
      </w:pPr>
      <w:r w:rsidRPr="00177E49">
        <w:rPr>
          <w:sz w:val="22"/>
          <w:szCs w:val="22"/>
        </w:rPr>
        <w:t>Do konce roku 2014 byla celková výše potvrzených způsobilých výdajů vynaložených příjemci 1 283 mld. EUR. Příspěvek z veřejných zdrojů činí 1,181 mld. EUR, což představuje 62,08 % finančních prostředků IOP.</w:t>
      </w:r>
    </w:p>
    <w:p w:rsidR="00A75862" w:rsidRPr="0059566F" w:rsidRDefault="00A75862" w:rsidP="00B90C30">
      <w:pPr>
        <w:jc w:val="both"/>
        <w:rPr>
          <w:sz w:val="22"/>
          <w:szCs w:val="22"/>
        </w:rPr>
      </w:pPr>
    </w:p>
    <w:p w:rsidR="00D029EB" w:rsidRPr="00C50727" w:rsidRDefault="00D029EB" w:rsidP="00D029EB">
      <w:pPr>
        <w:jc w:val="both"/>
        <w:rPr>
          <w:b/>
          <w:sz w:val="22"/>
          <w:szCs w:val="22"/>
        </w:rPr>
      </w:pPr>
      <w:r w:rsidRPr="0059566F">
        <w:rPr>
          <w:sz w:val="22"/>
          <w:szCs w:val="22"/>
        </w:rPr>
        <w:t xml:space="preserve">Největší podíl potvrzených způsobilých výdajů je v prioritní ose 4b (96,96 %), což je dáno snížením alokace této oblasti podpory na základě revize programového dokumentu v souvislosti se </w:t>
      </w:r>
      <w:r w:rsidRPr="0059566F">
        <w:rPr>
          <w:bCs/>
          <w:sz w:val="22"/>
          <w:szCs w:val="22"/>
        </w:rPr>
        <w:t>ztrátou alokace za rok 2013. Vysoký podíl potvrzených způsobilých výdajů je</w:t>
      </w:r>
      <w:r w:rsidRPr="0059566F">
        <w:rPr>
          <w:sz w:val="22"/>
          <w:szCs w:val="22"/>
        </w:rPr>
        <w:t xml:space="preserve"> v prioritní ose 5 (72,0</w:t>
      </w:r>
      <w:r w:rsidR="00C07B7D">
        <w:rPr>
          <w:sz w:val="22"/>
          <w:szCs w:val="22"/>
        </w:rPr>
        <w:t>5</w:t>
      </w:r>
      <w:r w:rsidRPr="0059566F">
        <w:rPr>
          <w:sz w:val="22"/>
          <w:szCs w:val="22"/>
        </w:rPr>
        <w:t xml:space="preserve"> %, resp. 375,18 mil. EUR). Nejmenší podíl</w:t>
      </w:r>
      <w:r>
        <w:rPr>
          <w:sz w:val="22"/>
          <w:szCs w:val="22"/>
        </w:rPr>
        <w:t>,</w:t>
      </w:r>
      <w:r w:rsidRPr="0059566F">
        <w:rPr>
          <w:sz w:val="22"/>
          <w:szCs w:val="22"/>
        </w:rPr>
        <w:t xml:space="preserve"> 52,81 %</w:t>
      </w:r>
      <w:r>
        <w:rPr>
          <w:sz w:val="22"/>
          <w:szCs w:val="22"/>
        </w:rPr>
        <w:t xml:space="preserve">, </w:t>
      </w:r>
      <w:r w:rsidRPr="0059566F">
        <w:rPr>
          <w:sz w:val="22"/>
          <w:szCs w:val="22"/>
        </w:rPr>
        <w:t xml:space="preserve">je v prioritní ose 3. </w:t>
      </w:r>
    </w:p>
    <w:p w:rsidR="003E2785" w:rsidRPr="009026D3" w:rsidRDefault="003E2785" w:rsidP="009026D3">
      <w:pPr>
        <w:rPr>
          <w:b/>
        </w:rPr>
      </w:pPr>
    </w:p>
    <w:p w:rsidR="00A75862" w:rsidRDefault="00D1797E" w:rsidP="00A92782">
      <w:pPr>
        <w:pStyle w:val="Tabulkanzev"/>
      </w:pPr>
      <w:bookmarkStart w:id="25" w:name="_Toc416431798"/>
      <w:r>
        <w:t>F</w:t>
      </w:r>
      <w:r w:rsidR="00D0378D" w:rsidRPr="003753D4">
        <w:t>inanční údaje</w:t>
      </w:r>
      <w:r w:rsidR="00D0378D" w:rsidRPr="00C971EB">
        <w:t xml:space="preserve"> (v </w:t>
      </w:r>
      <w:proofErr w:type="gramStart"/>
      <w:r w:rsidR="00D0378D" w:rsidRPr="00C971EB">
        <w:t>EUR</w:t>
      </w:r>
      <w:proofErr w:type="gramEnd"/>
      <w:r w:rsidR="00D0378D" w:rsidRPr="00C971EB">
        <w:t>)</w:t>
      </w:r>
      <w:bookmarkEnd w:id="25"/>
    </w:p>
    <w:tbl>
      <w:tblPr>
        <w:tblW w:w="4887" w:type="pct"/>
        <w:tblCellMar>
          <w:left w:w="70" w:type="dxa"/>
          <w:right w:w="70" w:type="dxa"/>
        </w:tblCellMar>
        <w:tblLook w:val="04A0" w:firstRow="1" w:lastRow="0" w:firstColumn="1" w:lastColumn="0" w:noHBand="0" w:noVBand="1"/>
      </w:tblPr>
      <w:tblGrid>
        <w:gridCol w:w="1346"/>
        <w:gridCol w:w="1559"/>
        <w:gridCol w:w="1700"/>
        <w:gridCol w:w="1421"/>
        <w:gridCol w:w="1559"/>
        <w:gridCol w:w="1417"/>
      </w:tblGrid>
      <w:tr w:rsidR="00CA3D4F" w:rsidRPr="00327D06" w:rsidTr="00C031E3">
        <w:trPr>
          <w:trHeight w:val="1242"/>
        </w:trPr>
        <w:tc>
          <w:tcPr>
            <w:tcW w:w="748" w:type="pct"/>
            <w:tcBorders>
              <w:top w:val="double" w:sz="6" w:space="0" w:color="4F6228"/>
              <w:left w:val="double" w:sz="6" w:space="0" w:color="4F6228"/>
              <w:bottom w:val="single" w:sz="8" w:space="0" w:color="4F6228"/>
              <w:right w:val="single" w:sz="8" w:space="0" w:color="4F6228"/>
            </w:tcBorders>
            <w:shd w:val="clear" w:color="000000" w:fill="C2D69B"/>
            <w:vAlign w:val="center"/>
            <w:hideMark/>
          </w:tcPr>
          <w:p w:rsidR="00327D06" w:rsidRPr="00327D06" w:rsidRDefault="00327D06" w:rsidP="00327D06">
            <w:pPr>
              <w:jc w:val="center"/>
              <w:rPr>
                <w:color w:val="000000"/>
                <w:sz w:val="16"/>
                <w:szCs w:val="16"/>
              </w:rPr>
            </w:pPr>
            <w:r w:rsidRPr="00327D06">
              <w:rPr>
                <w:color w:val="000000"/>
                <w:sz w:val="16"/>
                <w:szCs w:val="16"/>
              </w:rPr>
              <w:t> </w:t>
            </w:r>
          </w:p>
        </w:tc>
        <w:tc>
          <w:tcPr>
            <w:tcW w:w="866" w:type="pct"/>
            <w:tcBorders>
              <w:top w:val="double" w:sz="6" w:space="0" w:color="4F6228"/>
              <w:left w:val="nil"/>
              <w:bottom w:val="single" w:sz="8" w:space="0" w:color="4F6228"/>
              <w:right w:val="single" w:sz="8" w:space="0" w:color="4F6228"/>
            </w:tcBorders>
            <w:shd w:val="clear" w:color="000000" w:fill="C2D69B"/>
            <w:vAlign w:val="center"/>
            <w:hideMark/>
          </w:tcPr>
          <w:p w:rsidR="00327D06" w:rsidRPr="00327D06" w:rsidRDefault="00327D06" w:rsidP="00327D06">
            <w:pPr>
              <w:jc w:val="center"/>
              <w:rPr>
                <w:b/>
                <w:bCs/>
                <w:color w:val="000000"/>
                <w:sz w:val="16"/>
                <w:szCs w:val="16"/>
              </w:rPr>
            </w:pPr>
            <w:r w:rsidRPr="00327D06">
              <w:rPr>
                <w:b/>
                <w:bCs/>
                <w:color w:val="000000"/>
                <w:sz w:val="16"/>
                <w:szCs w:val="16"/>
              </w:rPr>
              <w:t>Finanční prostředky operačního programu celkem (Unie a vnitrostátní)</w:t>
            </w:r>
          </w:p>
        </w:tc>
        <w:tc>
          <w:tcPr>
            <w:tcW w:w="944" w:type="pct"/>
            <w:tcBorders>
              <w:top w:val="double" w:sz="6" w:space="0" w:color="4F6228"/>
              <w:left w:val="nil"/>
              <w:bottom w:val="single" w:sz="8" w:space="0" w:color="4F6228"/>
              <w:right w:val="single" w:sz="8" w:space="0" w:color="4F6228"/>
            </w:tcBorders>
            <w:shd w:val="clear" w:color="000000" w:fill="C2D69B"/>
            <w:vAlign w:val="center"/>
            <w:hideMark/>
          </w:tcPr>
          <w:p w:rsidR="00327D06" w:rsidRPr="00327D06" w:rsidRDefault="00327D06" w:rsidP="00327D06">
            <w:pPr>
              <w:jc w:val="center"/>
              <w:rPr>
                <w:b/>
                <w:bCs/>
                <w:color w:val="000000"/>
                <w:sz w:val="16"/>
                <w:szCs w:val="16"/>
              </w:rPr>
            </w:pPr>
            <w:r w:rsidRPr="00327D06">
              <w:rPr>
                <w:b/>
                <w:bCs/>
                <w:color w:val="000000"/>
                <w:sz w:val="16"/>
                <w:szCs w:val="16"/>
              </w:rPr>
              <w:t>Základ pro výpočet příspěvku Unie (z veřejných zdrojů nebo celkem)</w:t>
            </w:r>
          </w:p>
        </w:tc>
        <w:tc>
          <w:tcPr>
            <w:tcW w:w="789" w:type="pct"/>
            <w:tcBorders>
              <w:top w:val="double" w:sz="6" w:space="0" w:color="4F6228"/>
              <w:left w:val="nil"/>
              <w:bottom w:val="single" w:sz="8" w:space="0" w:color="4F6228"/>
              <w:right w:val="single" w:sz="8" w:space="0" w:color="4F6228"/>
            </w:tcBorders>
            <w:shd w:val="clear" w:color="000000" w:fill="C2D69B"/>
            <w:vAlign w:val="center"/>
            <w:hideMark/>
          </w:tcPr>
          <w:p w:rsidR="00327D06" w:rsidRPr="00327D06" w:rsidRDefault="00327D06" w:rsidP="00327D06">
            <w:pPr>
              <w:jc w:val="center"/>
              <w:rPr>
                <w:b/>
                <w:bCs/>
                <w:color w:val="000000"/>
                <w:sz w:val="16"/>
                <w:szCs w:val="16"/>
              </w:rPr>
            </w:pPr>
            <w:r w:rsidRPr="00327D06">
              <w:rPr>
                <w:b/>
                <w:bCs/>
                <w:color w:val="000000"/>
                <w:sz w:val="16"/>
                <w:szCs w:val="16"/>
              </w:rPr>
              <w:t>Celková výše potvrzených způsobilých výdajů vynaložených příjemci</w:t>
            </w:r>
          </w:p>
        </w:tc>
        <w:tc>
          <w:tcPr>
            <w:tcW w:w="866" w:type="pct"/>
            <w:tcBorders>
              <w:top w:val="double" w:sz="6" w:space="0" w:color="4F6228"/>
              <w:left w:val="nil"/>
              <w:bottom w:val="single" w:sz="8" w:space="0" w:color="4F6228"/>
              <w:right w:val="single" w:sz="8" w:space="0" w:color="4F6228"/>
            </w:tcBorders>
            <w:shd w:val="clear" w:color="000000" w:fill="C2D69B"/>
            <w:vAlign w:val="center"/>
            <w:hideMark/>
          </w:tcPr>
          <w:p w:rsidR="00327D06" w:rsidRPr="00327D06" w:rsidRDefault="00327D06" w:rsidP="00327D06">
            <w:pPr>
              <w:jc w:val="center"/>
              <w:rPr>
                <w:b/>
                <w:bCs/>
                <w:color w:val="000000"/>
                <w:sz w:val="16"/>
                <w:szCs w:val="16"/>
              </w:rPr>
            </w:pPr>
            <w:r w:rsidRPr="00327D06">
              <w:rPr>
                <w:b/>
                <w:bCs/>
                <w:color w:val="000000"/>
                <w:sz w:val="16"/>
                <w:szCs w:val="16"/>
              </w:rPr>
              <w:t>Odpovídající příspěvek z veřejných zdrojů</w:t>
            </w:r>
          </w:p>
        </w:tc>
        <w:tc>
          <w:tcPr>
            <w:tcW w:w="787" w:type="pct"/>
            <w:tcBorders>
              <w:top w:val="double" w:sz="6" w:space="0" w:color="4F6228"/>
              <w:left w:val="nil"/>
              <w:bottom w:val="single" w:sz="8" w:space="0" w:color="4F6228"/>
              <w:right w:val="double" w:sz="6" w:space="0" w:color="4F6228"/>
            </w:tcBorders>
            <w:shd w:val="clear" w:color="000000" w:fill="C2D69B"/>
            <w:vAlign w:val="center"/>
            <w:hideMark/>
          </w:tcPr>
          <w:p w:rsidR="00327D06" w:rsidRPr="00327D06" w:rsidRDefault="00327D06" w:rsidP="00327D06">
            <w:pPr>
              <w:jc w:val="center"/>
              <w:rPr>
                <w:b/>
                <w:bCs/>
                <w:color w:val="000000"/>
                <w:sz w:val="16"/>
                <w:szCs w:val="16"/>
              </w:rPr>
            </w:pPr>
            <w:r w:rsidRPr="00327D06">
              <w:rPr>
                <w:b/>
                <w:bCs/>
                <w:color w:val="000000"/>
                <w:sz w:val="16"/>
                <w:szCs w:val="16"/>
              </w:rPr>
              <w:t>Míra plnění v %</w:t>
            </w:r>
          </w:p>
        </w:tc>
      </w:tr>
      <w:tr w:rsidR="00327D06" w:rsidRPr="00327D06" w:rsidTr="00C031E3">
        <w:trPr>
          <w:trHeight w:val="30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1a</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342 284 804</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218 761 320</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218 761 320</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63,91%</w:t>
            </w:r>
          </w:p>
        </w:tc>
      </w:tr>
      <w:tr w:rsidR="00327D06" w:rsidRPr="00327D06" w:rsidTr="00FD3660">
        <w:trPr>
          <w:trHeight w:val="291"/>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1b</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26 329 602</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16 827 795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16 827 795</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63,91%</w:t>
            </w:r>
          </w:p>
        </w:tc>
      </w:tr>
      <w:tr w:rsidR="00327D06" w:rsidRPr="00327D06" w:rsidTr="00C031E3">
        <w:trPr>
          <w:trHeight w:val="267"/>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2</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174 718 668</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110 113 061</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110 113 061</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63,02%</w:t>
            </w:r>
          </w:p>
        </w:tc>
      </w:tr>
      <w:tr w:rsidR="00327D06" w:rsidRPr="00327D06" w:rsidTr="00C031E3">
        <w:trPr>
          <w:trHeight w:val="237"/>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3</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723 080 072</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384 192 185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381 846 319</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52,81%</w:t>
            </w:r>
          </w:p>
        </w:tc>
      </w:tr>
      <w:tr w:rsidR="00327D06" w:rsidRPr="00327D06" w:rsidTr="00C031E3">
        <w:trPr>
          <w:trHeight w:val="30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4a</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71 255 784</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46 084 553</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45 982 180</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64,53%</w:t>
            </w:r>
          </w:p>
        </w:tc>
      </w:tr>
      <w:tr w:rsidR="00327D06" w:rsidRPr="00327D06" w:rsidTr="00C031E3">
        <w:trPr>
          <w:trHeight w:val="30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4b</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3 647 971</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3 544 843</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3 536 968</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96,96%</w:t>
            </w:r>
          </w:p>
        </w:tc>
      </w:tr>
      <w:tr w:rsidR="00327D06" w:rsidRPr="00327D06" w:rsidTr="00FD3660">
        <w:trPr>
          <w:trHeight w:val="313"/>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520 757 030</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474 488 375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375 181 409</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72,05%</w:t>
            </w:r>
          </w:p>
        </w:tc>
      </w:tr>
      <w:tr w:rsidR="00327D06" w:rsidRPr="00327D06" w:rsidTr="00C031E3">
        <w:trPr>
          <w:trHeight w:val="33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6a</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40 087 986</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28 480 975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28 480 975</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71,05%</w:t>
            </w:r>
          </w:p>
        </w:tc>
      </w:tr>
      <w:tr w:rsidR="00327D06" w:rsidRPr="00327D06" w:rsidTr="00C031E3">
        <w:trPr>
          <w:trHeight w:val="33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327D06" w:rsidRDefault="00327D06" w:rsidP="00327D06">
            <w:pPr>
              <w:rPr>
                <w:b/>
                <w:bCs/>
                <w:color w:val="000000"/>
                <w:sz w:val="16"/>
                <w:szCs w:val="16"/>
              </w:rPr>
            </w:pPr>
            <w:r w:rsidRPr="00327D06">
              <w:rPr>
                <w:b/>
                <w:bCs/>
                <w:color w:val="000000"/>
                <w:sz w:val="16"/>
                <w:szCs w:val="16"/>
              </w:rPr>
              <w:t>Prioritní osa 6b</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736 976</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center"/>
              <w:rPr>
                <w:color w:val="000000"/>
                <w:sz w:val="16"/>
                <w:szCs w:val="16"/>
              </w:rPr>
            </w:pPr>
            <w:r w:rsidRPr="00327D06">
              <w:rPr>
                <w:color w:val="000000"/>
                <w:sz w:val="16"/>
                <w:szCs w:val="16"/>
              </w:rPr>
              <w:t>Celkem</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523 755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327D06" w:rsidRDefault="00327D06" w:rsidP="00327D06">
            <w:pPr>
              <w:jc w:val="right"/>
              <w:rPr>
                <w:color w:val="000000"/>
                <w:sz w:val="16"/>
                <w:szCs w:val="16"/>
              </w:rPr>
            </w:pPr>
            <w:r w:rsidRPr="00327D06">
              <w:rPr>
                <w:color w:val="000000"/>
                <w:sz w:val="16"/>
                <w:szCs w:val="16"/>
              </w:rPr>
              <w:t>523 755</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327D06" w:rsidRDefault="00327D06" w:rsidP="00CA3D4F">
            <w:pPr>
              <w:jc w:val="center"/>
              <w:rPr>
                <w:color w:val="000000"/>
                <w:sz w:val="16"/>
                <w:szCs w:val="16"/>
              </w:rPr>
            </w:pPr>
            <w:r w:rsidRPr="00327D06">
              <w:rPr>
                <w:color w:val="000000"/>
                <w:sz w:val="16"/>
                <w:szCs w:val="16"/>
              </w:rPr>
              <w:t>71,07%</w:t>
            </w:r>
          </w:p>
        </w:tc>
      </w:tr>
      <w:tr w:rsidR="00CA3D4F" w:rsidRPr="00327D06" w:rsidTr="00C031E3">
        <w:trPr>
          <w:trHeight w:val="334"/>
        </w:trPr>
        <w:tc>
          <w:tcPr>
            <w:tcW w:w="748" w:type="pct"/>
            <w:tcBorders>
              <w:top w:val="nil"/>
              <w:left w:val="double" w:sz="6" w:space="0" w:color="4F6228"/>
              <w:bottom w:val="double" w:sz="6" w:space="0" w:color="4F6228"/>
              <w:right w:val="single" w:sz="8" w:space="0" w:color="4F6228"/>
            </w:tcBorders>
            <w:shd w:val="clear" w:color="000000" w:fill="C2D69B"/>
            <w:vAlign w:val="center"/>
            <w:hideMark/>
          </w:tcPr>
          <w:p w:rsidR="00327D06" w:rsidRPr="00327D06" w:rsidRDefault="00327D06" w:rsidP="00327D06">
            <w:pPr>
              <w:rPr>
                <w:b/>
                <w:bCs/>
                <w:i/>
                <w:iCs/>
                <w:color w:val="000000"/>
                <w:sz w:val="16"/>
                <w:szCs w:val="16"/>
              </w:rPr>
            </w:pPr>
            <w:r w:rsidRPr="00327D06">
              <w:rPr>
                <w:b/>
                <w:bCs/>
                <w:i/>
                <w:iCs/>
                <w:color w:val="000000"/>
                <w:sz w:val="16"/>
                <w:szCs w:val="16"/>
              </w:rPr>
              <w:t>Celkový součet</w:t>
            </w:r>
          </w:p>
        </w:tc>
        <w:tc>
          <w:tcPr>
            <w:tcW w:w="866" w:type="pct"/>
            <w:tcBorders>
              <w:top w:val="nil"/>
              <w:left w:val="nil"/>
              <w:bottom w:val="double" w:sz="6" w:space="0" w:color="4F6228"/>
              <w:right w:val="single" w:sz="8" w:space="0" w:color="4F6228"/>
            </w:tcBorders>
            <w:shd w:val="clear" w:color="000000" w:fill="C2D69B"/>
            <w:vAlign w:val="center"/>
            <w:hideMark/>
          </w:tcPr>
          <w:p w:rsidR="00327D06" w:rsidRPr="00327D06" w:rsidRDefault="00327D06" w:rsidP="00327D06">
            <w:pPr>
              <w:jc w:val="right"/>
              <w:rPr>
                <w:b/>
                <w:bCs/>
                <w:i/>
                <w:iCs/>
                <w:color w:val="000000"/>
                <w:sz w:val="16"/>
                <w:szCs w:val="16"/>
              </w:rPr>
            </w:pPr>
            <w:r w:rsidRPr="00327D06">
              <w:rPr>
                <w:b/>
                <w:bCs/>
                <w:i/>
                <w:iCs/>
                <w:color w:val="000000"/>
                <w:sz w:val="16"/>
                <w:szCs w:val="16"/>
              </w:rPr>
              <w:t>1 902 898 893</w:t>
            </w:r>
          </w:p>
        </w:tc>
        <w:tc>
          <w:tcPr>
            <w:tcW w:w="944" w:type="pct"/>
            <w:tcBorders>
              <w:top w:val="nil"/>
              <w:left w:val="nil"/>
              <w:bottom w:val="double" w:sz="6" w:space="0" w:color="4F6228"/>
              <w:right w:val="single" w:sz="8" w:space="0" w:color="4F6228"/>
            </w:tcBorders>
            <w:shd w:val="clear" w:color="000000" w:fill="C2D69B"/>
            <w:vAlign w:val="center"/>
            <w:hideMark/>
          </w:tcPr>
          <w:p w:rsidR="00327D06" w:rsidRPr="00327D06" w:rsidRDefault="00327D06" w:rsidP="00327D06">
            <w:pPr>
              <w:rPr>
                <w:b/>
                <w:bCs/>
                <w:i/>
                <w:iCs/>
                <w:color w:val="000000"/>
                <w:sz w:val="16"/>
                <w:szCs w:val="16"/>
              </w:rPr>
            </w:pPr>
            <w:r w:rsidRPr="00327D06">
              <w:rPr>
                <w:b/>
                <w:bCs/>
                <w:i/>
                <w:iCs/>
                <w:color w:val="000000"/>
                <w:sz w:val="16"/>
                <w:szCs w:val="16"/>
              </w:rPr>
              <w:t> </w:t>
            </w:r>
          </w:p>
        </w:tc>
        <w:tc>
          <w:tcPr>
            <w:tcW w:w="789" w:type="pct"/>
            <w:tcBorders>
              <w:top w:val="nil"/>
              <w:left w:val="nil"/>
              <w:bottom w:val="double" w:sz="6" w:space="0" w:color="4F6228"/>
              <w:right w:val="single" w:sz="8" w:space="0" w:color="4F6228"/>
            </w:tcBorders>
            <w:shd w:val="clear" w:color="000000" w:fill="C2D69B"/>
            <w:vAlign w:val="center"/>
            <w:hideMark/>
          </w:tcPr>
          <w:p w:rsidR="00327D06" w:rsidRPr="00327D06" w:rsidRDefault="00327D06" w:rsidP="00327D06">
            <w:pPr>
              <w:jc w:val="right"/>
              <w:rPr>
                <w:b/>
                <w:bCs/>
                <w:i/>
                <w:iCs/>
                <w:color w:val="000000"/>
                <w:sz w:val="16"/>
                <w:szCs w:val="16"/>
              </w:rPr>
            </w:pPr>
            <w:r w:rsidRPr="00327D06">
              <w:rPr>
                <w:b/>
                <w:bCs/>
                <w:i/>
                <w:iCs/>
                <w:color w:val="000000"/>
                <w:sz w:val="16"/>
                <w:szCs w:val="16"/>
              </w:rPr>
              <w:t>1 283 016 863</w:t>
            </w:r>
          </w:p>
        </w:tc>
        <w:tc>
          <w:tcPr>
            <w:tcW w:w="866" w:type="pct"/>
            <w:tcBorders>
              <w:top w:val="nil"/>
              <w:left w:val="nil"/>
              <w:bottom w:val="double" w:sz="6" w:space="0" w:color="4F6228"/>
              <w:right w:val="single" w:sz="8" w:space="0" w:color="4F6228"/>
            </w:tcBorders>
            <w:shd w:val="clear" w:color="000000" w:fill="C2D69B"/>
            <w:vAlign w:val="center"/>
            <w:hideMark/>
          </w:tcPr>
          <w:p w:rsidR="00327D06" w:rsidRPr="00327D06" w:rsidRDefault="00327D06" w:rsidP="00327D06">
            <w:pPr>
              <w:jc w:val="right"/>
              <w:rPr>
                <w:b/>
                <w:bCs/>
                <w:i/>
                <w:iCs/>
                <w:color w:val="000000"/>
                <w:sz w:val="16"/>
                <w:szCs w:val="16"/>
              </w:rPr>
            </w:pPr>
            <w:r w:rsidRPr="00327D06">
              <w:rPr>
                <w:b/>
                <w:bCs/>
                <w:i/>
                <w:iCs/>
                <w:color w:val="000000"/>
                <w:sz w:val="16"/>
                <w:szCs w:val="16"/>
              </w:rPr>
              <w:t>1 181 253 782</w:t>
            </w:r>
          </w:p>
        </w:tc>
        <w:tc>
          <w:tcPr>
            <w:tcW w:w="787" w:type="pct"/>
            <w:tcBorders>
              <w:top w:val="nil"/>
              <w:left w:val="nil"/>
              <w:bottom w:val="double" w:sz="6" w:space="0" w:color="4F6228"/>
              <w:right w:val="single" w:sz="8" w:space="0" w:color="4F6228"/>
            </w:tcBorders>
            <w:shd w:val="clear" w:color="000000" w:fill="C2D69B"/>
            <w:vAlign w:val="center"/>
            <w:hideMark/>
          </w:tcPr>
          <w:p w:rsidR="00327D06" w:rsidRPr="00327D06" w:rsidRDefault="00327D06" w:rsidP="00CA3D4F">
            <w:pPr>
              <w:jc w:val="center"/>
              <w:rPr>
                <w:b/>
                <w:bCs/>
                <w:i/>
                <w:iCs/>
                <w:color w:val="000000"/>
                <w:sz w:val="16"/>
                <w:szCs w:val="16"/>
              </w:rPr>
            </w:pPr>
            <w:r w:rsidRPr="00327D06">
              <w:rPr>
                <w:b/>
                <w:bCs/>
                <w:i/>
                <w:iCs/>
                <w:color w:val="000000"/>
                <w:sz w:val="16"/>
                <w:szCs w:val="16"/>
              </w:rPr>
              <w:t>62,08%</w:t>
            </w:r>
          </w:p>
        </w:tc>
      </w:tr>
    </w:tbl>
    <w:p w:rsidR="00D82D1D" w:rsidRPr="00582E76" w:rsidRDefault="00D82D1D" w:rsidP="0041525E">
      <w:pPr>
        <w:rPr>
          <w:i/>
          <w:sz w:val="18"/>
          <w:szCs w:val="18"/>
        </w:rPr>
      </w:pPr>
      <w:r w:rsidRPr="00582E76">
        <w:rPr>
          <w:i/>
          <w:sz w:val="18"/>
          <w:szCs w:val="18"/>
        </w:rPr>
        <w:t xml:space="preserve">Zdroj: MSC2007 ke dni </w:t>
      </w:r>
      <w:r w:rsidR="000432F6" w:rsidRPr="00582E76">
        <w:rPr>
          <w:i/>
          <w:sz w:val="18"/>
          <w:szCs w:val="18"/>
        </w:rPr>
        <w:t>31. 12. 2014</w:t>
      </w:r>
    </w:p>
    <w:p w:rsidR="00D8262E" w:rsidRDefault="00D8262E" w:rsidP="00D82D1D">
      <w:pPr>
        <w:rPr>
          <w:i/>
          <w:sz w:val="18"/>
          <w:szCs w:val="18"/>
        </w:rPr>
      </w:pPr>
    </w:p>
    <w:p w:rsidR="00D8262E" w:rsidRDefault="00D8262E" w:rsidP="00D82D1D"/>
    <w:p w:rsidR="00D8262E" w:rsidRDefault="00D8262E" w:rsidP="00D82D1D"/>
    <w:p w:rsidR="00D8262E" w:rsidRPr="00D82D1D" w:rsidRDefault="00D8262E" w:rsidP="00D82D1D">
      <w:pPr>
        <w:sectPr w:rsidR="00D8262E" w:rsidRPr="00D82D1D" w:rsidSect="00382DD9">
          <w:pgSz w:w="11906" w:h="16838"/>
          <w:pgMar w:top="1418" w:right="1418" w:bottom="1418" w:left="1418" w:header="709" w:footer="709" w:gutter="0"/>
          <w:cols w:space="708"/>
          <w:docGrid w:linePitch="272"/>
        </w:sectPr>
      </w:pPr>
    </w:p>
    <w:p w:rsidR="00E84D21" w:rsidRDefault="00A75862" w:rsidP="00A92782">
      <w:pPr>
        <w:pStyle w:val="Tabulkanzev"/>
      </w:pPr>
      <w:bookmarkStart w:id="26" w:name="_Toc416431799"/>
      <w:r w:rsidRPr="00232962">
        <w:lastRenderedPageBreak/>
        <w:t>Finanční plán IO</w:t>
      </w:r>
      <w:r w:rsidR="00863436">
        <w:t>P</w:t>
      </w:r>
      <w:bookmarkEnd w:id="26"/>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11"/>
        <w:gridCol w:w="902"/>
        <w:gridCol w:w="1468"/>
        <w:gridCol w:w="1335"/>
        <w:gridCol w:w="1335"/>
        <w:gridCol w:w="1109"/>
        <w:gridCol w:w="1468"/>
        <w:gridCol w:w="1016"/>
      </w:tblGrid>
      <w:tr w:rsidR="009C4120" w:rsidRPr="009C4120" w:rsidTr="00855962">
        <w:trPr>
          <w:trHeight w:val="1050"/>
          <w:tblHeader/>
        </w:trPr>
        <w:tc>
          <w:tcPr>
            <w:tcW w:w="1948" w:type="pct"/>
            <w:shd w:val="clear" w:color="000000" w:fill="C4D79B"/>
            <w:vAlign w:val="center"/>
            <w:hideMark/>
          </w:tcPr>
          <w:p w:rsidR="009C4120" w:rsidRPr="009C4120" w:rsidRDefault="009C4120" w:rsidP="009C4120">
            <w:pPr>
              <w:jc w:val="center"/>
              <w:rPr>
                <w:b/>
                <w:bCs/>
                <w:color w:val="000000"/>
              </w:rPr>
            </w:pPr>
            <w:r w:rsidRPr="009C4120">
              <w:rPr>
                <w:b/>
                <w:bCs/>
                <w:color w:val="000000"/>
              </w:rPr>
              <w:t>Oblast podpory</w:t>
            </w:r>
          </w:p>
        </w:tc>
        <w:tc>
          <w:tcPr>
            <w:tcW w:w="319" w:type="pct"/>
            <w:shd w:val="clear" w:color="000000" w:fill="C4D79B"/>
            <w:vAlign w:val="center"/>
            <w:hideMark/>
          </w:tcPr>
          <w:p w:rsidR="009C4120" w:rsidRPr="009C4120" w:rsidRDefault="009C4120" w:rsidP="009C4120">
            <w:pPr>
              <w:jc w:val="center"/>
              <w:rPr>
                <w:b/>
                <w:bCs/>
                <w:color w:val="000000"/>
              </w:rPr>
            </w:pPr>
            <w:r w:rsidRPr="009C4120">
              <w:rPr>
                <w:b/>
                <w:bCs/>
                <w:color w:val="000000"/>
              </w:rPr>
              <w:t>Zkratka fondu</w:t>
            </w:r>
          </w:p>
        </w:tc>
        <w:tc>
          <w:tcPr>
            <w:tcW w:w="519" w:type="pct"/>
            <w:shd w:val="clear" w:color="000000" w:fill="C4D79B"/>
            <w:vAlign w:val="center"/>
            <w:hideMark/>
          </w:tcPr>
          <w:p w:rsidR="009C4120" w:rsidRPr="009C4120" w:rsidRDefault="009C4120" w:rsidP="009C4120">
            <w:pPr>
              <w:jc w:val="center"/>
              <w:rPr>
                <w:b/>
                <w:bCs/>
                <w:color w:val="000000"/>
              </w:rPr>
            </w:pPr>
            <w:r w:rsidRPr="009C4120">
              <w:rPr>
                <w:b/>
                <w:bCs/>
                <w:color w:val="000000"/>
              </w:rPr>
              <w:t xml:space="preserve">Příspěvek společenství v </w:t>
            </w:r>
            <w:proofErr w:type="gramStart"/>
            <w:r w:rsidRPr="009C4120">
              <w:rPr>
                <w:b/>
                <w:bCs/>
                <w:color w:val="000000"/>
              </w:rPr>
              <w:t>EUR</w:t>
            </w:r>
            <w:proofErr w:type="gramEnd"/>
          </w:p>
        </w:tc>
        <w:tc>
          <w:tcPr>
            <w:tcW w:w="472" w:type="pct"/>
            <w:shd w:val="clear" w:color="000000" w:fill="C4D79B"/>
            <w:vAlign w:val="center"/>
            <w:hideMark/>
          </w:tcPr>
          <w:p w:rsidR="009C4120" w:rsidRPr="009C4120" w:rsidRDefault="009C4120" w:rsidP="009C4120">
            <w:pPr>
              <w:jc w:val="center"/>
              <w:rPr>
                <w:b/>
                <w:bCs/>
                <w:color w:val="000000"/>
              </w:rPr>
            </w:pPr>
            <w:r w:rsidRPr="009C4120">
              <w:rPr>
                <w:b/>
                <w:bCs/>
                <w:color w:val="000000"/>
              </w:rPr>
              <w:t xml:space="preserve">Národní zdroje </w:t>
            </w:r>
            <w:r w:rsidRPr="009C4120">
              <w:rPr>
                <w:b/>
                <w:bCs/>
                <w:color w:val="000000"/>
              </w:rPr>
              <w:br/>
              <w:t xml:space="preserve">v </w:t>
            </w:r>
            <w:proofErr w:type="gramStart"/>
            <w:r w:rsidRPr="009C4120">
              <w:rPr>
                <w:b/>
                <w:bCs/>
                <w:color w:val="000000"/>
              </w:rPr>
              <w:t>EUR</w:t>
            </w:r>
            <w:proofErr w:type="gramEnd"/>
          </w:p>
        </w:tc>
        <w:tc>
          <w:tcPr>
            <w:tcW w:w="472" w:type="pct"/>
            <w:shd w:val="clear" w:color="000000" w:fill="C4D79B"/>
            <w:vAlign w:val="center"/>
            <w:hideMark/>
          </w:tcPr>
          <w:p w:rsidR="009C4120" w:rsidRPr="009C4120" w:rsidRDefault="009C4120" w:rsidP="009C4120">
            <w:pPr>
              <w:jc w:val="center"/>
              <w:rPr>
                <w:b/>
                <w:bCs/>
                <w:color w:val="000000"/>
              </w:rPr>
            </w:pPr>
            <w:r w:rsidRPr="009C4120">
              <w:rPr>
                <w:b/>
                <w:bCs/>
                <w:color w:val="000000"/>
              </w:rPr>
              <w:t xml:space="preserve">Národní veřejné zdroje v </w:t>
            </w:r>
            <w:proofErr w:type="gramStart"/>
            <w:r w:rsidRPr="009C4120">
              <w:rPr>
                <w:b/>
                <w:bCs/>
                <w:color w:val="000000"/>
              </w:rPr>
              <w:t>EUR</w:t>
            </w:r>
            <w:proofErr w:type="gramEnd"/>
          </w:p>
        </w:tc>
        <w:tc>
          <w:tcPr>
            <w:tcW w:w="392" w:type="pct"/>
            <w:shd w:val="clear" w:color="000000" w:fill="C4D79B"/>
            <w:vAlign w:val="center"/>
            <w:hideMark/>
          </w:tcPr>
          <w:p w:rsidR="009C4120" w:rsidRPr="009C4120" w:rsidRDefault="009C4120" w:rsidP="009C4120">
            <w:pPr>
              <w:jc w:val="center"/>
              <w:rPr>
                <w:b/>
                <w:bCs/>
                <w:color w:val="000000"/>
              </w:rPr>
            </w:pPr>
            <w:r w:rsidRPr="009C4120">
              <w:rPr>
                <w:b/>
                <w:bCs/>
                <w:color w:val="000000"/>
              </w:rPr>
              <w:t xml:space="preserve">Národní soukromé zdroje v </w:t>
            </w:r>
            <w:proofErr w:type="gramStart"/>
            <w:r w:rsidRPr="009C4120">
              <w:rPr>
                <w:b/>
                <w:bCs/>
                <w:color w:val="000000"/>
              </w:rPr>
              <w:t>EUR</w:t>
            </w:r>
            <w:proofErr w:type="gramEnd"/>
          </w:p>
        </w:tc>
        <w:tc>
          <w:tcPr>
            <w:tcW w:w="519" w:type="pct"/>
            <w:shd w:val="clear" w:color="000000" w:fill="C4D79B"/>
            <w:vAlign w:val="center"/>
            <w:hideMark/>
          </w:tcPr>
          <w:p w:rsidR="009C4120" w:rsidRPr="009C4120" w:rsidRDefault="009C4120" w:rsidP="009C4120">
            <w:pPr>
              <w:jc w:val="center"/>
              <w:rPr>
                <w:b/>
                <w:bCs/>
                <w:color w:val="000000"/>
              </w:rPr>
            </w:pPr>
            <w:r w:rsidRPr="009C4120">
              <w:rPr>
                <w:b/>
                <w:bCs/>
                <w:color w:val="000000"/>
              </w:rPr>
              <w:t xml:space="preserve">Celkové zdroje v </w:t>
            </w:r>
            <w:proofErr w:type="gramStart"/>
            <w:r w:rsidRPr="009C4120">
              <w:rPr>
                <w:b/>
                <w:bCs/>
                <w:color w:val="000000"/>
              </w:rPr>
              <w:t>EUR</w:t>
            </w:r>
            <w:proofErr w:type="gramEnd"/>
          </w:p>
        </w:tc>
        <w:tc>
          <w:tcPr>
            <w:tcW w:w="359" w:type="pct"/>
            <w:shd w:val="clear" w:color="000000" w:fill="C4D79B"/>
            <w:vAlign w:val="center"/>
            <w:hideMark/>
          </w:tcPr>
          <w:p w:rsidR="009C4120" w:rsidRPr="009C4120" w:rsidRDefault="009C4120" w:rsidP="009C4120">
            <w:pPr>
              <w:jc w:val="center"/>
              <w:rPr>
                <w:b/>
                <w:bCs/>
                <w:color w:val="000000"/>
              </w:rPr>
            </w:pPr>
            <w:r w:rsidRPr="009C4120">
              <w:rPr>
                <w:b/>
                <w:bCs/>
                <w:color w:val="000000"/>
              </w:rPr>
              <w:t>Podíl na celkové alokaci OP v %</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1a - Modernizace veřejné správy - Cíl Konvergence</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290 942 083</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51 342 721</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51 342 721</w:t>
            </w:r>
          </w:p>
        </w:tc>
        <w:tc>
          <w:tcPr>
            <w:tcW w:w="392" w:type="pct"/>
            <w:shd w:val="clear" w:color="000000" w:fill="D8E4BC"/>
            <w:vAlign w:val="center"/>
            <w:hideMark/>
          </w:tcPr>
          <w:p w:rsidR="009C4120" w:rsidRPr="009C4120" w:rsidRDefault="009C4120" w:rsidP="00643EFB">
            <w:pPr>
              <w:jc w:val="center"/>
              <w:rPr>
                <w:color w:val="000000"/>
                <w:sz w:val="18"/>
                <w:szCs w:val="18"/>
              </w:rPr>
            </w:pP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342 284 804</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17,99%</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1.1a - Rozvoj informační společnosti ve veřejné správě</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290 942 083</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51 342 721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51 342 721</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342 284 804</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17,99%</w:t>
            </w:r>
          </w:p>
        </w:tc>
      </w:tr>
      <w:tr w:rsidR="009C4120" w:rsidRPr="009C4120" w:rsidTr="00A73384">
        <w:trPr>
          <w:trHeight w:val="510"/>
        </w:trPr>
        <w:tc>
          <w:tcPr>
            <w:tcW w:w="1948" w:type="pct"/>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1b - Modernizace veřejné správy - Cíl Regionální konkurenceschopnost a zaměstnanost</w:t>
            </w:r>
          </w:p>
        </w:tc>
        <w:tc>
          <w:tcPr>
            <w:tcW w:w="319" w:type="pct"/>
            <w:shd w:val="clear" w:color="000000" w:fill="D8E4BC"/>
            <w:vAlign w:val="center"/>
            <w:hideMark/>
          </w:tcPr>
          <w:p w:rsidR="009C4120" w:rsidRPr="009C4120" w:rsidRDefault="009C4120" w:rsidP="005C3B3E">
            <w:pPr>
              <w:rPr>
                <w:b/>
                <w:bCs/>
                <w:color w:val="000000"/>
                <w:sz w:val="18"/>
                <w:szCs w:val="18"/>
              </w:rPr>
            </w:pP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22 380 161</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3 949 441</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3 949 441</w:t>
            </w:r>
          </w:p>
        </w:tc>
        <w:tc>
          <w:tcPr>
            <w:tcW w:w="392" w:type="pct"/>
            <w:shd w:val="clear" w:color="000000" w:fill="D8E4BC"/>
            <w:vAlign w:val="center"/>
            <w:hideMark/>
          </w:tcPr>
          <w:p w:rsidR="009C4120" w:rsidRPr="009C4120" w:rsidRDefault="009C4120" w:rsidP="00643EFB">
            <w:pPr>
              <w:jc w:val="center"/>
              <w:rPr>
                <w:color w:val="000000"/>
                <w:sz w:val="18"/>
                <w:szCs w:val="18"/>
              </w:rPr>
            </w:pP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26 329 602</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1,38%</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1.1b - Rozvoj informační společnosti ve veřejné správě</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22 380 161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3 949 441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3 949 441</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26 329 602</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1,38%</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2 - Zavádění ICT v územní veřejné správě - Cíl Konvergence</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148 510 867</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26 207 801</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26 207 801</w:t>
            </w:r>
          </w:p>
        </w:tc>
        <w:tc>
          <w:tcPr>
            <w:tcW w:w="392" w:type="pct"/>
            <w:shd w:val="clear" w:color="000000" w:fill="D8E4BC"/>
            <w:vAlign w:val="center"/>
            <w:hideMark/>
          </w:tcPr>
          <w:p w:rsidR="009C4120" w:rsidRPr="009C4120" w:rsidRDefault="009C4120" w:rsidP="00643EFB">
            <w:pPr>
              <w:jc w:val="center"/>
              <w:rPr>
                <w:color w:val="000000"/>
                <w:sz w:val="18"/>
                <w:szCs w:val="18"/>
              </w:rPr>
            </w:pP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174 718 668</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9,18%</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2.1 - Zavádění ICT v územní veřejné správě</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148 510 867</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26 207 801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26 207 801</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174 718 668</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9,18%</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3 - Zvýšení kvality a dostupnosti veřejných služeb - Cíl Konvergence</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614 618 060</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108 462 012</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105 334 619</w:t>
            </w:r>
          </w:p>
        </w:tc>
        <w:tc>
          <w:tcPr>
            <w:tcW w:w="39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3 127 393</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723 080 072</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38,00%</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3.1 - Služby v oblasti sociální integrace</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54 643 234</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9 642 924</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8 422 160</w:t>
            </w:r>
          </w:p>
        </w:tc>
        <w:tc>
          <w:tcPr>
            <w:tcW w:w="39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1 220 764</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64 286 158</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3,38%</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3.2 - Služby v oblasti veřejného zdraví</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248 481 706</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43 849 713</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41 943 084</w:t>
            </w:r>
          </w:p>
        </w:tc>
        <w:tc>
          <w:tcPr>
            <w:tcW w:w="39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1 906 629</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292 331 419</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15,36%</w:t>
            </w:r>
          </w:p>
        </w:tc>
      </w:tr>
      <w:tr w:rsidR="009C4120" w:rsidRPr="009C4120" w:rsidTr="00A73384">
        <w:trPr>
          <w:trHeight w:val="300"/>
        </w:trPr>
        <w:tc>
          <w:tcPr>
            <w:tcW w:w="1948" w:type="pct"/>
            <w:shd w:val="clear" w:color="000000" w:fill="FFFFFF"/>
            <w:vAlign w:val="center"/>
            <w:hideMark/>
          </w:tcPr>
          <w:p w:rsidR="009C4120" w:rsidRPr="009C4120" w:rsidRDefault="009C4120" w:rsidP="00570921">
            <w:pPr>
              <w:rPr>
                <w:color w:val="000000"/>
                <w:sz w:val="18"/>
                <w:szCs w:val="18"/>
              </w:rPr>
            </w:pPr>
            <w:r w:rsidRPr="009C4120">
              <w:rPr>
                <w:color w:val="000000"/>
                <w:sz w:val="18"/>
                <w:szCs w:val="18"/>
              </w:rPr>
              <w:t>3.3 - Služby v oblasti zaměstnanosti</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40 206 551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7 095 274</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7 095 274</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47 301 825</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2,49%</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3.4 - Služby v oblasti bezpečnosti, prevence a řešení rizik</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271 286 569</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47 874 101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47 874 101</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319 160 670</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16,77%</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4a - Národní podpora cestovního ruchu - Cíl Konvergence</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60 567 416</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10 688 368</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10 014 023</w:t>
            </w:r>
          </w:p>
        </w:tc>
        <w:tc>
          <w:tcPr>
            <w:tcW w:w="39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674 345</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71 255 784</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3,74%</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4.1a - Národní podpora cestovního ruchu</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60 567 416</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10 688 368</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10 014 023</w:t>
            </w:r>
          </w:p>
        </w:tc>
        <w:tc>
          <w:tcPr>
            <w:tcW w:w="39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674 345</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71 255 784</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3,74%</w:t>
            </w:r>
          </w:p>
        </w:tc>
      </w:tr>
      <w:tr w:rsidR="009C4120" w:rsidRPr="009C4120" w:rsidTr="00A73384">
        <w:trPr>
          <w:trHeight w:val="54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4b - Národní podpora cestovního ruchu - Cíl Regionální konkurenceschopnost a zaměstnanost</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3 100 775</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547 196</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512 672</w:t>
            </w:r>
          </w:p>
        </w:tc>
        <w:tc>
          <w:tcPr>
            <w:tcW w:w="39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34 524</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3 647 971</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0,19%</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4.1b - Národní podpora cestovního ruchu</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3 100 775</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547 196</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512 672</w:t>
            </w:r>
          </w:p>
        </w:tc>
        <w:tc>
          <w:tcPr>
            <w:tcW w:w="39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34 524</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3 647 971</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0,19%</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5 - Národní podpora územního rozvoje - Cíl Konvergence</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442 643 474</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78 113 556</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48 946 987</w:t>
            </w:r>
          </w:p>
        </w:tc>
        <w:tc>
          <w:tcPr>
            <w:tcW w:w="39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29 166 569</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520 757 030</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27,37%</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5.1 - Národní podpora využití potenciálu kulturního dědictví</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213 735 411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37 718 014</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37 718 014</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251 453 425</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13,21%</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5.2 - Zlepšení prostředí v problémových sídlištích</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213 377 956</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37 654 934</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8 488 365</w:t>
            </w:r>
          </w:p>
        </w:tc>
        <w:tc>
          <w:tcPr>
            <w:tcW w:w="39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29 166 569</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251 032 890</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13,19%</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5.3 - Modernizace a rozvoj systémů tvorby územních politik</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15 530 107</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2 740 608</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2 740 608</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18 270 715</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0,96%</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6a - Technická pomoc - Cíl Konvergence</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34 074 787</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6 013 199</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6 013 199</w:t>
            </w:r>
          </w:p>
        </w:tc>
        <w:tc>
          <w:tcPr>
            <w:tcW w:w="392" w:type="pct"/>
            <w:shd w:val="clear" w:color="000000" w:fill="D8E4BC"/>
            <w:vAlign w:val="center"/>
            <w:hideMark/>
          </w:tcPr>
          <w:p w:rsidR="009C4120" w:rsidRPr="009C4120" w:rsidRDefault="009C4120" w:rsidP="00643EFB">
            <w:pPr>
              <w:jc w:val="center"/>
              <w:rPr>
                <w:color w:val="000000"/>
                <w:sz w:val="18"/>
                <w:szCs w:val="18"/>
              </w:rPr>
            </w:pP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40 087 986</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2,11%</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6.1a - Aktivity spojené s řízením IOP</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27 177 687</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4 796 063</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4 796 063</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31 973 750</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1,68%</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6.2a - Ostatní náklady technické pomoci IOP</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6 897 100</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1 217 136</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1 217 136</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8 114 236</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0,43%</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6.6b - Technická pomoc - Cíl Regionální konkurenceschopnost a zaměstnanost</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626 428</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110 548</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110 548</w:t>
            </w:r>
          </w:p>
        </w:tc>
        <w:tc>
          <w:tcPr>
            <w:tcW w:w="392" w:type="pct"/>
            <w:shd w:val="clear" w:color="000000" w:fill="D8E4BC"/>
            <w:vAlign w:val="center"/>
            <w:hideMark/>
          </w:tcPr>
          <w:p w:rsidR="009C4120" w:rsidRPr="009C4120" w:rsidRDefault="009C4120" w:rsidP="00643EFB">
            <w:pPr>
              <w:jc w:val="center"/>
              <w:rPr>
                <w:color w:val="000000"/>
                <w:sz w:val="18"/>
                <w:szCs w:val="18"/>
              </w:rPr>
            </w:pP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736 976</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0,04%</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lastRenderedPageBreak/>
              <w:t>6.1b - Aktivity spojené s řízením IOP</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499 612</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88 167</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88 167</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587 779</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0,03%</w:t>
            </w:r>
          </w:p>
        </w:tc>
      </w:tr>
      <w:tr w:rsidR="009C4120" w:rsidRPr="009C4120" w:rsidTr="00A73384">
        <w:trPr>
          <w:trHeight w:val="300"/>
        </w:trPr>
        <w:tc>
          <w:tcPr>
            <w:tcW w:w="1948"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6.2b - Ostatní náklady technické pomoci IOP</w:t>
            </w:r>
          </w:p>
        </w:tc>
        <w:tc>
          <w:tcPr>
            <w:tcW w:w="319" w:type="pct"/>
            <w:shd w:val="clear" w:color="000000" w:fill="FFFFFF"/>
            <w:vAlign w:val="center"/>
            <w:hideMark/>
          </w:tcPr>
          <w:p w:rsidR="009C4120" w:rsidRPr="009C4120" w:rsidRDefault="009C4120" w:rsidP="005C3B3E">
            <w:pPr>
              <w:rPr>
                <w:color w:val="000000"/>
                <w:sz w:val="18"/>
                <w:szCs w:val="18"/>
              </w:rPr>
            </w:pPr>
            <w:r w:rsidRPr="009C4120">
              <w:rPr>
                <w:color w:val="000000"/>
                <w:sz w:val="18"/>
                <w:szCs w:val="18"/>
              </w:rPr>
              <w:t>ERDF</w:t>
            </w: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126 816</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22 381</w:t>
            </w:r>
          </w:p>
        </w:tc>
        <w:tc>
          <w:tcPr>
            <w:tcW w:w="472"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22 381</w:t>
            </w:r>
          </w:p>
        </w:tc>
        <w:tc>
          <w:tcPr>
            <w:tcW w:w="392" w:type="pct"/>
            <w:shd w:val="clear" w:color="000000" w:fill="FFFFFF"/>
            <w:vAlign w:val="center"/>
            <w:hideMark/>
          </w:tcPr>
          <w:p w:rsidR="009C4120" w:rsidRPr="009C4120" w:rsidRDefault="009C4120" w:rsidP="00643EFB">
            <w:pPr>
              <w:jc w:val="center"/>
              <w:rPr>
                <w:color w:val="000000"/>
                <w:sz w:val="18"/>
                <w:szCs w:val="18"/>
              </w:rPr>
            </w:pPr>
          </w:p>
        </w:tc>
        <w:tc>
          <w:tcPr>
            <w:tcW w:w="51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149 197</w:t>
            </w:r>
          </w:p>
        </w:tc>
        <w:tc>
          <w:tcPr>
            <w:tcW w:w="359" w:type="pct"/>
            <w:shd w:val="clear" w:color="000000" w:fill="FFFFFF"/>
            <w:vAlign w:val="center"/>
            <w:hideMark/>
          </w:tcPr>
          <w:p w:rsidR="009C4120" w:rsidRPr="009C4120" w:rsidRDefault="009C4120" w:rsidP="00643EFB">
            <w:pPr>
              <w:jc w:val="center"/>
              <w:rPr>
                <w:color w:val="000000"/>
                <w:sz w:val="18"/>
                <w:szCs w:val="18"/>
              </w:rPr>
            </w:pPr>
            <w:r w:rsidRPr="009C4120">
              <w:rPr>
                <w:color w:val="000000"/>
                <w:sz w:val="18"/>
                <w:szCs w:val="18"/>
              </w:rPr>
              <w:t>0,01%</w:t>
            </w:r>
          </w:p>
        </w:tc>
      </w:tr>
      <w:tr w:rsidR="009C4120" w:rsidRPr="009C4120" w:rsidTr="00A73384">
        <w:trPr>
          <w:trHeight w:val="300"/>
        </w:trPr>
        <w:tc>
          <w:tcPr>
            <w:tcW w:w="2267" w:type="pct"/>
            <w:gridSpan w:val="2"/>
            <w:shd w:val="clear" w:color="000000" w:fill="D8E4BC"/>
            <w:vAlign w:val="center"/>
            <w:hideMark/>
          </w:tcPr>
          <w:p w:rsidR="009C4120" w:rsidRPr="009C4120" w:rsidRDefault="009C4120" w:rsidP="005C3B3E">
            <w:pPr>
              <w:rPr>
                <w:b/>
                <w:bCs/>
                <w:color w:val="000000"/>
                <w:sz w:val="18"/>
                <w:szCs w:val="18"/>
              </w:rPr>
            </w:pPr>
            <w:r w:rsidRPr="009C4120">
              <w:rPr>
                <w:b/>
                <w:bCs/>
                <w:color w:val="000000"/>
                <w:sz w:val="18"/>
                <w:szCs w:val="18"/>
              </w:rPr>
              <w:t>Celkový součet</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1 617 464 051</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285 434 842</w:t>
            </w:r>
          </w:p>
        </w:tc>
        <w:tc>
          <w:tcPr>
            <w:tcW w:w="47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252 432 011</w:t>
            </w:r>
          </w:p>
        </w:tc>
        <w:tc>
          <w:tcPr>
            <w:tcW w:w="392"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33 002 831</w:t>
            </w:r>
          </w:p>
        </w:tc>
        <w:tc>
          <w:tcPr>
            <w:tcW w:w="51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1 902 898 893</w:t>
            </w:r>
          </w:p>
        </w:tc>
        <w:tc>
          <w:tcPr>
            <w:tcW w:w="359" w:type="pct"/>
            <w:shd w:val="clear" w:color="000000" w:fill="D8E4BC"/>
            <w:vAlign w:val="center"/>
            <w:hideMark/>
          </w:tcPr>
          <w:p w:rsidR="009C4120" w:rsidRPr="009C4120" w:rsidRDefault="009C4120" w:rsidP="00643EFB">
            <w:pPr>
              <w:jc w:val="center"/>
              <w:rPr>
                <w:b/>
                <w:bCs/>
                <w:color w:val="000000"/>
                <w:sz w:val="18"/>
                <w:szCs w:val="18"/>
              </w:rPr>
            </w:pPr>
            <w:r w:rsidRPr="009C4120">
              <w:rPr>
                <w:b/>
                <w:bCs/>
                <w:color w:val="000000"/>
                <w:sz w:val="18"/>
                <w:szCs w:val="18"/>
              </w:rPr>
              <w:t>100,00%</w:t>
            </w:r>
          </w:p>
        </w:tc>
      </w:tr>
    </w:tbl>
    <w:p w:rsidR="00767974" w:rsidRPr="009C4120" w:rsidRDefault="00DC32B4" w:rsidP="00DC32B4">
      <w:pPr>
        <w:rPr>
          <w:bCs/>
          <w:i/>
          <w:sz w:val="18"/>
          <w:szCs w:val="18"/>
        </w:rPr>
        <w:sectPr w:rsidR="00767974" w:rsidRPr="009C4120" w:rsidSect="008B3C0B">
          <w:pgSz w:w="16838" w:h="11906" w:orient="landscape"/>
          <w:pgMar w:top="1417" w:right="1417" w:bottom="1417" w:left="1417" w:header="709" w:footer="709" w:gutter="0"/>
          <w:cols w:space="708"/>
          <w:docGrid w:linePitch="272"/>
        </w:sectPr>
      </w:pPr>
      <w:r w:rsidRPr="009C4120">
        <w:rPr>
          <w:bCs/>
          <w:i/>
          <w:sz w:val="18"/>
          <w:szCs w:val="18"/>
        </w:rPr>
        <w:t xml:space="preserve">Zdroj: </w:t>
      </w:r>
      <w:r w:rsidR="00E84D21" w:rsidRPr="009C4120">
        <w:rPr>
          <w:bCs/>
          <w:i/>
          <w:sz w:val="18"/>
          <w:szCs w:val="18"/>
        </w:rPr>
        <w:t>MSC 20</w:t>
      </w:r>
      <w:r w:rsidR="00AA274A" w:rsidRPr="009C4120">
        <w:rPr>
          <w:bCs/>
          <w:i/>
          <w:sz w:val="18"/>
          <w:szCs w:val="18"/>
        </w:rPr>
        <w:t>0</w:t>
      </w:r>
      <w:r w:rsidR="00E84D21" w:rsidRPr="009C4120">
        <w:rPr>
          <w:bCs/>
          <w:i/>
          <w:sz w:val="18"/>
          <w:szCs w:val="18"/>
        </w:rPr>
        <w:t xml:space="preserve">7 ke dni </w:t>
      </w:r>
      <w:r w:rsidR="00AA274A" w:rsidRPr="009C4120">
        <w:rPr>
          <w:bCs/>
          <w:i/>
          <w:sz w:val="18"/>
          <w:szCs w:val="18"/>
        </w:rPr>
        <w:t>31</w:t>
      </w:r>
      <w:r w:rsidR="00E84D21" w:rsidRPr="009C4120">
        <w:rPr>
          <w:bCs/>
          <w:i/>
          <w:sz w:val="18"/>
          <w:szCs w:val="18"/>
        </w:rPr>
        <w:t>. 1</w:t>
      </w:r>
      <w:r w:rsidR="00AA274A" w:rsidRPr="009C4120">
        <w:rPr>
          <w:bCs/>
          <w:i/>
          <w:sz w:val="18"/>
          <w:szCs w:val="18"/>
        </w:rPr>
        <w:t>2</w:t>
      </w:r>
      <w:r w:rsidR="00E84D21" w:rsidRPr="009C4120">
        <w:rPr>
          <w:bCs/>
          <w:i/>
          <w:sz w:val="18"/>
          <w:szCs w:val="18"/>
        </w:rPr>
        <w:t>.201</w:t>
      </w:r>
      <w:r w:rsidR="00AA274A" w:rsidRPr="009C4120">
        <w:rPr>
          <w:bCs/>
          <w:i/>
          <w:sz w:val="18"/>
          <w:szCs w:val="18"/>
        </w:rPr>
        <w:t>4</w:t>
      </w:r>
      <w:r w:rsidRPr="009C4120">
        <w:rPr>
          <w:bCs/>
          <w:i/>
          <w:sz w:val="18"/>
          <w:szCs w:val="18"/>
        </w:rPr>
        <w:t xml:space="preserve"> </w:t>
      </w:r>
    </w:p>
    <w:p w:rsidR="00A75862" w:rsidRDefault="00A75862" w:rsidP="0041525E">
      <w:pPr>
        <w:rPr>
          <w:b/>
          <w:sz w:val="22"/>
          <w:szCs w:val="22"/>
        </w:rPr>
      </w:pPr>
      <w:r>
        <w:rPr>
          <w:b/>
          <w:sz w:val="22"/>
          <w:szCs w:val="22"/>
        </w:rPr>
        <w:lastRenderedPageBreak/>
        <w:t>Seznam zálohových a průběžných plateb</w:t>
      </w:r>
    </w:p>
    <w:p w:rsidR="00A75862" w:rsidRDefault="00A75862" w:rsidP="00B90C30">
      <w:pPr>
        <w:jc w:val="both"/>
        <w:rPr>
          <w:sz w:val="22"/>
          <w:szCs w:val="22"/>
        </w:rPr>
      </w:pPr>
      <w:r>
        <w:rPr>
          <w:sz w:val="22"/>
          <w:szCs w:val="22"/>
        </w:rPr>
        <w:t xml:space="preserve">PCO obdržel po schválení programu 4 zálohové platby ve výši 142 415 115 EUR, což představuje 9 % celkové alokace IOP. </w:t>
      </w:r>
    </w:p>
    <w:p w:rsidR="00A75862" w:rsidRDefault="00A75862" w:rsidP="00B90C30">
      <w:pPr>
        <w:jc w:val="both"/>
        <w:rPr>
          <w:sz w:val="22"/>
          <w:szCs w:val="22"/>
        </w:rPr>
      </w:pPr>
    </w:p>
    <w:p w:rsidR="007B4116" w:rsidRDefault="00A75862" w:rsidP="00B90C30">
      <w:pPr>
        <w:jc w:val="both"/>
        <w:rPr>
          <w:sz w:val="22"/>
          <w:szCs w:val="22"/>
        </w:rPr>
      </w:pPr>
      <w:r>
        <w:rPr>
          <w:sz w:val="22"/>
          <w:szCs w:val="22"/>
        </w:rPr>
        <w:t xml:space="preserve">EK proplatila do konce roku 2012 8 průběžných plateb v částce 413 540 856 EUR. Sedm průběžných plateb bylo provedeno v období od roku 2009 do roku 2011. ŘO zažádal prostřednictvím PCO EK v prosinci 2011 o osmou průběžnou platbu ve výši 29 563 594 EUR. Tuto průběžnou žádost ŘO v únoru 2012 stáhnul a EK ji neproplatila. 9. průběžná žádost byla předložena v říjnu 2012 po vyřešení problému s chybovostí ve Výroční kontrolní zprávě AO za rok 2010 a proplacena v listopadu 2012. </w:t>
      </w:r>
    </w:p>
    <w:p w:rsidR="00A75862" w:rsidRDefault="00A75862" w:rsidP="0041525E">
      <w:pPr>
        <w:rPr>
          <w:sz w:val="22"/>
          <w:szCs w:val="22"/>
        </w:rPr>
      </w:pPr>
    </w:p>
    <w:p w:rsidR="00243FAA" w:rsidRPr="00EF7642" w:rsidRDefault="00243FAA" w:rsidP="00F95266">
      <w:pPr>
        <w:jc w:val="both"/>
        <w:rPr>
          <w:sz w:val="22"/>
          <w:szCs w:val="22"/>
        </w:rPr>
      </w:pPr>
      <w:r w:rsidRPr="0027462E">
        <w:rPr>
          <w:sz w:val="22"/>
          <w:szCs w:val="22"/>
        </w:rPr>
        <w:t>V prosinci roku 201</w:t>
      </w:r>
      <w:r w:rsidR="006B554C" w:rsidRPr="0027462E">
        <w:rPr>
          <w:sz w:val="22"/>
          <w:szCs w:val="22"/>
        </w:rPr>
        <w:t>4</w:t>
      </w:r>
      <w:r w:rsidRPr="0027462E">
        <w:rPr>
          <w:sz w:val="22"/>
          <w:szCs w:val="22"/>
        </w:rPr>
        <w:t xml:space="preserve"> požádal ŘO prostřednictvím PCO EK o 1</w:t>
      </w:r>
      <w:r w:rsidR="006B554C" w:rsidRPr="0027462E">
        <w:rPr>
          <w:sz w:val="22"/>
          <w:szCs w:val="22"/>
        </w:rPr>
        <w:t>1</w:t>
      </w:r>
      <w:r w:rsidRPr="0027462E">
        <w:rPr>
          <w:sz w:val="22"/>
          <w:szCs w:val="22"/>
        </w:rPr>
        <w:t>.</w:t>
      </w:r>
      <w:r w:rsidR="006B554C" w:rsidRPr="0027462E">
        <w:rPr>
          <w:sz w:val="22"/>
          <w:szCs w:val="22"/>
        </w:rPr>
        <w:t xml:space="preserve"> a 12. průběžnou </w:t>
      </w:r>
      <w:r w:rsidR="0027462E" w:rsidRPr="0027462E">
        <w:rPr>
          <w:sz w:val="22"/>
          <w:szCs w:val="22"/>
        </w:rPr>
        <w:t>platbu v celkové výši 248 569 681</w:t>
      </w:r>
      <w:r w:rsidR="00AE55F8" w:rsidRPr="0027462E">
        <w:rPr>
          <w:sz w:val="22"/>
          <w:szCs w:val="22"/>
        </w:rPr>
        <w:t>EUR</w:t>
      </w:r>
      <w:r w:rsidRPr="0027462E">
        <w:rPr>
          <w:sz w:val="22"/>
          <w:szCs w:val="22"/>
        </w:rPr>
        <w:t xml:space="preserve">. </w:t>
      </w:r>
    </w:p>
    <w:p w:rsidR="00AC60F4" w:rsidRPr="00B90C30" w:rsidRDefault="00AC60F4" w:rsidP="00A92782">
      <w:pPr>
        <w:pStyle w:val="Tabulkanzev"/>
        <w:numPr>
          <w:ilvl w:val="0"/>
          <w:numId w:val="0"/>
        </w:numPr>
        <w:jc w:val="left"/>
      </w:pPr>
    </w:p>
    <w:p w:rsidR="0048393E" w:rsidRDefault="00863436" w:rsidP="00A92782">
      <w:pPr>
        <w:pStyle w:val="Tabulkanzev"/>
      </w:pPr>
      <w:bookmarkStart w:id="27" w:name="_Toc416431800"/>
      <w:r w:rsidRPr="00166B6D">
        <w:t>Přehled obdržených zálohových a průběžných plateb</w:t>
      </w:r>
      <w:r w:rsidR="007408C9" w:rsidRPr="00166B6D">
        <w:t xml:space="preserve"> (v</w:t>
      </w:r>
      <w:r w:rsidR="008158E4" w:rsidRPr="00166B6D">
        <w:t xml:space="preserve"> </w:t>
      </w:r>
      <w:proofErr w:type="gramStart"/>
      <w:r w:rsidR="007408C9" w:rsidRPr="00166B6D">
        <w:t>EUR</w:t>
      </w:r>
      <w:proofErr w:type="gramEnd"/>
      <w:r w:rsidR="007408C9" w:rsidRPr="00166B6D">
        <w:t>)</w:t>
      </w:r>
      <w:bookmarkEnd w:id="27"/>
    </w:p>
    <w:tbl>
      <w:tblPr>
        <w:tblW w:w="9122" w:type="dxa"/>
        <w:tblInd w:w="55" w:type="dxa"/>
        <w:tblBorders>
          <w:top w:val="double" w:sz="6" w:space="0" w:color="4F6228"/>
          <w:left w:val="double" w:sz="6" w:space="0" w:color="76933C"/>
          <w:bottom w:val="double" w:sz="6" w:space="0" w:color="4F6228"/>
          <w:right w:val="double" w:sz="6" w:space="0" w:color="76933C"/>
          <w:insideH w:val="single" w:sz="8" w:space="0" w:color="4F6228"/>
          <w:insideV w:val="single" w:sz="8" w:space="0" w:color="4F6228"/>
        </w:tblBorders>
        <w:tblCellMar>
          <w:left w:w="70" w:type="dxa"/>
          <w:right w:w="70" w:type="dxa"/>
        </w:tblCellMar>
        <w:tblLook w:val="04A0" w:firstRow="1" w:lastRow="0" w:firstColumn="1" w:lastColumn="0" w:noHBand="0" w:noVBand="1"/>
      </w:tblPr>
      <w:tblGrid>
        <w:gridCol w:w="3362"/>
        <w:gridCol w:w="1543"/>
        <w:gridCol w:w="1323"/>
        <w:gridCol w:w="1571"/>
        <w:gridCol w:w="1323"/>
      </w:tblGrid>
      <w:tr w:rsidR="00BB016C" w:rsidRPr="00BB016C" w:rsidTr="00BB016C">
        <w:trPr>
          <w:trHeight w:val="1436"/>
        </w:trPr>
        <w:tc>
          <w:tcPr>
            <w:tcW w:w="3362" w:type="dxa"/>
            <w:shd w:val="clear" w:color="000000" w:fill="C2D69B"/>
            <w:vAlign w:val="center"/>
            <w:hideMark/>
          </w:tcPr>
          <w:p w:rsidR="00BB016C" w:rsidRPr="00BB016C" w:rsidRDefault="00BB016C" w:rsidP="00BB016C">
            <w:pPr>
              <w:jc w:val="center"/>
              <w:rPr>
                <w:b/>
                <w:bCs/>
                <w:color w:val="000000"/>
                <w:sz w:val="18"/>
                <w:szCs w:val="18"/>
              </w:rPr>
            </w:pPr>
            <w:r w:rsidRPr="00BB016C">
              <w:rPr>
                <w:b/>
                <w:bCs/>
                <w:color w:val="000000"/>
                <w:sz w:val="18"/>
                <w:szCs w:val="18"/>
              </w:rPr>
              <w:t>Číslo a datum zálohové/průběžné platby</w:t>
            </w:r>
          </w:p>
        </w:tc>
        <w:tc>
          <w:tcPr>
            <w:tcW w:w="2866" w:type="dxa"/>
            <w:gridSpan w:val="2"/>
            <w:shd w:val="clear" w:color="000000" w:fill="C2D69B"/>
            <w:vAlign w:val="center"/>
            <w:hideMark/>
          </w:tcPr>
          <w:p w:rsidR="00BB016C" w:rsidRPr="00BB016C" w:rsidRDefault="00BB016C" w:rsidP="00BB016C">
            <w:pPr>
              <w:jc w:val="center"/>
              <w:rPr>
                <w:b/>
                <w:bCs/>
                <w:color w:val="000000"/>
                <w:sz w:val="18"/>
                <w:szCs w:val="18"/>
              </w:rPr>
            </w:pPr>
            <w:r w:rsidRPr="00BB016C">
              <w:rPr>
                <w:b/>
                <w:bCs/>
                <w:color w:val="000000"/>
                <w:sz w:val="18"/>
                <w:szCs w:val="18"/>
              </w:rPr>
              <w:t>Zálohové platby obdržené od EK - jednotlivě</w:t>
            </w:r>
          </w:p>
        </w:tc>
        <w:tc>
          <w:tcPr>
            <w:tcW w:w="2893" w:type="dxa"/>
            <w:gridSpan w:val="2"/>
            <w:shd w:val="clear" w:color="000000" w:fill="C2D69B"/>
            <w:vAlign w:val="center"/>
            <w:hideMark/>
          </w:tcPr>
          <w:p w:rsidR="00BB016C" w:rsidRPr="00BB016C" w:rsidRDefault="00BB016C" w:rsidP="00BB016C">
            <w:pPr>
              <w:jc w:val="center"/>
              <w:rPr>
                <w:b/>
                <w:bCs/>
                <w:color w:val="000000"/>
                <w:sz w:val="18"/>
                <w:szCs w:val="18"/>
              </w:rPr>
            </w:pPr>
            <w:r w:rsidRPr="00BB016C">
              <w:rPr>
                <w:b/>
                <w:bCs/>
                <w:color w:val="000000"/>
                <w:sz w:val="18"/>
                <w:szCs w:val="18"/>
              </w:rPr>
              <w:t>Průběžné platby přijaté od EK - jednotlivě</w:t>
            </w:r>
          </w:p>
        </w:tc>
      </w:tr>
      <w:tr w:rsidR="00BB016C" w:rsidRPr="00BB016C" w:rsidTr="00BB016C">
        <w:trPr>
          <w:trHeight w:val="319"/>
        </w:trPr>
        <w:tc>
          <w:tcPr>
            <w:tcW w:w="3362" w:type="dxa"/>
            <w:shd w:val="clear" w:color="000000" w:fill="C2D69B"/>
            <w:vAlign w:val="center"/>
            <w:hideMark/>
          </w:tcPr>
          <w:p w:rsidR="00BB016C" w:rsidRPr="00BB016C" w:rsidRDefault="00BB016C" w:rsidP="00BB016C">
            <w:pPr>
              <w:jc w:val="center"/>
              <w:rPr>
                <w:b/>
                <w:bCs/>
                <w:color w:val="000000"/>
                <w:sz w:val="18"/>
                <w:szCs w:val="18"/>
              </w:rPr>
            </w:pPr>
            <w:r w:rsidRPr="00BB016C">
              <w:rPr>
                <w:b/>
                <w:bCs/>
                <w:color w:val="000000"/>
                <w:sz w:val="18"/>
                <w:szCs w:val="18"/>
              </w:rPr>
              <w:t> </w:t>
            </w:r>
          </w:p>
        </w:tc>
        <w:tc>
          <w:tcPr>
            <w:tcW w:w="1543" w:type="dxa"/>
            <w:shd w:val="clear" w:color="000000" w:fill="C2D69B"/>
            <w:vAlign w:val="center"/>
            <w:hideMark/>
          </w:tcPr>
          <w:p w:rsidR="00BB016C" w:rsidRPr="00BB016C" w:rsidRDefault="00BB016C" w:rsidP="00BB016C">
            <w:pPr>
              <w:jc w:val="center"/>
              <w:rPr>
                <w:b/>
                <w:bCs/>
                <w:color w:val="000000"/>
                <w:sz w:val="18"/>
                <w:szCs w:val="18"/>
              </w:rPr>
            </w:pPr>
            <w:r w:rsidRPr="00BB016C">
              <w:rPr>
                <w:b/>
                <w:bCs/>
                <w:color w:val="000000"/>
                <w:sz w:val="18"/>
                <w:szCs w:val="18"/>
              </w:rPr>
              <w:t>KONV</w:t>
            </w:r>
          </w:p>
        </w:tc>
        <w:tc>
          <w:tcPr>
            <w:tcW w:w="1323" w:type="dxa"/>
            <w:shd w:val="clear" w:color="000000" w:fill="C2D69B"/>
            <w:vAlign w:val="center"/>
            <w:hideMark/>
          </w:tcPr>
          <w:p w:rsidR="00BB016C" w:rsidRPr="00BB016C" w:rsidRDefault="00BB016C" w:rsidP="00BB016C">
            <w:pPr>
              <w:jc w:val="center"/>
              <w:rPr>
                <w:b/>
                <w:bCs/>
                <w:color w:val="000000"/>
                <w:sz w:val="18"/>
                <w:szCs w:val="18"/>
              </w:rPr>
            </w:pPr>
            <w:proofErr w:type="spellStart"/>
            <w:r w:rsidRPr="00BB016C">
              <w:rPr>
                <w:b/>
                <w:bCs/>
                <w:color w:val="000000"/>
                <w:sz w:val="18"/>
                <w:szCs w:val="18"/>
              </w:rPr>
              <w:t>RKaZ</w:t>
            </w:r>
            <w:proofErr w:type="spellEnd"/>
          </w:p>
        </w:tc>
        <w:tc>
          <w:tcPr>
            <w:tcW w:w="1571" w:type="dxa"/>
            <w:shd w:val="clear" w:color="000000" w:fill="C2D69B"/>
            <w:vAlign w:val="center"/>
            <w:hideMark/>
          </w:tcPr>
          <w:p w:rsidR="00BB016C" w:rsidRPr="00BB016C" w:rsidRDefault="00BB016C" w:rsidP="00BB016C">
            <w:pPr>
              <w:jc w:val="center"/>
              <w:rPr>
                <w:b/>
                <w:bCs/>
                <w:color w:val="000000"/>
                <w:sz w:val="18"/>
                <w:szCs w:val="18"/>
              </w:rPr>
            </w:pPr>
            <w:r w:rsidRPr="00BB016C">
              <w:rPr>
                <w:b/>
                <w:bCs/>
                <w:color w:val="000000"/>
                <w:sz w:val="18"/>
                <w:szCs w:val="18"/>
              </w:rPr>
              <w:t>KONV</w:t>
            </w:r>
          </w:p>
        </w:tc>
        <w:tc>
          <w:tcPr>
            <w:tcW w:w="1323" w:type="dxa"/>
            <w:shd w:val="clear" w:color="000000" w:fill="C2D69B"/>
            <w:vAlign w:val="center"/>
            <w:hideMark/>
          </w:tcPr>
          <w:p w:rsidR="00BB016C" w:rsidRPr="00BB016C" w:rsidRDefault="00BB016C" w:rsidP="00BB016C">
            <w:pPr>
              <w:jc w:val="center"/>
              <w:rPr>
                <w:b/>
                <w:bCs/>
                <w:color w:val="000000"/>
                <w:sz w:val="18"/>
                <w:szCs w:val="18"/>
              </w:rPr>
            </w:pPr>
            <w:proofErr w:type="spellStart"/>
            <w:r w:rsidRPr="00BB016C">
              <w:rPr>
                <w:b/>
                <w:bCs/>
                <w:color w:val="000000"/>
                <w:sz w:val="18"/>
                <w:szCs w:val="18"/>
              </w:rPr>
              <w:t>RKaZ</w:t>
            </w:r>
            <w:proofErr w:type="spellEnd"/>
          </w:p>
        </w:tc>
      </w:tr>
      <w:tr w:rsidR="00BB016C" w:rsidRPr="00BB016C" w:rsidTr="00BB016C">
        <w:trPr>
          <w:trHeight w:val="305"/>
        </w:trPr>
        <w:tc>
          <w:tcPr>
            <w:tcW w:w="3362" w:type="dxa"/>
            <w:shd w:val="clear" w:color="000000" w:fill="EAF1DD"/>
            <w:vAlign w:val="center"/>
            <w:hideMark/>
          </w:tcPr>
          <w:p w:rsidR="00BB016C" w:rsidRPr="00BB016C" w:rsidRDefault="00BB016C" w:rsidP="00BB016C">
            <w:pPr>
              <w:rPr>
                <w:color w:val="000000"/>
                <w:sz w:val="18"/>
                <w:szCs w:val="18"/>
              </w:rPr>
            </w:pPr>
            <w:r w:rsidRPr="00BB016C">
              <w:rPr>
                <w:color w:val="000000"/>
                <w:sz w:val="18"/>
                <w:szCs w:val="18"/>
              </w:rPr>
              <w:t>1. zálohová platba 23. 1. 2008</w:t>
            </w:r>
          </w:p>
        </w:tc>
        <w:tc>
          <w:tcPr>
            <w:tcW w:w="154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31 060 213</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587 590</w:t>
            </w:r>
          </w:p>
        </w:tc>
        <w:tc>
          <w:tcPr>
            <w:tcW w:w="1571"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r>
      <w:tr w:rsidR="00BB016C" w:rsidRPr="00BB016C" w:rsidTr="00BB016C">
        <w:trPr>
          <w:trHeight w:val="305"/>
        </w:trPr>
        <w:tc>
          <w:tcPr>
            <w:tcW w:w="3362" w:type="dxa"/>
            <w:shd w:val="clear" w:color="000000" w:fill="EAF1DD"/>
            <w:vAlign w:val="center"/>
            <w:hideMark/>
          </w:tcPr>
          <w:p w:rsidR="00BB016C" w:rsidRPr="00BB016C" w:rsidRDefault="00BB016C" w:rsidP="00BB016C">
            <w:pPr>
              <w:rPr>
                <w:color w:val="000000"/>
                <w:sz w:val="18"/>
                <w:szCs w:val="18"/>
              </w:rPr>
            </w:pPr>
            <w:r w:rsidRPr="00BB016C">
              <w:rPr>
                <w:color w:val="000000"/>
                <w:sz w:val="18"/>
                <w:szCs w:val="18"/>
              </w:rPr>
              <w:t>2. zálohová platba 1. 4. 2008</w:t>
            </w:r>
          </w:p>
        </w:tc>
        <w:tc>
          <w:tcPr>
            <w:tcW w:w="154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46 590 320</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881 385</w:t>
            </w:r>
          </w:p>
        </w:tc>
        <w:tc>
          <w:tcPr>
            <w:tcW w:w="1571"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r>
      <w:tr w:rsidR="00BB016C" w:rsidRPr="00BB016C" w:rsidTr="00BB016C">
        <w:trPr>
          <w:trHeight w:val="305"/>
        </w:trPr>
        <w:tc>
          <w:tcPr>
            <w:tcW w:w="3362" w:type="dxa"/>
            <w:shd w:val="clear" w:color="000000" w:fill="EAF1DD"/>
            <w:vAlign w:val="center"/>
            <w:hideMark/>
          </w:tcPr>
          <w:p w:rsidR="00BB016C" w:rsidRPr="00BB016C" w:rsidRDefault="00BB016C" w:rsidP="00BB016C">
            <w:pPr>
              <w:rPr>
                <w:color w:val="000000"/>
                <w:sz w:val="18"/>
                <w:szCs w:val="18"/>
              </w:rPr>
            </w:pPr>
            <w:r w:rsidRPr="00BB016C">
              <w:rPr>
                <w:color w:val="000000"/>
                <w:sz w:val="18"/>
                <w:szCs w:val="18"/>
              </w:rPr>
              <w:t>3. zálohová platba 5. 2. 2009</w:t>
            </w:r>
          </w:p>
        </w:tc>
        <w:tc>
          <w:tcPr>
            <w:tcW w:w="154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31 060 213</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587 590</w:t>
            </w:r>
          </w:p>
        </w:tc>
        <w:tc>
          <w:tcPr>
            <w:tcW w:w="1571"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r>
      <w:tr w:rsidR="00BB016C" w:rsidRPr="00BB016C" w:rsidTr="00BB016C">
        <w:trPr>
          <w:trHeight w:val="305"/>
        </w:trPr>
        <w:tc>
          <w:tcPr>
            <w:tcW w:w="3362" w:type="dxa"/>
            <w:shd w:val="clear" w:color="000000" w:fill="EAF1DD"/>
            <w:vAlign w:val="center"/>
            <w:hideMark/>
          </w:tcPr>
          <w:p w:rsidR="00BB016C" w:rsidRPr="00BB016C" w:rsidRDefault="00BB016C" w:rsidP="00BB016C">
            <w:pPr>
              <w:rPr>
                <w:color w:val="000000"/>
                <w:sz w:val="18"/>
                <w:szCs w:val="18"/>
              </w:rPr>
            </w:pPr>
            <w:r w:rsidRPr="00BB016C">
              <w:rPr>
                <w:color w:val="000000"/>
                <w:sz w:val="18"/>
                <w:szCs w:val="18"/>
              </w:rPr>
              <w:t>4. zálohová platba 20. 4. 2009</w:t>
            </w:r>
          </w:p>
        </w:tc>
        <w:tc>
          <w:tcPr>
            <w:tcW w:w="154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31 060 213</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587 590</w:t>
            </w:r>
          </w:p>
        </w:tc>
        <w:tc>
          <w:tcPr>
            <w:tcW w:w="1571"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1. průběžná platba 16. 12. 2009</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5 008 671</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3 569</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2. průběžná platba 27. 5. 2010</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18 395 859</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40 343</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3. průběžná platba 30. 8. 2010</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21 911 277</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62 328</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4. průběžná platba 28. 12. 2010</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40 318 211</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748 314</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5. průběžná platba 4. 5. 2011</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33 623 868</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288 784</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6. průběžná platba 29. 8. 2011</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40 952 914</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276 952</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7. průběžná platba 24. 11. 2011</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58 609 916</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1 572 239</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9. průběžná platba 12. 11. 2012</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187 337 383</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4 390 225</w:t>
            </w:r>
          </w:p>
        </w:tc>
      </w:tr>
      <w:tr w:rsidR="00BB016C" w:rsidRPr="00BB016C" w:rsidTr="00BB016C">
        <w:trPr>
          <w:trHeight w:val="305"/>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10. průběžná platba 20. 12. 2013</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393 274 551</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7 045 526</w:t>
            </w:r>
          </w:p>
        </w:tc>
      </w:tr>
      <w:tr w:rsidR="00BB016C" w:rsidRPr="00BB016C" w:rsidTr="00BB016C">
        <w:trPr>
          <w:trHeight w:val="288"/>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12. průběžná platba 17. 12. 2014</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102 546 727</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1 216 665</w:t>
            </w:r>
          </w:p>
        </w:tc>
      </w:tr>
      <w:tr w:rsidR="00BB016C" w:rsidRPr="00BB016C" w:rsidTr="00BB016C">
        <w:trPr>
          <w:trHeight w:val="250"/>
        </w:trPr>
        <w:tc>
          <w:tcPr>
            <w:tcW w:w="3362" w:type="dxa"/>
            <w:shd w:val="clear" w:color="000000" w:fill="D6E3BC"/>
            <w:vAlign w:val="center"/>
            <w:hideMark/>
          </w:tcPr>
          <w:p w:rsidR="00BB016C" w:rsidRPr="00BB016C" w:rsidRDefault="00BB016C" w:rsidP="00BB016C">
            <w:pPr>
              <w:rPr>
                <w:color w:val="000000"/>
                <w:sz w:val="18"/>
                <w:szCs w:val="18"/>
              </w:rPr>
            </w:pPr>
            <w:r w:rsidRPr="00BB016C">
              <w:rPr>
                <w:color w:val="000000"/>
                <w:sz w:val="18"/>
                <w:szCs w:val="18"/>
              </w:rPr>
              <w:t>13. průběžná platba 23. 12. 2014</w:t>
            </w:r>
          </w:p>
        </w:tc>
        <w:tc>
          <w:tcPr>
            <w:tcW w:w="154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323" w:type="dxa"/>
            <w:shd w:val="clear" w:color="auto" w:fill="auto"/>
            <w:noWrap/>
            <w:vAlign w:val="center"/>
            <w:hideMark/>
          </w:tcPr>
          <w:p w:rsidR="00BB016C" w:rsidRPr="00BB016C" w:rsidRDefault="00BB016C" w:rsidP="00BB016C">
            <w:pPr>
              <w:rPr>
                <w:color w:val="000000"/>
                <w:sz w:val="18"/>
                <w:szCs w:val="18"/>
              </w:rPr>
            </w:pPr>
            <w:r w:rsidRPr="00BB016C">
              <w:rPr>
                <w:color w:val="000000"/>
                <w:sz w:val="18"/>
                <w:szCs w:val="18"/>
              </w:rPr>
              <w:t> </w:t>
            </w:r>
          </w:p>
        </w:tc>
        <w:tc>
          <w:tcPr>
            <w:tcW w:w="1571"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142 689 308</w:t>
            </w:r>
          </w:p>
        </w:tc>
        <w:tc>
          <w:tcPr>
            <w:tcW w:w="1323" w:type="dxa"/>
            <w:shd w:val="clear" w:color="auto" w:fill="auto"/>
            <w:noWrap/>
            <w:vAlign w:val="center"/>
            <w:hideMark/>
          </w:tcPr>
          <w:p w:rsidR="00BB016C" w:rsidRPr="00BB016C" w:rsidRDefault="00BB016C" w:rsidP="00BB016C">
            <w:pPr>
              <w:jc w:val="right"/>
              <w:rPr>
                <w:color w:val="000000"/>
                <w:sz w:val="18"/>
                <w:szCs w:val="18"/>
              </w:rPr>
            </w:pPr>
            <w:r w:rsidRPr="00BB016C">
              <w:rPr>
                <w:color w:val="000000"/>
                <w:sz w:val="18"/>
                <w:szCs w:val="18"/>
              </w:rPr>
              <w:t>2 116 986</w:t>
            </w:r>
          </w:p>
        </w:tc>
      </w:tr>
      <w:tr w:rsidR="00BB016C" w:rsidRPr="00BB016C" w:rsidTr="00BB016C">
        <w:trPr>
          <w:trHeight w:val="305"/>
        </w:trPr>
        <w:tc>
          <w:tcPr>
            <w:tcW w:w="3362" w:type="dxa"/>
            <w:shd w:val="clear" w:color="000000" w:fill="C2D69B"/>
            <w:vAlign w:val="center"/>
            <w:hideMark/>
          </w:tcPr>
          <w:p w:rsidR="00BB016C" w:rsidRPr="00BB016C" w:rsidRDefault="00BB016C" w:rsidP="00BB016C">
            <w:pPr>
              <w:rPr>
                <w:b/>
                <w:bCs/>
                <w:color w:val="000000"/>
                <w:sz w:val="18"/>
                <w:szCs w:val="18"/>
              </w:rPr>
            </w:pPr>
            <w:r w:rsidRPr="00BB016C">
              <w:rPr>
                <w:b/>
                <w:bCs/>
                <w:color w:val="000000"/>
                <w:sz w:val="18"/>
                <w:szCs w:val="18"/>
              </w:rPr>
              <w:t xml:space="preserve">Celkem </w:t>
            </w:r>
          </w:p>
        </w:tc>
        <w:tc>
          <w:tcPr>
            <w:tcW w:w="1543" w:type="dxa"/>
            <w:shd w:val="clear" w:color="000000" w:fill="C2D69B"/>
            <w:noWrap/>
            <w:vAlign w:val="center"/>
            <w:hideMark/>
          </w:tcPr>
          <w:p w:rsidR="00BB016C" w:rsidRPr="00BB016C" w:rsidRDefault="00BB016C" w:rsidP="00BB016C">
            <w:pPr>
              <w:jc w:val="right"/>
              <w:rPr>
                <w:b/>
                <w:bCs/>
                <w:color w:val="000000"/>
                <w:sz w:val="18"/>
                <w:szCs w:val="18"/>
              </w:rPr>
            </w:pPr>
            <w:r w:rsidRPr="00BB016C">
              <w:rPr>
                <w:b/>
                <w:bCs/>
                <w:color w:val="000000"/>
                <w:sz w:val="18"/>
                <w:szCs w:val="18"/>
              </w:rPr>
              <w:t>139 770 960</w:t>
            </w:r>
          </w:p>
        </w:tc>
        <w:tc>
          <w:tcPr>
            <w:tcW w:w="1323" w:type="dxa"/>
            <w:shd w:val="clear" w:color="000000" w:fill="C2D69B"/>
            <w:noWrap/>
            <w:vAlign w:val="center"/>
            <w:hideMark/>
          </w:tcPr>
          <w:p w:rsidR="00BB016C" w:rsidRPr="00BB016C" w:rsidRDefault="00BB016C" w:rsidP="00BB016C">
            <w:pPr>
              <w:jc w:val="right"/>
              <w:rPr>
                <w:b/>
                <w:bCs/>
                <w:color w:val="000000"/>
                <w:sz w:val="18"/>
                <w:szCs w:val="18"/>
              </w:rPr>
            </w:pPr>
            <w:r w:rsidRPr="00BB016C">
              <w:rPr>
                <w:b/>
                <w:bCs/>
                <w:color w:val="000000"/>
                <w:sz w:val="18"/>
                <w:szCs w:val="18"/>
              </w:rPr>
              <w:t>2 644 155</w:t>
            </w:r>
          </w:p>
        </w:tc>
        <w:tc>
          <w:tcPr>
            <w:tcW w:w="1571" w:type="dxa"/>
            <w:shd w:val="clear" w:color="000000" w:fill="C2D69B"/>
            <w:noWrap/>
            <w:vAlign w:val="center"/>
            <w:hideMark/>
          </w:tcPr>
          <w:p w:rsidR="00BB016C" w:rsidRPr="00BB016C" w:rsidRDefault="00BB016C" w:rsidP="00BB016C">
            <w:pPr>
              <w:jc w:val="right"/>
              <w:rPr>
                <w:b/>
                <w:bCs/>
                <w:color w:val="000000"/>
                <w:sz w:val="18"/>
                <w:szCs w:val="18"/>
              </w:rPr>
            </w:pPr>
            <w:r w:rsidRPr="00BB016C">
              <w:rPr>
                <w:b/>
                <w:bCs/>
                <w:color w:val="000000"/>
                <w:sz w:val="18"/>
                <w:szCs w:val="18"/>
              </w:rPr>
              <w:t>1 044 668 687</w:t>
            </w:r>
          </w:p>
        </w:tc>
        <w:tc>
          <w:tcPr>
            <w:tcW w:w="1323" w:type="dxa"/>
            <w:shd w:val="clear" w:color="000000" w:fill="C2D69B"/>
            <w:noWrap/>
            <w:vAlign w:val="center"/>
            <w:hideMark/>
          </w:tcPr>
          <w:p w:rsidR="00BB016C" w:rsidRPr="00BB016C" w:rsidRDefault="00BB016C" w:rsidP="00BB016C">
            <w:pPr>
              <w:jc w:val="right"/>
              <w:rPr>
                <w:b/>
                <w:bCs/>
                <w:color w:val="000000"/>
                <w:sz w:val="18"/>
                <w:szCs w:val="18"/>
              </w:rPr>
            </w:pPr>
            <w:r w:rsidRPr="00BB016C">
              <w:rPr>
                <w:b/>
                <w:bCs/>
                <w:color w:val="000000"/>
                <w:sz w:val="18"/>
                <w:szCs w:val="18"/>
              </w:rPr>
              <w:t>17 761 932</w:t>
            </w:r>
          </w:p>
        </w:tc>
      </w:tr>
    </w:tbl>
    <w:p w:rsidR="00A75862" w:rsidRDefault="0048393E" w:rsidP="0041525E">
      <w:pPr>
        <w:rPr>
          <w:bCs/>
          <w:i/>
          <w:iCs/>
          <w:sz w:val="18"/>
          <w:szCs w:val="18"/>
        </w:rPr>
      </w:pPr>
      <w:r w:rsidRPr="00F95266">
        <w:rPr>
          <w:bCs/>
          <w:i/>
          <w:iCs/>
          <w:sz w:val="18"/>
          <w:szCs w:val="18"/>
        </w:rPr>
        <w:t xml:space="preserve">Zdroj: MSC 2007 ke dni </w:t>
      </w:r>
      <w:r w:rsidR="008922F5" w:rsidRPr="00F95266">
        <w:rPr>
          <w:bCs/>
          <w:i/>
          <w:iCs/>
          <w:sz w:val="18"/>
          <w:szCs w:val="18"/>
        </w:rPr>
        <w:t>31. 12. 2014</w:t>
      </w:r>
    </w:p>
    <w:p w:rsidR="00AD03BF" w:rsidRPr="00AD03BF" w:rsidRDefault="00BC3827" w:rsidP="00AD03BF">
      <w:pPr>
        <w:rPr>
          <w:color w:val="000000"/>
          <w:sz w:val="18"/>
          <w:szCs w:val="18"/>
        </w:rPr>
      </w:pPr>
      <w:r>
        <w:rPr>
          <w:color w:val="000000"/>
          <w:sz w:val="18"/>
          <w:szCs w:val="18"/>
        </w:rPr>
        <w:t>*</w:t>
      </w:r>
      <w:r w:rsidR="00166B6D" w:rsidRPr="00166B6D">
        <w:rPr>
          <w:color w:val="000000"/>
          <w:sz w:val="18"/>
          <w:szCs w:val="18"/>
        </w:rPr>
        <w:t xml:space="preserve">V prosinci 2011 byla předložena 8. průběžná žádost o platbu ve výši 28 120 764,12 EUR pro cíl KONV a 1 442 828,55 EUR pro cíl </w:t>
      </w:r>
      <w:proofErr w:type="spellStart"/>
      <w:r w:rsidR="00166B6D" w:rsidRPr="00166B6D">
        <w:rPr>
          <w:color w:val="000000"/>
          <w:sz w:val="18"/>
          <w:szCs w:val="18"/>
        </w:rPr>
        <w:t>RKaZ</w:t>
      </w:r>
      <w:proofErr w:type="spellEnd"/>
      <w:r w:rsidR="00166B6D" w:rsidRPr="00166B6D">
        <w:rPr>
          <w:color w:val="000000"/>
          <w:sz w:val="18"/>
          <w:szCs w:val="18"/>
        </w:rPr>
        <w:t>, která byla v únoru 2012 stažena.</w:t>
      </w:r>
      <w:r w:rsidR="00AD03BF">
        <w:rPr>
          <w:color w:val="000000"/>
          <w:sz w:val="18"/>
          <w:szCs w:val="18"/>
        </w:rPr>
        <w:t xml:space="preserve"> </w:t>
      </w:r>
      <w:r w:rsidR="00BB016C" w:rsidRPr="00BB016C">
        <w:rPr>
          <w:color w:val="000000"/>
          <w:sz w:val="18"/>
          <w:szCs w:val="18"/>
        </w:rPr>
        <w:t xml:space="preserve">V září 2014 byla předložena 11. průběžná žádost o platbu ve výši </w:t>
      </w:r>
      <w:r w:rsidR="00A94D56">
        <w:rPr>
          <w:color w:val="000000"/>
          <w:sz w:val="18"/>
          <w:szCs w:val="18"/>
        </w:rPr>
        <w:br/>
      </w:r>
      <w:r w:rsidR="00BB016C" w:rsidRPr="00BB016C">
        <w:rPr>
          <w:color w:val="000000"/>
          <w:sz w:val="18"/>
          <w:szCs w:val="18"/>
        </w:rPr>
        <w:t xml:space="preserve">42 823 100,63 EUR pro cíl KONV a 280 547,3 pro cíl </w:t>
      </w:r>
      <w:proofErr w:type="spellStart"/>
      <w:r w:rsidR="00BB016C" w:rsidRPr="00BB016C">
        <w:rPr>
          <w:color w:val="000000"/>
          <w:sz w:val="18"/>
          <w:szCs w:val="18"/>
        </w:rPr>
        <w:t>RKaZ</w:t>
      </w:r>
      <w:proofErr w:type="spellEnd"/>
      <w:r w:rsidR="00BB016C" w:rsidRPr="00BB016C">
        <w:rPr>
          <w:color w:val="000000"/>
          <w:sz w:val="18"/>
          <w:szCs w:val="18"/>
        </w:rPr>
        <w:t>, která byla stažena.</w:t>
      </w:r>
    </w:p>
    <w:p w:rsidR="00AD03BF" w:rsidRPr="00BC3827" w:rsidRDefault="00AD03BF" w:rsidP="00166B6D">
      <w:pPr>
        <w:rPr>
          <w:color w:val="000000"/>
          <w:sz w:val="18"/>
          <w:szCs w:val="18"/>
        </w:rPr>
      </w:pPr>
    </w:p>
    <w:p w:rsidR="00166B6D" w:rsidRPr="00BC3827" w:rsidRDefault="00166B6D" w:rsidP="00166B6D">
      <w:pPr>
        <w:rPr>
          <w:color w:val="000000"/>
          <w:sz w:val="18"/>
          <w:szCs w:val="18"/>
        </w:rPr>
      </w:pPr>
    </w:p>
    <w:p w:rsidR="00166B6D" w:rsidRDefault="00166B6D" w:rsidP="0041525E">
      <w:pPr>
        <w:rPr>
          <w:b/>
          <w:sz w:val="22"/>
          <w:szCs w:val="22"/>
        </w:rPr>
      </w:pPr>
    </w:p>
    <w:p w:rsidR="007350B4" w:rsidRDefault="007350B4" w:rsidP="0041525E">
      <w:pPr>
        <w:rPr>
          <w:b/>
          <w:sz w:val="22"/>
          <w:szCs w:val="22"/>
        </w:rPr>
      </w:pPr>
    </w:p>
    <w:p w:rsidR="006D1A83" w:rsidRDefault="006D1A83" w:rsidP="0041525E">
      <w:pPr>
        <w:rPr>
          <w:b/>
          <w:sz w:val="22"/>
          <w:szCs w:val="22"/>
        </w:rPr>
      </w:pPr>
    </w:p>
    <w:p w:rsidR="006D1A83" w:rsidRDefault="006D1A83" w:rsidP="0041525E">
      <w:pPr>
        <w:rPr>
          <w:b/>
          <w:sz w:val="22"/>
          <w:szCs w:val="22"/>
        </w:rPr>
      </w:pPr>
    </w:p>
    <w:p w:rsidR="00BC3827" w:rsidRDefault="00BC3827" w:rsidP="0041525E">
      <w:pPr>
        <w:rPr>
          <w:b/>
          <w:sz w:val="22"/>
          <w:szCs w:val="22"/>
        </w:rPr>
      </w:pPr>
    </w:p>
    <w:p w:rsidR="00961FCB" w:rsidRDefault="00961FCB" w:rsidP="0041525E">
      <w:pPr>
        <w:rPr>
          <w:b/>
          <w:sz w:val="22"/>
          <w:szCs w:val="22"/>
        </w:rPr>
      </w:pPr>
    </w:p>
    <w:p w:rsidR="00961FCB" w:rsidRDefault="00961FCB" w:rsidP="0041525E">
      <w:pPr>
        <w:rPr>
          <w:b/>
          <w:sz w:val="22"/>
          <w:szCs w:val="22"/>
        </w:rPr>
      </w:pPr>
    </w:p>
    <w:p w:rsidR="000320D6" w:rsidRDefault="000320D6" w:rsidP="0041525E">
      <w:pPr>
        <w:rPr>
          <w:b/>
          <w:sz w:val="22"/>
          <w:szCs w:val="22"/>
        </w:rPr>
        <w:sectPr w:rsidR="000320D6" w:rsidSect="003F08D8">
          <w:pgSz w:w="11906" w:h="16838"/>
          <w:pgMar w:top="1417" w:right="1417" w:bottom="1417" w:left="1417" w:header="708" w:footer="708" w:gutter="0"/>
          <w:cols w:space="708"/>
          <w:docGrid w:linePitch="272"/>
        </w:sectPr>
      </w:pPr>
    </w:p>
    <w:p w:rsidR="00A75862" w:rsidRDefault="00A75862" w:rsidP="0041525E">
      <w:pPr>
        <w:rPr>
          <w:b/>
          <w:sz w:val="22"/>
          <w:szCs w:val="22"/>
        </w:rPr>
      </w:pPr>
      <w:r w:rsidRPr="001B1DDE">
        <w:rPr>
          <w:b/>
          <w:sz w:val="22"/>
          <w:szCs w:val="22"/>
        </w:rPr>
        <w:lastRenderedPageBreak/>
        <w:t>Naplňování pravidla n+2</w:t>
      </w:r>
    </w:p>
    <w:p w:rsidR="00FE7158" w:rsidRDefault="008765D9" w:rsidP="008765D9">
      <w:pPr>
        <w:jc w:val="both"/>
        <w:rPr>
          <w:sz w:val="22"/>
          <w:szCs w:val="22"/>
        </w:rPr>
      </w:pPr>
      <w:r>
        <w:rPr>
          <w:sz w:val="22"/>
          <w:szCs w:val="22"/>
        </w:rPr>
        <w:t xml:space="preserve">ŘO IOP sleduje průběh čerpání prostředků ze SF po jednotlivých fázích administrace projektových žádostí a výši čerpání porovnává s limitem  daného roku. </w:t>
      </w:r>
      <w:r w:rsidR="005B7B7E">
        <w:rPr>
          <w:sz w:val="22"/>
          <w:szCs w:val="22"/>
        </w:rPr>
        <w:t xml:space="preserve">Naplňování pravidla n+3/n+2 je sledováno za každý cíl zvlášť, tzn. jak pro cíl Konvergence, tak i pro cíl Regionální konkurenceschopnost a zaměstnanost. </w:t>
      </w:r>
      <w:r>
        <w:rPr>
          <w:sz w:val="22"/>
          <w:szCs w:val="22"/>
        </w:rPr>
        <w:t>Rozhodným okamžikem pro naplnění pravidla n+2 je stav, kdy objem průběžných, příp. zálohových plateb, pro každý cíl zvlášť</w:t>
      </w:r>
      <w:r w:rsidRPr="00F94156">
        <w:rPr>
          <w:sz w:val="22"/>
          <w:szCs w:val="22"/>
        </w:rPr>
        <w:t xml:space="preserve"> </w:t>
      </w:r>
      <w:r>
        <w:rPr>
          <w:sz w:val="22"/>
          <w:szCs w:val="22"/>
        </w:rPr>
        <w:t>se rovná nebo je vyšší než limit daného roku.</w:t>
      </w:r>
    </w:p>
    <w:p w:rsidR="00FE7158" w:rsidRDefault="00FE7158" w:rsidP="008765D9">
      <w:pPr>
        <w:jc w:val="both"/>
        <w:rPr>
          <w:sz w:val="22"/>
          <w:szCs w:val="22"/>
        </w:rPr>
      </w:pPr>
    </w:p>
    <w:p w:rsidR="009C1998" w:rsidRPr="00F15090" w:rsidRDefault="008765D9" w:rsidP="00F15090">
      <w:pPr>
        <w:spacing w:after="120"/>
        <w:jc w:val="both"/>
        <w:rPr>
          <w:sz w:val="22"/>
        </w:rPr>
      </w:pPr>
      <w:r>
        <w:rPr>
          <w:sz w:val="22"/>
        </w:rPr>
        <w:t>V roce 2014 bylo</w:t>
      </w:r>
      <w:r w:rsidRPr="00EB3A88">
        <w:rPr>
          <w:sz w:val="22"/>
        </w:rPr>
        <w:t xml:space="preserve"> nutné certifikovat výdaje v objemu přibližně 251 mil. EUR.</w:t>
      </w:r>
      <w:r>
        <w:rPr>
          <w:sz w:val="22"/>
        </w:rPr>
        <w:t xml:space="preserve"> </w:t>
      </w:r>
      <w:r w:rsidRPr="00EB3A88">
        <w:rPr>
          <w:sz w:val="22"/>
        </w:rPr>
        <w:t>Podle predikcí čerpání ze srpna 2014 ŘO IOP předpoklád</w:t>
      </w:r>
      <w:r>
        <w:rPr>
          <w:sz w:val="22"/>
        </w:rPr>
        <w:t>al</w:t>
      </w:r>
      <w:r w:rsidRPr="00EB3A88">
        <w:rPr>
          <w:sz w:val="22"/>
        </w:rPr>
        <w:t>, že se podaří certifikovat v</w:t>
      </w:r>
      <w:r>
        <w:rPr>
          <w:sz w:val="22"/>
        </w:rPr>
        <w:t>ýdaje v objemu 187,35 mil. EUR a za rok 2014 tak hrozila</w:t>
      </w:r>
      <w:r w:rsidRPr="00EB3A88">
        <w:rPr>
          <w:sz w:val="22"/>
        </w:rPr>
        <w:t xml:space="preserve"> ztráta alokace ve výši 72,5</w:t>
      </w:r>
      <w:r>
        <w:rPr>
          <w:sz w:val="22"/>
        </w:rPr>
        <w:t xml:space="preserve"> mil. EUR.</w:t>
      </w:r>
      <w:r w:rsidRPr="00EB3A88">
        <w:rPr>
          <w:sz w:val="22"/>
        </w:rPr>
        <w:t xml:space="preserve"> </w:t>
      </w:r>
      <w:r>
        <w:rPr>
          <w:sz w:val="22"/>
        </w:rPr>
        <w:t>ŘO IOP přijal řadu opatření, především etapizaci projektů, které</w:t>
      </w:r>
      <w:r w:rsidRPr="00143CD9">
        <w:rPr>
          <w:sz w:val="22"/>
        </w:rPr>
        <w:t xml:space="preserve"> výrazným způsobem minimalizova</w:t>
      </w:r>
      <w:r>
        <w:rPr>
          <w:sz w:val="22"/>
        </w:rPr>
        <w:t>ly</w:t>
      </w:r>
      <w:r w:rsidRPr="00143CD9">
        <w:rPr>
          <w:sz w:val="22"/>
        </w:rPr>
        <w:t xml:space="preserve"> ztrátu alokace. Konečným výsledkem za rok 2014 je ztráta</w:t>
      </w:r>
      <w:r>
        <w:rPr>
          <w:sz w:val="22"/>
        </w:rPr>
        <w:t xml:space="preserve"> alokace ve výši</w:t>
      </w:r>
      <w:r w:rsidRPr="00143CD9">
        <w:rPr>
          <w:sz w:val="22"/>
        </w:rPr>
        <w:t xml:space="preserve"> </w:t>
      </w:r>
      <w:r>
        <w:rPr>
          <w:sz w:val="22"/>
        </w:rPr>
        <w:t>2,3</w:t>
      </w:r>
      <w:r w:rsidRPr="00143CD9">
        <w:rPr>
          <w:sz w:val="22"/>
        </w:rPr>
        <w:t xml:space="preserve"> mil. </w:t>
      </w:r>
      <w:r>
        <w:rPr>
          <w:sz w:val="22"/>
        </w:rPr>
        <w:t>EUR</w:t>
      </w:r>
      <w:r w:rsidR="0077764C">
        <w:rPr>
          <w:sz w:val="22"/>
        </w:rPr>
        <w:t>, která vznikla v cíli Regionální konk</w:t>
      </w:r>
      <w:r w:rsidR="00D42E66">
        <w:rPr>
          <w:sz w:val="22"/>
        </w:rPr>
        <w:t>urenceschopnost a zaměstnanost. V cíli Konvergence došlo k naplnění limitu čerpání pro rok 2014 a tím i ke splnění pravidla n+2.</w:t>
      </w:r>
    </w:p>
    <w:p w:rsidR="003631C5" w:rsidRDefault="0013360F" w:rsidP="00A92782">
      <w:pPr>
        <w:pStyle w:val="Tabulkanzev"/>
      </w:pPr>
      <w:r>
        <w:t xml:space="preserve"> </w:t>
      </w:r>
      <w:bookmarkStart w:id="28" w:name="_Toc416431801"/>
      <w:r w:rsidR="00A75862" w:rsidRPr="0021735D">
        <w:t>Přehled naplňování pravidla n+3/n+2 pro cíl KONV</w:t>
      </w:r>
      <w:r w:rsidR="007408C9" w:rsidRPr="0021735D">
        <w:t xml:space="preserve"> (v </w:t>
      </w:r>
      <w:proofErr w:type="gramStart"/>
      <w:r w:rsidR="007408C9" w:rsidRPr="0021735D">
        <w:t>EUR</w:t>
      </w:r>
      <w:proofErr w:type="gramEnd"/>
      <w:r w:rsidR="007408C9" w:rsidRPr="0021735D">
        <w:t>)</w:t>
      </w:r>
      <w:bookmarkEnd w:id="28"/>
    </w:p>
    <w:tbl>
      <w:tblPr>
        <w:tblW w:w="13677"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6"/>
        <w:gridCol w:w="1360"/>
        <w:gridCol w:w="1360"/>
        <w:gridCol w:w="1433"/>
        <w:gridCol w:w="1482"/>
        <w:gridCol w:w="1506"/>
        <w:gridCol w:w="1385"/>
        <w:gridCol w:w="1385"/>
        <w:gridCol w:w="1312"/>
        <w:gridCol w:w="1288"/>
      </w:tblGrid>
      <w:tr w:rsidR="007737AB" w:rsidRPr="000320D6" w:rsidTr="000320D6">
        <w:trPr>
          <w:trHeight w:val="1290"/>
        </w:trPr>
        <w:tc>
          <w:tcPr>
            <w:tcW w:w="1166" w:type="dxa"/>
            <w:vMerge w:val="restart"/>
            <w:shd w:val="clear" w:color="auto" w:fill="C2D69B" w:themeFill="accent3" w:themeFillTint="99"/>
            <w:vAlign w:val="center"/>
            <w:hideMark/>
          </w:tcPr>
          <w:p w:rsidR="007737AB" w:rsidRPr="000320D6" w:rsidRDefault="007737AB" w:rsidP="000320D6">
            <w:pPr>
              <w:jc w:val="center"/>
              <w:rPr>
                <w:b/>
                <w:color w:val="000000"/>
                <w:sz w:val="16"/>
                <w:szCs w:val="16"/>
              </w:rPr>
            </w:pPr>
            <w:r w:rsidRPr="000320D6">
              <w:rPr>
                <w:b/>
                <w:color w:val="000000"/>
                <w:sz w:val="16"/>
                <w:szCs w:val="16"/>
              </w:rPr>
              <w:t>Finanční plán - rok</w:t>
            </w:r>
          </w:p>
        </w:tc>
        <w:tc>
          <w:tcPr>
            <w:tcW w:w="1360" w:type="dxa"/>
            <w:vMerge w:val="restart"/>
            <w:shd w:val="clear" w:color="auto" w:fill="C2D69B" w:themeFill="accent3" w:themeFillTint="99"/>
            <w:vAlign w:val="center"/>
            <w:hideMark/>
          </w:tcPr>
          <w:p w:rsidR="007737AB" w:rsidRPr="000320D6" w:rsidRDefault="007737AB" w:rsidP="000320D6">
            <w:pPr>
              <w:jc w:val="center"/>
              <w:rPr>
                <w:b/>
                <w:color w:val="000000"/>
                <w:sz w:val="16"/>
                <w:szCs w:val="16"/>
              </w:rPr>
            </w:pPr>
            <w:r w:rsidRPr="000320D6">
              <w:rPr>
                <w:b/>
                <w:color w:val="000000"/>
                <w:sz w:val="16"/>
                <w:szCs w:val="16"/>
              </w:rPr>
              <w:t>Celková alokace EU prostředků 2007 - 2013 - roční</w:t>
            </w:r>
          </w:p>
        </w:tc>
        <w:tc>
          <w:tcPr>
            <w:tcW w:w="1360" w:type="dxa"/>
            <w:shd w:val="clear" w:color="auto" w:fill="C2D69B" w:themeFill="accent3" w:themeFillTint="99"/>
            <w:vAlign w:val="center"/>
            <w:hideMark/>
          </w:tcPr>
          <w:p w:rsidR="007737AB" w:rsidRPr="000320D6" w:rsidRDefault="007737AB" w:rsidP="003E1F87">
            <w:pPr>
              <w:jc w:val="center"/>
              <w:rPr>
                <w:b/>
                <w:color w:val="000000"/>
                <w:sz w:val="16"/>
                <w:szCs w:val="16"/>
              </w:rPr>
            </w:pPr>
            <w:r w:rsidRPr="000320D6">
              <w:rPr>
                <w:b/>
                <w:color w:val="000000"/>
                <w:sz w:val="16"/>
                <w:szCs w:val="16"/>
              </w:rPr>
              <w:t xml:space="preserve">N+3 / N+2 limity - souhrnné </w:t>
            </w:r>
          </w:p>
        </w:tc>
        <w:tc>
          <w:tcPr>
            <w:tcW w:w="1433" w:type="dxa"/>
            <w:shd w:val="clear" w:color="auto" w:fill="C2D69B" w:themeFill="accent3" w:themeFillTint="99"/>
            <w:vAlign w:val="center"/>
            <w:hideMark/>
          </w:tcPr>
          <w:p w:rsidR="007737AB" w:rsidRPr="000320D6" w:rsidRDefault="007737AB" w:rsidP="003E1F87">
            <w:pPr>
              <w:jc w:val="center"/>
              <w:rPr>
                <w:b/>
                <w:color w:val="000000"/>
                <w:sz w:val="16"/>
                <w:szCs w:val="16"/>
              </w:rPr>
            </w:pPr>
            <w:r w:rsidRPr="000320D6">
              <w:rPr>
                <w:b/>
                <w:color w:val="000000"/>
                <w:sz w:val="16"/>
                <w:szCs w:val="16"/>
              </w:rPr>
              <w:t xml:space="preserve">Předběžné platby z EK - roční </w:t>
            </w:r>
          </w:p>
        </w:tc>
        <w:tc>
          <w:tcPr>
            <w:tcW w:w="1482" w:type="dxa"/>
            <w:shd w:val="clear" w:color="auto" w:fill="C2D69B" w:themeFill="accent3" w:themeFillTint="99"/>
            <w:vAlign w:val="center"/>
            <w:hideMark/>
          </w:tcPr>
          <w:p w:rsidR="007737AB" w:rsidRPr="000320D6" w:rsidRDefault="007737AB" w:rsidP="003E1F87">
            <w:pPr>
              <w:jc w:val="center"/>
              <w:rPr>
                <w:b/>
                <w:color w:val="000000"/>
                <w:sz w:val="16"/>
                <w:szCs w:val="16"/>
              </w:rPr>
            </w:pPr>
            <w:r w:rsidRPr="000320D6">
              <w:rPr>
                <w:b/>
                <w:color w:val="000000"/>
                <w:sz w:val="16"/>
                <w:szCs w:val="16"/>
              </w:rPr>
              <w:t xml:space="preserve">Žádosti o průběžnou / závěrečnou platbu předložené EK - roční </w:t>
            </w:r>
          </w:p>
        </w:tc>
        <w:tc>
          <w:tcPr>
            <w:tcW w:w="1506" w:type="dxa"/>
            <w:shd w:val="clear" w:color="auto" w:fill="C2D69B" w:themeFill="accent3" w:themeFillTint="99"/>
            <w:vAlign w:val="center"/>
            <w:hideMark/>
          </w:tcPr>
          <w:p w:rsidR="007737AB" w:rsidRPr="000320D6" w:rsidRDefault="007737AB" w:rsidP="003E1F87">
            <w:pPr>
              <w:jc w:val="center"/>
              <w:rPr>
                <w:b/>
                <w:color w:val="000000"/>
                <w:sz w:val="16"/>
                <w:szCs w:val="16"/>
              </w:rPr>
            </w:pPr>
            <w:r w:rsidRPr="000320D6">
              <w:rPr>
                <w:b/>
                <w:color w:val="000000"/>
                <w:sz w:val="16"/>
                <w:szCs w:val="16"/>
              </w:rPr>
              <w:t xml:space="preserve">Předběžné platby z EK + žádosti o platby z ČR - roční </w:t>
            </w:r>
          </w:p>
        </w:tc>
        <w:tc>
          <w:tcPr>
            <w:tcW w:w="1385" w:type="dxa"/>
            <w:shd w:val="clear" w:color="auto" w:fill="C2D69B" w:themeFill="accent3" w:themeFillTint="99"/>
            <w:vAlign w:val="center"/>
            <w:hideMark/>
          </w:tcPr>
          <w:p w:rsidR="007737AB" w:rsidRPr="000320D6" w:rsidRDefault="007737AB" w:rsidP="003E1F87">
            <w:pPr>
              <w:jc w:val="center"/>
              <w:rPr>
                <w:b/>
                <w:color w:val="000000"/>
                <w:sz w:val="16"/>
                <w:szCs w:val="16"/>
              </w:rPr>
            </w:pPr>
            <w:r w:rsidRPr="000320D6">
              <w:rPr>
                <w:b/>
                <w:color w:val="000000"/>
                <w:sz w:val="16"/>
                <w:szCs w:val="16"/>
              </w:rPr>
              <w:t xml:space="preserve">Předběžné platby z EK + žádosti o platby - souhrnné </w:t>
            </w:r>
          </w:p>
        </w:tc>
        <w:tc>
          <w:tcPr>
            <w:tcW w:w="1385" w:type="dxa"/>
            <w:shd w:val="clear" w:color="auto" w:fill="C2D69B" w:themeFill="accent3" w:themeFillTint="99"/>
            <w:vAlign w:val="center"/>
            <w:hideMark/>
          </w:tcPr>
          <w:p w:rsidR="007737AB" w:rsidRPr="000320D6" w:rsidRDefault="007737AB" w:rsidP="003E1F87">
            <w:pPr>
              <w:jc w:val="center"/>
              <w:rPr>
                <w:b/>
                <w:color w:val="000000"/>
                <w:sz w:val="16"/>
                <w:szCs w:val="16"/>
              </w:rPr>
            </w:pPr>
            <w:r w:rsidRPr="000320D6">
              <w:rPr>
                <w:b/>
                <w:color w:val="000000"/>
                <w:sz w:val="16"/>
                <w:szCs w:val="16"/>
              </w:rPr>
              <w:t xml:space="preserve">Rozdíl mezi platbami a limity - souhrnné </w:t>
            </w:r>
          </w:p>
        </w:tc>
        <w:tc>
          <w:tcPr>
            <w:tcW w:w="1312" w:type="dxa"/>
            <w:vMerge w:val="restart"/>
            <w:shd w:val="clear" w:color="auto" w:fill="C2D69B" w:themeFill="accent3" w:themeFillTint="99"/>
            <w:vAlign w:val="center"/>
            <w:hideMark/>
          </w:tcPr>
          <w:p w:rsidR="007737AB" w:rsidRPr="000320D6" w:rsidRDefault="007737AB" w:rsidP="000320D6">
            <w:pPr>
              <w:jc w:val="center"/>
              <w:rPr>
                <w:b/>
                <w:color w:val="000000"/>
                <w:sz w:val="16"/>
                <w:szCs w:val="16"/>
              </w:rPr>
            </w:pPr>
            <w:r w:rsidRPr="000320D6">
              <w:rPr>
                <w:b/>
                <w:color w:val="000000"/>
                <w:sz w:val="16"/>
                <w:szCs w:val="16"/>
              </w:rPr>
              <w:t>Alokace velkých projektů k odečtení v rámci pravidla n+3/n+2</w:t>
            </w:r>
          </w:p>
        </w:tc>
        <w:tc>
          <w:tcPr>
            <w:tcW w:w="1288" w:type="dxa"/>
            <w:vMerge w:val="restart"/>
            <w:shd w:val="clear" w:color="auto" w:fill="C2D69B" w:themeFill="accent3" w:themeFillTint="99"/>
            <w:vAlign w:val="center"/>
            <w:hideMark/>
          </w:tcPr>
          <w:p w:rsidR="007737AB" w:rsidRPr="000320D6" w:rsidRDefault="007737AB" w:rsidP="000320D6">
            <w:pPr>
              <w:jc w:val="center"/>
              <w:rPr>
                <w:b/>
                <w:color w:val="000000"/>
                <w:sz w:val="16"/>
                <w:szCs w:val="16"/>
              </w:rPr>
            </w:pPr>
            <w:r w:rsidRPr="000320D6">
              <w:rPr>
                <w:b/>
                <w:color w:val="000000"/>
                <w:sz w:val="16"/>
                <w:szCs w:val="16"/>
              </w:rPr>
              <w:t>Rozdíl mezi platbami se započítáním velkých projektů</w:t>
            </w:r>
            <w:r>
              <w:rPr>
                <w:b/>
                <w:color w:val="000000"/>
                <w:sz w:val="16"/>
                <w:szCs w:val="16"/>
              </w:rPr>
              <w:br/>
            </w:r>
            <w:r w:rsidRPr="000320D6">
              <w:rPr>
                <w:b/>
                <w:color w:val="000000"/>
                <w:sz w:val="16"/>
                <w:szCs w:val="16"/>
              </w:rPr>
              <w:t xml:space="preserve"> a limity</w:t>
            </w:r>
          </w:p>
        </w:tc>
      </w:tr>
      <w:tr w:rsidR="007737AB" w:rsidRPr="000320D6" w:rsidTr="00851B3F">
        <w:trPr>
          <w:trHeight w:val="218"/>
        </w:trPr>
        <w:tc>
          <w:tcPr>
            <w:tcW w:w="1166" w:type="dxa"/>
            <w:vMerge/>
            <w:shd w:val="clear" w:color="auto" w:fill="C2D69B" w:themeFill="accent3" w:themeFillTint="99"/>
            <w:vAlign w:val="center"/>
          </w:tcPr>
          <w:p w:rsidR="007737AB" w:rsidRPr="000320D6" w:rsidRDefault="007737AB" w:rsidP="000320D6">
            <w:pPr>
              <w:jc w:val="center"/>
              <w:rPr>
                <w:b/>
                <w:color w:val="000000"/>
                <w:sz w:val="16"/>
                <w:szCs w:val="16"/>
              </w:rPr>
            </w:pPr>
          </w:p>
        </w:tc>
        <w:tc>
          <w:tcPr>
            <w:tcW w:w="1360" w:type="dxa"/>
            <w:vMerge/>
            <w:shd w:val="clear" w:color="auto" w:fill="C2D69B" w:themeFill="accent3" w:themeFillTint="99"/>
            <w:vAlign w:val="center"/>
          </w:tcPr>
          <w:p w:rsidR="007737AB" w:rsidRPr="000320D6" w:rsidRDefault="007737AB" w:rsidP="000320D6">
            <w:pPr>
              <w:jc w:val="center"/>
              <w:rPr>
                <w:b/>
                <w:color w:val="000000"/>
                <w:sz w:val="16"/>
                <w:szCs w:val="16"/>
              </w:rPr>
            </w:pPr>
          </w:p>
        </w:tc>
        <w:tc>
          <w:tcPr>
            <w:tcW w:w="1360" w:type="dxa"/>
            <w:shd w:val="clear" w:color="auto" w:fill="C2D69B" w:themeFill="accent3" w:themeFillTint="99"/>
            <w:vAlign w:val="center"/>
          </w:tcPr>
          <w:p w:rsidR="007737AB" w:rsidRPr="000320D6" w:rsidRDefault="007737AB" w:rsidP="000320D6">
            <w:pPr>
              <w:jc w:val="center"/>
              <w:rPr>
                <w:b/>
                <w:color w:val="000000"/>
                <w:sz w:val="16"/>
                <w:szCs w:val="16"/>
              </w:rPr>
            </w:pPr>
            <w:r w:rsidRPr="000320D6">
              <w:rPr>
                <w:b/>
                <w:color w:val="000000"/>
                <w:sz w:val="16"/>
                <w:szCs w:val="16"/>
              </w:rPr>
              <w:t>a</w:t>
            </w:r>
          </w:p>
        </w:tc>
        <w:tc>
          <w:tcPr>
            <w:tcW w:w="1433" w:type="dxa"/>
            <w:shd w:val="clear" w:color="auto" w:fill="C2D69B" w:themeFill="accent3" w:themeFillTint="99"/>
            <w:vAlign w:val="center"/>
          </w:tcPr>
          <w:p w:rsidR="007737AB" w:rsidRPr="000320D6" w:rsidRDefault="007737AB" w:rsidP="000320D6">
            <w:pPr>
              <w:jc w:val="center"/>
              <w:rPr>
                <w:b/>
                <w:color w:val="000000"/>
                <w:sz w:val="16"/>
                <w:szCs w:val="16"/>
              </w:rPr>
            </w:pPr>
            <w:r w:rsidRPr="000320D6">
              <w:rPr>
                <w:b/>
                <w:color w:val="000000"/>
                <w:sz w:val="16"/>
                <w:szCs w:val="16"/>
              </w:rPr>
              <w:t>b</w:t>
            </w:r>
          </w:p>
        </w:tc>
        <w:tc>
          <w:tcPr>
            <w:tcW w:w="1482" w:type="dxa"/>
            <w:shd w:val="clear" w:color="auto" w:fill="C2D69B" w:themeFill="accent3" w:themeFillTint="99"/>
            <w:vAlign w:val="center"/>
          </w:tcPr>
          <w:p w:rsidR="007737AB" w:rsidRPr="000320D6" w:rsidRDefault="007737AB" w:rsidP="000320D6">
            <w:pPr>
              <w:jc w:val="center"/>
              <w:rPr>
                <w:b/>
                <w:color w:val="000000"/>
                <w:sz w:val="16"/>
                <w:szCs w:val="16"/>
              </w:rPr>
            </w:pPr>
            <w:r w:rsidRPr="000320D6">
              <w:rPr>
                <w:b/>
                <w:color w:val="000000"/>
                <w:sz w:val="16"/>
                <w:szCs w:val="16"/>
              </w:rPr>
              <w:t>c</w:t>
            </w:r>
          </w:p>
        </w:tc>
        <w:tc>
          <w:tcPr>
            <w:tcW w:w="1506" w:type="dxa"/>
            <w:shd w:val="clear" w:color="auto" w:fill="C2D69B" w:themeFill="accent3" w:themeFillTint="99"/>
            <w:vAlign w:val="center"/>
          </w:tcPr>
          <w:p w:rsidR="007737AB" w:rsidRPr="000320D6" w:rsidRDefault="007737AB" w:rsidP="000320D6">
            <w:pPr>
              <w:jc w:val="center"/>
              <w:rPr>
                <w:b/>
                <w:color w:val="000000"/>
                <w:sz w:val="16"/>
                <w:szCs w:val="16"/>
              </w:rPr>
            </w:pPr>
            <w:r w:rsidRPr="000320D6">
              <w:rPr>
                <w:b/>
                <w:color w:val="000000"/>
                <w:sz w:val="16"/>
                <w:szCs w:val="16"/>
              </w:rPr>
              <w:t>d</w:t>
            </w:r>
            <w:r>
              <w:rPr>
                <w:b/>
                <w:color w:val="000000"/>
                <w:sz w:val="16"/>
                <w:szCs w:val="16"/>
              </w:rPr>
              <w:t xml:space="preserve"> </w:t>
            </w:r>
            <w:r w:rsidRPr="000320D6">
              <w:rPr>
                <w:b/>
                <w:color w:val="000000"/>
                <w:sz w:val="16"/>
                <w:szCs w:val="16"/>
              </w:rPr>
              <w:t>=</w:t>
            </w:r>
            <w:r>
              <w:rPr>
                <w:b/>
                <w:color w:val="000000"/>
                <w:sz w:val="16"/>
                <w:szCs w:val="16"/>
              </w:rPr>
              <w:t xml:space="preserve"> </w:t>
            </w:r>
            <w:r w:rsidRPr="000320D6">
              <w:rPr>
                <w:b/>
                <w:color w:val="000000"/>
                <w:sz w:val="16"/>
                <w:szCs w:val="16"/>
              </w:rPr>
              <w:t>b</w:t>
            </w:r>
            <w:r>
              <w:rPr>
                <w:b/>
                <w:color w:val="000000"/>
                <w:sz w:val="16"/>
                <w:szCs w:val="16"/>
              </w:rPr>
              <w:t xml:space="preserve"> </w:t>
            </w:r>
            <w:r w:rsidRPr="000320D6">
              <w:rPr>
                <w:b/>
                <w:color w:val="000000"/>
                <w:sz w:val="16"/>
                <w:szCs w:val="16"/>
              </w:rPr>
              <w:t>+</w:t>
            </w:r>
            <w:r>
              <w:rPr>
                <w:b/>
                <w:color w:val="000000"/>
                <w:sz w:val="16"/>
                <w:szCs w:val="16"/>
              </w:rPr>
              <w:t xml:space="preserve"> </w:t>
            </w:r>
            <w:r w:rsidRPr="000320D6">
              <w:rPr>
                <w:b/>
                <w:color w:val="000000"/>
                <w:sz w:val="16"/>
                <w:szCs w:val="16"/>
              </w:rPr>
              <w:t>c</w:t>
            </w:r>
          </w:p>
        </w:tc>
        <w:tc>
          <w:tcPr>
            <w:tcW w:w="1385" w:type="dxa"/>
            <w:shd w:val="clear" w:color="auto" w:fill="C2D69B" w:themeFill="accent3" w:themeFillTint="99"/>
            <w:vAlign w:val="center"/>
          </w:tcPr>
          <w:p w:rsidR="007737AB" w:rsidRPr="000320D6" w:rsidRDefault="007737AB" w:rsidP="000320D6">
            <w:pPr>
              <w:jc w:val="center"/>
              <w:rPr>
                <w:b/>
                <w:color w:val="000000"/>
                <w:sz w:val="16"/>
                <w:szCs w:val="16"/>
              </w:rPr>
            </w:pPr>
            <w:r w:rsidRPr="000320D6">
              <w:rPr>
                <w:b/>
                <w:color w:val="000000"/>
                <w:sz w:val="16"/>
                <w:szCs w:val="16"/>
              </w:rPr>
              <w:t>e</w:t>
            </w:r>
          </w:p>
        </w:tc>
        <w:tc>
          <w:tcPr>
            <w:tcW w:w="1385" w:type="dxa"/>
            <w:shd w:val="clear" w:color="auto" w:fill="C2D69B" w:themeFill="accent3" w:themeFillTint="99"/>
            <w:vAlign w:val="center"/>
          </w:tcPr>
          <w:p w:rsidR="007737AB" w:rsidRPr="000320D6" w:rsidRDefault="007737AB" w:rsidP="000320D6">
            <w:pPr>
              <w:jc w:val="center"/>
              <w:rPr>
                <w:b/>
                <w:color w:val="000000"/>
                <w:sz w:val="16"/>
                <w:szCs w:val="16"/>
              </w:rPr>
            </w:pPr>
            <w:r w:rsidRPr="000320D6">
              <w:rPr>
                <w:b/>
                <w:color w:val="000000"/>
                <w:sz w:val="16"/>
                <w:szCs w:val="16"/>
              </w:rPr>
              <w:t>f</w:t>
            </w:r>
            <w:r>
              <w:rPr>
                <w:b/>
                <w:color w:val="000000"/>
                <w:sz w:val="16"/>
                <w:szCs w:val="16"/>
              </w:rPr>
              <w:t xml:space="preserve"> </w:t>
            </w:r>
            <w:r w:rsidRPr="000320D6">
              <w:rPr>
                <w:b/>
                <w:color w:val="000000"/>
                <w:sz w:val="16"/>
                <w:szCs w:val="16"/>
              </w:rPr>
              <w:t>=</w:t>
            </w:r>
            <w:r>
              <w:rPr>
                <w:b/>
                <w:color w:val="000000"/>
                <w:sz w:val="16"/>
                <w:szCs w:val="16"/>
              </w:rPr>
              <w:t xml:space="preserve"> </w:t>
            </w:r>
            <w:r w:rsidRPr="000320D6">
              <w:rPr>
                <w:b/>
                <w:color w:val="000000"/>
                <w:sz w:val="16"/>
                <w:szCs w:val="16"/>
              </w:rPr>
              <w:t>e-a</w:t>
            </w:r>
          </w:p>
        </w:tc>
        <w:tc>
          <w:tcPr>
            <w:tcW w:w="1312" w:type="dxa"/>
            <w:vMerge/>
            <w:shd w:val="clear" w:color="auto" w:fill="C2D69B" w:themeFill="accent3" w:themeFillTint="99"/>
            <w:vAlign w:val="center"/>
          </w:tcPr>
          <w:p w:rsidR="007737AB" w:rsidRPr="000320D6" w:rsidRDefault="007737AB" w:rsidP="000320D6">
            <w:pPr>
              <w:jc w:val="center"/>
              <w:rPr>
                <w:b/>
                <w:color w:val="000000"/>
                <w:sz w:val="16"/>
                <w:szCs w:val="16"/>
              </w:rPr>
            </w:pPr>
          </w:p>
        </w:tc>
        <w:tc>
          <w:tcPr>
            <w:tcW w:w="1288" w:type="dxa"/>
            <w:vMerge/>
            <w:shd w:val="clear" w:color="auto" w:fill="C2D69B" w:themeFill="accent3" w:themeFillTint="99"/>
            <w:vAlign w:val="center"/>
          </w:tcPr>
          <w:p w:rsidR="007737AB" w:rsidRPr="000320D6" w:rsidRDefault="007737AB" w:rsidP="000320D6">
            <w:pPr>
              <w:jc w:val="center"/>
              <w:rPr>
                <w:b/>
                <w:color w:val="000000"/>
                <w:sz w:val="16"/>
                <w:szCs w:val="16"/>
              </w:rPr>
            </w:pPr>
          </w:p>
        </w:tc>
      </w:tr>
      <w:tr w:rsidR="000320D6" w:rsidRPr="000320D6" w:rsidTr="00650619">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2007</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192 686 939</w:t>
            </w:r>
          </w:p>
        </w:tc>
        <w:tc>
          <w:tcPr>
            <w:tcW w:w="1360" w:type="dxa"/>
            <w:shd w:val="clear" w:color="000000" w:fill="FFFFFF"/>
            <w:vAlign w:val="center"/>
            <w:hideMark/>
          </w:tcPr>
          <w:p w:rsidR="000320D6" w:rsidRPr="000320D6" w:rsidRDefault="000320D6" w:rsidP="000320D6">
            <w:pPr>
              <w:jc w:val="center"/>
              <w:rPr>
                <w:color w:val="000000"/>
                <w:sz w:val="16"/>
                <w:szCs w:val="16"/>
              </w:rPr>
            </w:pPr>
          </w:p>
        </w:tc>
        <w:tc>
          <w:tcPr>
            <w:tcW w:w="1433" w:type="dxa"/>
            <w:shd w:val="clear" w:color="000000" w:fill="FFFFFF"/>
            <w:vAlign w:val="center"/>
            <w:hideMark/>
          </w:tcPr>
          <w:p w:rsidR="000320D6" w:rsidRPr="000320D6" w:rsidRDefault="000320D6" w:rsidP="000320D6">
            <w:pPr>
              <w:jc w:val="center"/>
              <w:rPr>
                <w:color w:val="000000"/>
                <w:sz w:val="16"/>
                <w:szCs w:val="16"/>
              </w:rPr>
            </w:pPr>
          </w:p>
        </w:tc>
        <w:tc>
          <w:tcPr>
            <w:tcW w:w="1482" w:type="dxa"/>
            <w:shd w:val="clear" w:color="000000" w:fill="FFFFFF"/>
            <w:vAlign w:val="center"/>
            <w:hideMark/>
          </w:tcPr>
          <w:p w:rsidR="000320D6" w:rsidRPr="000320D6" w:rsidRDefault="000320D6" w:rsidP="000320D6">
            <w:pPr>
              <w:jc w:val="center"/>
              <w:rPr>
                <w:color w:val="000000"/>
                <w:sz w:val="16"/>
                <w:szCs w:val="16"/>
              </w:rPr>
            </w:pPr>
          </w:p>
        </w:tc>
        <w:tc>
          <w:tcPr>
            <w:tcW w:w="1506" w:type="dxa"/>
            <w:shd w:val="clear" w:color="000000" w:fill="FFFFFF"/>
            <w:vAlign w:val="center"/>
            <w:hideMark/>
          </w:tcPr>
          <w:p w:rsidR="000320D6" w:rsidRPr="000320D6" w:rsidRDefault="000320D6" w:rsidP="000320D6">
            <w:pPr>
              <w:jc w:val="center"/>
              <w:rPr>
                <w:color w:val="000000"/>
                <w:sz w:val="16"/>
                <w:szCs w:val="16"/>
              </w:rPr>
            </w:pPr>
          </w:p>
        </w:tc>
        <w:tc>
          <w:tcPr>
            <w:tcW w:w="1385" w:type="dxa"/>
            <w:shd w:val="clear" w:color="000000" w:fill="FFFFFF"/>
            <w:vAlign w:val="center"/>
            <w:hideMark/>
          </w:tcPr>
          <w:p w:rsidR="000320D6" w:rsidRPr="000320D6" w:rsidRDefault="000320D6" w:rsidP="000320D6">
            <w:pPr>
              <w:jc w:val="center"/>
              <w:rPr>
                <w:color w:val="000000"/>
                <w:sz w:val="16"/>
                <w:szCs w:val="16"/>
              </w:rPr>
            </w:pPr>
          </w:p>
        </w:tc>
        <w:tc>
          <w:tcPr>
            <w:tcW w:w="1385" w:type="dxa"/>
            <w:shd w:val="clear" w:color="000000" w:fill="FFFFFF"/>
            <w:vAlign w:val="center"/>
            <w:hideMark/>
          </w:tcPr>
          <w:p w:rsidR="000320D6" w:rsidRPr="000320D6" w:rsidRDefault="000320D6" w:rsidP="000320D6">
            <w:pPr>
              <w:jc w:val="center"/>
              <w:rPr>
                <w:color w:val="000000"/>
                <w:sz w:val="16"/>
                <w:szCs w:val="16"/>
              </w:rPr>
            </w:pPr>
          </w:p>
        </w:tc>
        <w:tc>
          <w:tcPr>
            <w:tcW w:w="1312" w:type="dxa"/>
            <w:shd w:val="clear" w:color="auto" w:fill="auto"/>
            <w:noWrap/>
            <w:vAlign w:val="center"/>
            <w:hideMark/>
          </w:tcPr>
          <w:p w:rsidR="000320D6" w:rsidRPr="000320D6" w:rsidRDefault="000320D6" w:rsidP="000320D6">
            <w:pPr>
              <w:jc w:val="center"/>
              <w:rPr>
                <w:color w:val="000000"/>
                <w:sz w:val="16"/>
                <w:szCs w:val="16"/>
              </w:rPr>
            </w:pPr>
          </w:p>
        </w:tc>
        <w:tc>
          <w:tcPr>
            <w:tcW w:w="1288" w:type="dxa"/>
            <w:shd w:val="clear" w:color="auto" w:fill="auto"/>
            <w:noWrap/>
            <w:vAlign w:val="center"/>
            <w:hideMark/>
          </w:tcPr>
          <w:p w:rsidR="000320D6" w:rsidRPr="000320D6" w:rsidRDefault="000320D6" w:rsidP="000320D6">
            <w:pPr>
              <w:jc w:val="center"/>
              <w:rPr>
                <w:color w:val="000000"/>
                <w:sz w:val="16"/>
                <w:szCs w:val="16"/>
              </w:rPr>
            </w:pPr>
          </w:p>
        </w:tc>
      </w:tr>
      <w:tr w:rsidR="000320D6" w:rsidRPr="000320D6" w:rsidTr="0022178A">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2008</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202 164 946</w:t>
            </w:r>
          </w:p>
        </w:tc>
        <w:tc>
          <w:tcPr>
            <w:tcW w:w="1360" w:type="dxa"/>
            <w:shd w:val="clear" w:color="000000" w:fill="FFFFFF"/>
            <w:vAlign w:val="center"/>
            <w:hideMark/>
          </w:tcPr>
          <w:p w:rsidR="000320D6" w:rsidRPr="000320D6" w:rsidRDefault="000320D6" w:rsidP="000320D6">
            <w:pPr>
              <w:jc w:val="center"/>
              <w:rPr>
                <w:color w:val="000000"/>
                <w:sz w:val="16"/>
                <w:szCs w:val="16"/>
              </w:rPr>
            </w:pPr>
          </w:p>
        </w:tc>
        <w:tc>
          <w:tcPr>
            <w:tcW w:w="1433"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77 650 533</w:t>
            </w:r>
          </w:p>
        </w:tc>
        <w:tc>
          <w:tcPr>
            <w:tcW w:w="1482" w:type="dxa"/>
            <w:shd w:val="clear" w:color="000000" w:fill="FFFFFF"/>
            <w:vAlign w:val="center"/>
            <w:hideMark/>
          </w:tcPr>
          <w:p w:rsidR="000320D6" w:rsidRPr="000320D6" w:rsidRDefault="000320D6" w:rsidP="000320D6">
            <w:pPr>
              <w:jc w:val="center"/>
              <w:rPr>
                <w:color w:val="000000"/>
                <w:sz w:val="16"/>
                <w:szCs w:val="16"/>
              </w:rPr>
            </w:pPr>
          </w:p>
        </w:tc>
        <w:tc>
          <w:tcPr>
            <w:tcW w:w="1506"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77 650 533</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77 650 533</w:t>
            </w:r>
          </w:p>
        </w:tc>
        <w:tc>
          <w:tcPr>
            <w:tcW w:w="1385" w:type="dxa"/>
            <w:shd w:val="clear" w:color="000000" w:fill="FFFFFF"/>
            <w:vAlign w:val="center"/>
          </w:tcPr>
          <w:p w:rsidR="000320D6" w:rsidRPr="000320D6" w:rsidRDefault="000320D6" w:rsidP="000320D6">
            <w:pPr>
              <w:jc w:val="center"/>
              <w:rPr>
                <w:color w:val="000000"/>
                <w:sz w:val="16"/>
                <w:szCs w:val="16"/>
              </w:rPr>
            </w:pPr>
          </w:p>
        </w:tc>
        <w:tc>
          <w:tcPr>
            <w:tcW w:w="1312" w:type="dxa"/>
            <w:shd w:val="clear" w:color="auto" w:fill="auto"/>
            <w:noWrap/>
            <w:vAlign w:val="center"/>
            <w:hideMark/>
          </w:tcPr>
          <w:p w:rsidR="000320D6" w:rsidRPr="000320D6" w:rsidRDefault="000320D6" w:rsidP="000320D6">
            <w:pPr>
              <w:jc w:val="center"/>
              <w:rPr>
                <w:color w:val="000000"/>
                <w:sz w:val="16"/>
                <w:szCs w:val="16"/>
              </w:rPr>
            </w:pPr>
          </w:p>
        </w:tc>
        <w:tc>
          <w:tcPr>
            <w:tcW w:w="1288" w:type="dxa"/>
            <w:shd w:val="clear" w:color="000000" w:fill="FFFFFF"/>
            <w:vAlign w:val="center"/>
          </w:tcPr>
          <w:p w:rsidR="000320D6" w:rsidRPr="000320D6" w:rsidRDefault="000320D6" w:rsidP="000320D6">
            <w:pPr>
              <w:jc w:val="center"/>
              <w:rPr>
                <w:color w:val="000000"/>
                <w:sz w:val="16"/>
                <w:szCs w:val="16"/>
              </w:rPr>
            </w:pPr>
          </w:p>
        </w:tc>
      </w:tr>
      <w:tr w:rsidR="000320D6" w:rsidRPr="000320D6" w:rsidTr="0022178A">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2009</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211 684 389</w:t>
            </w:r>
          </w:p>
        </w:tc>
        <w:tc>
          <w:tcPr>
            <w:tcW w:w="1360" w:type="dxa"/>
            <w:shd w:val="clear" w:color="000000" w:fill="FFFFFF"/>
            <w:vAlign w:val="center"/>
            <w:hideMark/>
          </w:tcPr>
          <w:p w:rsidR="000320D6" w:rsidRPr="000320D6" w:rsidRDefault="000320D6" w:rsidP="000320D6">
            <w:pPr>
              <w:jc w:val="center"/>
              <w:rPr>
                <w:color w:val="000000"/>
                <w:sz w:val="16"/>
                <w:szCs w:val="16"/>
              </w:rPr>
            </w:pPr>
          </w:p>
        </w:tc>
        <w:tc>
          <w:tcPr>
            <w:tcW w:w="1433"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62 120 427</w:t>
            </w:r>
          </w:p>
        </w:tc>
        <w:tc>
          <w:tcPr>
            <w:tcW w:w="148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5 008 671</w:t>
            </w:r>
          </w:p>
        </w:tc>
        <w:tc>
          <w:tcPr>
            <w:tcW w:w="1506"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67 129 098</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144 779 631</w:t>
            </w:r>
          </w:p>
        </w:tc>
        <w:tc>
          <w:tcPr>
            <w:tcW w:w="1385" w:type="dxa"/>
            <w:shd w:val="clear" w:color="000000" w:fill="FFFFFF"/>
            <w:vAlign w:val="center"/>
          </w:tcPr>
          <w:p w:rsidR="000320D6" w:rsidRPr="000320D6" w:rsidRDefault="000320D6" w:rsidP="000320D6">
            <w:pPr>
              <w:jc w:val="center"/>
              <w:rPr>
                <w:color w:val="000000"/>
                <w:sz w:val="16"/>
                <w:szCs w:val="16"/>
              </w:rPr>
            </w:pPr>
          </w:p>
        </w:tc>
        <w:tc>
          <w:tcPr>
            <w:tcW w:w="1312" w:type="dxa"/>
            <w:shd w:val="clear" w:color="auto" w:fill="auto"/>
            <w:noWrap/>
            <w:vAlign w:val="center"/>
            <w:hideMark/>
          </w:tcPr>
          <w:p w:rsidR="000320D6" w:rsidRPr="000320D6" w:rsidRDefault="000320D6" w:rsidP="000320D6">
            <w:pPr>
              <w:jc w:val="center"/>
              <w:rPr>
                <w:color w:val="000000"/>
                <w:sz w:val="16"/>
                <w:szCs w:val="16"/>
              </w:rPr>
            </w:pPr>
          </w:p>
        </w:tc>
        <w:tc>
          <w:tcPr>
            <w:tcW w:w="1288" w:type="dxa"/>
            <w:shd w:val="clear" w:color="000000" w:fill="FFFFFF"/>
            <w:vAlign w:val="center"/>
          </w:tcPr>
          <w:p w:rsidR="000320D6" w:rsidRPr="000320D6" w:rsidRDefault="000320D6" w:rsidP="000320D6">
            <w:pPr>
              <w:jc w:val="center"/>
              <w:rPr>
                <w:color w:val="000000"/>
                <w:sz w:val="16"/>
                <w:szCs w:val="16"/>
              </w:rPr>
            </w:pPr>
          </w:p>
        </w:tc>
      </w:tr>
      <w:tr w:rsidR="000320D6" w:rsidRPr="000320D6" w:rsidTr="0022178A">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2010</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221 648 970</w:t>
            </w:r>
          </w:p>
        </w:tc>
        <w:tc>
          <w:tcPr>
            <w:tcW w:w="1360" w:type="dxa"/>
            <w:shd w:val="clear" w:color="000000" w:fill="FFFFFF"/>
            <w:vAlign w:val="center"/>
            <w:hideMark/>
          </w:tcPr>
          <w:p w:rsidR="000320D6" w:rsidRPr="000320D6" w:rsidRDefault="000320D6" w:rsidP="000320D6">
            <w:pPr>
              <w:jc w:val="center"/>
              <w:rPr>
                <w:color w:val="000000"/>
                <w:sz w:val="16"/>
                <w:szCs w:val="16"/>
              </w:rPr>
            </w:pPr>
          </w:p>
        </w:tc>
        <w:tc>
          <w:tcPr>
            <w:tcW w:w="1433" w:type="dxa"/>
            <w:shd w:val="clear" w:color="000000" w:fill="FFFFFF"/>
            <w:vAlign w:val="center"/>
            <w:hideMark/>
          </w:tcPr>
          <w:p w:rsidR="000320D6" w:rsidRPr="000320D6" w:rsidRDefault="000320D6" w:rsidP="000320D6">
            <w:pPr>
              <w:jc w:val="center"/>
              <w:rPr>
                <w:color w:val="000000"/>
                <w:sz w:val="16"/>
                <w:szCs w:val="16"/>
              </w:rPr>
            </w:pPr>
          </w:p>
        </w:tc>
        <w:tc>
          <w:tcPr>
            <w:tcW w:w="148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80 625 348</w:t>
            </w:r>
          </w:p>
        </w:tc>
        <w:tc>
          <w:tcPr>
            <w:tcW w:w="1506"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80 625 348</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225 404 979</w:t>
            </w:r>
          </w:p>
        </w:tc>
        <w:tc>
          <w:tcPr>
            <w:tcW w:w="1385" w:type="dxa"/>
            <w:shd w:val="clear" w:color="000000" w:fill="FFFFFF"/>
            <w:vAlign w:val="center"/>
          </w:tcPr>
          <w:p w:rsidR="000320D6" w:rsidRPr="000320D6" w:rsidRDefault="000320D6" w:rsidP="000320D6">
            <w:pPr>
              <w:jc w:val="center"/>
              <w:rPr>
                <w:color w:val="000000"/>
                <w:sz w:val="16"/>
                <w:szCs w:val="16"/>
              </w:rPr>
            </w:pPr>
          </w:p>
        </w:tc>
        <w:tc>
          <w:tcPr>
            <w:tcW w:w="1312" w:type="dxa"/>
            <w:shd w:val="clear" w:color="auto" w:fill="auto"/>
            <w:noWrap/>
            <w:vAlign w:val="center"/>
            <w:hideMark/>
          </w:tcPr>
          <w:p w:rsidR="000320D6" w:rsidRPr="000320D6" w:rsidRDefault="000320D6" w:rsidP="000320D6">
            <w:pPr>
              <w:jc w:val="center"/>
              <w:rPr>
                <w:color w:val="000000"/>
                <w:sz w:val="16"/>
                <w:szCs w:val="16"/>
              </w:rPr>
            </w:pPr>
          </w:p>
        </w:tc>
        <w:tc>
          <w:tcPr>
            <w:tcW w:w="1288" w:type="dxa"/>
            <w:shd w:val="clear" w:color="000000" w:fill="FFFFFF"/>
            <w:vAlign w:val="center"/>
          </w:tcPr>
          <w:p w:rsidR="000320D6" w:rsidRPr="000320D6" w:rsidRDefault="000320D6" w:rsidP="000320D6">
            <w:pPr>
              <w:jc w:val="center"/>
              <w:rPr>
                <w:color w:val="000000"/>
                <w:sz w:val="16"/>
                <w:szCs w:val="16"/>
              </w:rPr>
            </w:pPr>
          </w:p>
        </w:tc>
      </w:tr>
      <w:tr w:rsidR="000320D6" w:rsidRPr="000320D6" w:rsidTr="00650619">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2011</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237 465 225</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234 279 436</w:t>
            </w:r>
          </w:p>
        </w:tc>
        <w:tc>
          <w:tcPr>
            <w:tcW w:w="1433" w:type="dxa"/>
            <w:shd w:val="clear" w:color="000000" w:fill="FFFFFF"/>
            <w:vAlign w:val="center"/>
            <w:hideMark/>
          </w:tcPr>
          <w:p w:rsidR="000320D6" w:rsidRPr="000320D6" w:rsidRDefault="000320D6" w:rsidP="000320D6">
            <w:pPr>
              <w:jc w:val="center"/>
              <w:rPr>
                <w:color w:val="000000"/>
                <w:sz w:val="16"/>
                <w:szCs w:val="16"/>
              </w:rPr>
            </w:pPr>
          </w:p>
        </w:tc>
        <w:tc>
          <w:tcPr>
            <w:tcW w:w="148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161 307 463</w:t>
            </w:r>
          </w:p>
        </w:tc>
        <w:tc>
          <w:tcPr>
            <w:tcW w:w="1506"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161 307 463</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386 712 442</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152 433 006</w:t>
            </w:r>
          </w:p>
        </w:tc>
        <w:tc>
          <w:tcPr>
            <w:tcW w:w="1312" w:type="dxa"/>
            <w:shd w:val="clear" w:color="auto" w:fill="auto"/>
            <w:noWrap/>
            <w:vAlign w:val="center"/>
            <w:hideMark/>
          </w:tcPr>
          <w:p w:rsidR="000320D6" w:rsidRPr="000320D6" w:rsidRDefault="000320D6" w:rsidP="000320D6">
            <w:pPr>
              <w:jc w:val="center"/>
              <w:rPr>
                <w:color w:val="000000"/>
                <w:sz w:val="16"/>
                <w:szCs w:val="16"/>
              </w:rPr>
            </w:pPr>
          </w:p>
        </w:tc>
        <w:tc>
          <w:tcPr>
            <w:tcW w:w="1288"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152 433 006</w:t>
            </w:r>
          </w:p>
        </w:tc>
      </w:tr>
      <w:tr w:rsidR="000320D6" w:rsidRPr="000320D6" w:rsidTr="00650619">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2012</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247 398 119</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478 078 315</w:t>
            </w:r>
          </w:p>
        </w:tc>
        <w:tc>
          <w:tcPr>
            <w:tcW w:w="1433" w:type="dxa"/>
            <w:shd w:val="clear" w:color="000000" w:fill="FFFFFF"/>
            <w:vAlign w:val="center"/>
            <w:hideMark/>
          </w:tcPr>
          <w:p w:rsidR="000320D6" w:rsidRPr="000320D6" w:rsidRDefault="000320D6" w:rsidP="000320D6">
            <w:pPr>
              <w:jc w:val="center"/>
              <w:rPr>
                <w:color w:val="000000"/>
                <w:sz w:val="16"/>
                <w:szCs w:val="16"/>
              </w:rPr>
            </w:pPr>
          </w:p>
        </w:tc>
        <w:tc>
          <w:tcPr>
            <w:tcW w:w="148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159 216 619</w:t>
            </w:r>
          </w:p>
        </w:tc>
        <w:tc>
          <w:tcPr>
            <w:tcW w:w="1506"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159 216 619</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545 929 061</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67 850 746</w:t>
            </w:r>
          </w:p>
        </w:tc>
        <w:tc>
          <w:tcPr>
            <w:tcW w:w="1312" w:type="dxa"/>
            <w:shd w:val="clear" w:color="auto" w:fill="auto"/>
            <w:noWrap/>
            <w:vAlign w:val="center"/>
            <w:hideMark/>
          </w:tcPr>
          <w:p w:rsidR="000320D6" w:rsidRPr="000320D6" w:rsidRDefault="000320D6" w:rsidP="000320D6">
            <w:pPr>
              <w:jc w:val="center"/>
              <w:rPr>
                <w:color w:val="000000"/>
                <w:sz w:val="16"/>
                <w:szCs w:val="16"/>
              </w:rPr>
            </w:pPr>
          </w:p>
        </w:tc>
        <w:tc>
          <w:tcPr>
            <w:tcW w:w="1288"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67 850 746</w:t>
            </w:r>
          </w:p>
        </w:tc>
      </w:tr>
      <w:tr w:rsidR="000320D6" w:rsidRPr="000320D6" w:rsidTr="00650619">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2013</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278 308 099</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1 001 421 489</w:t>
            </w:r>
          </w:p>
        </w:tc>
        <w:tc>
          <w:tcPr>
            <w:tcW w:w="1433" w:type="dxa"/>
            <w:shd w:val="clear" w:color="000000" w:fill="FFFFFF"/>
            <w:vAlign w:val="center"/>
            <w:hideMark/>
          </w:tcPr>
          <w:p w:rsidR="000320D6" w:rsidRPr="000320D6" w:rsidRDefault="000320D6" w:rsidP="000320D6">
            <w:pPr>
              <w:jc w:val="center"/>
              <w:rPr>
                <w:color w:val="000000"/>
                <w:sz w:val="16"/>
                <w:szCs w:val="16"/>
              </w:rPr>
            </w:pPr>
          </w:p>
        </w:tc>
        <w:tc>
          <w:tcPr>
            <w:tcW w:w="148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393 274 551</w:t>
            </w:r>
          </w:p>
        </w:tc>
        <w:tc>
          <w:tcPr>
            <w:tcW w:w="1506"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393 274 551</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939 203 612</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-62 217 878</w:t>
            </w:r>
          </w:p>
        </w:tc>
        <w:tc>
          <w:tcPr>
            <w:tcW w:w="131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97 501 024</w:t>
            </w:r>
          </w:p>
        </w:tc>
        <w:tc>
          <w:tcPr>
            <w:tcW w:w="1288"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35 283 146</w:t>
            </w:r>
          </w:p>
        </w:tc>
      </w:tr>
      <w:tr w:rsidR="000320D6" w:rsidRPr="000320D6" w:rsidTr="00650619">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2014</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0</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1 280 934 098</w:t>
            </w:r>
          </w:p>
        </w:tc>
        <w:tc>
          <w:tcPr>
            <w:tcW w:w="1433" w:type="dxa"/>
            <w:shd w:val="clear" w:color="000000" w:fill="FFFFFF"/>
            <w:vAlign w:val="center"/>
            <w:hideMark/>
          </w:tcPr>
          <w:p w:rsidR="000320D6" w:rsidRPr="000320D6" w:rsidRDefault="000320D6" w:rsidP="000320D6">
            <w:pPr>
              <w:jc w:val="center"/>
              <w:rPr>
                <w:color w:val="000000"/>
                <w:sz w:val="16"/>
                <w:szCs w:val="16"/>
              </w:rPr>
            </w:pPr>
          </w:p>
        </w:tc>
        <w:tc>
          <w:tcPr>
            <w:tcW w:w="148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245 236 035</w:t>
            </w:r>
          </w:p>
        </w:tc>
        <w:tc>
          <w:tcPr>
            <w:tcW w:w="1506"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245 236 035</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1 184 439 647</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-96 494 451</w:t>
            </w:r>
          </w:p>
        </w:tc>
        <w:tc>
          <w:tcPr>
            <w:tcW w:w="1312"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97 501 024</w:t>
            </w:r>
          </w:p>
        </w:tc>
        <w:tc>
          <w:tcPr>
            <w:tcW w:w="1288"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1 006 573</w:t>
            </w:r>
          </w:p>
        </w:tc>
      </w:tr>
      <w:tr w:rsidR="000320D6" w:rsidRPr="000320D6" w:rsidTr="00650619">
        <w:trPr>
          <w:trHeight w:val="242"/>
        </w:trPr>
        <w:tc>
          <w:tcPr>
            <w:tcW w:w="1166" w:type="dxa"/>
            <w:shd w:val="clear" w:color="000000" w:fill="FFFFFF"/>
            <w:vAlign w:val="center"/>
            <w:hideMark/>
          </w:tcPr>
          <w:p w:rsidR="000320D6" w:rsidRPr="000320D6" w:rsidRDefault="000320D6" w:rsidP="00650619">
            <w:pPr>
              <w:jc w:val="center"/>
              <w:rPr>
                <w:b/>
                <w:color w:val="000000"/>
                <w:sz w:val="18"/>
                <w:szCs w:val="18"/>
              </w:rPr>
            </w:pPr>
            <w:r w:rsidRPr="000320D6">
              <w:rPr>
                <w:b/>
                <w:color w:val="000000"/>
                <w:sz w:val="18"/>
                <w:szCs w:val="18"/>
              </w:rPr>
              <w:t>2015</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0</w:t>
            </w:r>
          </w:p>
        </w:tc>
        <w:tc>
          <w:tcPr>
            <w:tcW w:w="1360"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1 591 356 687</w:t>
            </w:r>
          </w:p>
        </w:tc>
        <w:tc>
          <w:tcPr>
            <w:tcW w:w="1433" w:type="dxa"/>
            <w:shd w:val="clear" w:color="000000" w:fill="FFFFFF"/>
            <w:vAlign w:val="center"/>
            <w:hideMark/>
          </w:tcPr>
          <w:p w:rsidR="000320D6" w:rsidRPr="000320D6" w:rsidRDefault="000320D6" w:rsidP="000320D6">
            <w:pPr>
              <w:jc w:val="center"/>
              <w:rPr>
                <w:color w:val="000000"/>
                <w:sz w:val="16"/>
                <w:szCs w:val="16"/>
              </w:rPr>
            </w:pPr>
          </w:p>
        </w:tc>
        <w:tc>
          <w:tcPr>
            <w:tcW w:w="1482" w:type="dxa"/>
            <w:shd w:val="clear" w:color="000000" w:fill="FFFFFF"/>
            <w:vAlign w:val="center"/>
            <w:hideMark/>
          </w:tcPr>
          <w:p w:rsidR="000320D6" w:rsidRPr="000320D6" w:rsidRDefault="000320D6" w:rsidP="000320D6">
            <w:pPr>
              <w:jc w:val="center"/>
              <w:rPr>
                <w:color w:val="000000"/>
                <w:sz w:val="16"/>
                <w:szCs w:val="16"/>
              </w:rPr>
            </w:pPr>
          </w:p>
        </w:tc>
        <w:tc>
          <w:tcPr>
            <w:tcW w:w="1506" w:type="dxa"/>
            <w:shd w:val="clear" w:color="000000" w:fill="FFFFFF"/>
            <w:vAlign w:val="center"/>
            <w:hideMark/>
          </w:tcPr>
          <w:p w:rsidR="000320D6" w:rsidRPr="000320D6" w:rsidRDefault="000320D6" w:rsidP="000320D6">
            <w:pPr>
              <w:jc w:val="center"/>
              <w:rPr>
                <w:color w:val="000000"/>
                <w:sz w:val="16"/>
                <w:szCs w:val="16"/>
              </w:rPr>
            </w:pP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1 184 439 647</w:t>
            </w:r>
          </w:p>
        </w:tc>
        <w:tc>
          <w:tcPr>
            <w:tcW w:w="1385"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-406 917 040</w:t>
            </w:r>
          </w:p>
        </w:tc>
        <w:tc>
          <w:tcPr>
            <w:tcW w:w="1312" w:type="dxa"/>
            <w:shd w:val="clear" w:color="auto" w:fill="auto"/>
            <w:noWrap/>
            <w:vAlign w:val="center"/>
            <w:hideMark/>
          </w:tcPr>
          <w:p w:rsidR="000320D6" w:rsidRPr="000320D6" w:rsidRDefault="000320D6" w:rsidP="000320D6">
            <w:pPr>
              <w:jc w:val="center"/>
              <w:rPr>
                <w:color w:val="000000"/>
                <w:sz w:val="16"/>
                <w:szCs w:val="16"/>
              </w:rPr>
            </w:pPr>
          </w:p>
        </w:tc>
        <w:tc>
          <w:tcPr>
            <w:tcW w:w="1288" w:type="dxa"/>
            <w:shd w:val="clear" w:color="000000" w:fill="FFFFFF"/>
            <w:vAlign w:val="center"/>
            <w:hideMark/>
          </w:tcPr>
          <w:p w:rsidR="000320D6" w:rsidRPr="000320D6" w:rsidRDefault="000320D6" w:rsidP="000320D6">
            <w:pPr>
              <w:jc w:val="center"/>
              <w:rPr>
                <w:color w:val="000000"/>
                <w:sz w:val="16"/>
                <w:szCs w:val="16"/>
              </w:rPr>
            </w:pPr>
            <w:r w:rsidRPr="000320D6">
              <w:rPr>
                <w:color w:val="000000"/>
                <w:sz w:val="16"/>
                <w:szCs w:val="16"/>
              </w:rPr>
              <w:t>-406 917 040</w:t>
            </w:r>
          </w:p>
        </w:tc>
      </w:tr>
      <w:tr w:rsidR="000320D6" w:rsidRPr="000320D6" w:rsidTr="003D7FC8">
        <w:trPr>
          <w:trHeight w:val="399"/>
        </w:trPr>
        <w:tc>
          <w:tcPr>
            <w:tcW w:w="1166" w:type="dxa"/>
            <w:shd w:val="clear" w:color="auto" w:fill="C2D69B" w:themeFill="accent3" w:themeFillTint="99"/>
            <w:vAlign w:val="center"/>
            <w:hideMark/>
          </w:tcPr>
          <w:p w:rsidR="000320D6" w:rsidRPr="000320D6" w:rsidRDefault="000320D6" w:rsidP="00650619">
            <w:pPr>
              <w:jc w:val="center"/>
              <w:rPr>
                <w:b/>
                <w:color w:val="000000"/>
                <w:sz w:val="18"/>
                <w:szCs w:val="18"/>
              </w:rPr>
            </w:pPr>
            <w:r w:rsidRPr="000320D6">
              <w:rPr>
                <w:b/>
                <w:color w:val="000000"/>
                <w:sz w:val="18"/>
                <w:szCs w:val="18"/>
              </w:rPr>
              <w:t>Součet</w:t>
            </w:r>
          </w:p>
        </w:tc>
        <w:tc>
          <w:tcPr>
            <w:tcW w:w="1360" w:type="dxa"/>
            <w:shd w:val="clear" w:color="auto" w:fill="C2D69B" w:themeFill="accent3" w:themeFillTint="99"/>
            <w:vAlign w:val="center"/>
            <w:hideMark/>
          </w:tcPr>
          <w:p w:rsidR="000320D6" w:rsidRPr="000320D6" w:rsidRDefault="000320D6" w:rsidP="000320D6">
            <w:pPr>
              <w:jc w:val="center"/>
              <w:rPr>
                <w:b/>
                <w:color w:val="000000"/>
                <w:sz w:val="16"/>
                <w:szCs w:val="16"/>
              </w:rPr>
            </w:pPr>
            <w:r w:rsidRPr="000320D6">
              <w:rPr>
                <w:b/>
                <w:color w:val="000000"/>
                <w:sz w:val="16"/>
                <w:szCs w:val="16"/>
              </w:rPr>
              <w:t>1 591 356 687</w:t>
            </w:r>
          </w:p>
        </w:tc>
        <w:tc>
          <w:tcPr>
            <w:tcW w:w="1360" w:type="dxa"/>
            <w:shd w:val="clear" w:color="auto" w:fill="C2D69B" w:themeFill="accent3" w:themeFillTint="99"/>
            <w:vAlign w:val="center"/>
            <w:hideMark/>
          </w:tcPr>
          <w:p w:rsidR="000320D6" w:rsidRPr="000320D6" w:rsidRDefault="000320D6" w:rsidP="000320D6">
            <w:pPr>
              <w:jc w:val="center"/>
              <w:rPr>
                <w:b/>
                <w:color w:val="000000"/>
                <w:sz w:val="16"/>
                <w:szCs w:val="16"/>
              </w:rPr>
            </w:pPr>
            <w:r w:rsidRPr="000320D6">
              <w:rPr>
                <w:b/>
                <w:color w:val="000000"/>
                <w:sz w:val="16"/>
                <w:szCs w:val="16"/>
              </w:rPr>
              <w:t>1 591 356 687</w:t>
            </w:r>
          </w:p>
        </w:tc>
        <w:tc>
          <w:tcPr>
            <w:tcW w:w="1433" w:type="dxa"/>
            <w:shd w:val="clear" w:color="auto" w:fill="C2D69B" w:themeFill="accent3" w:themeFillTint="99"/>
            <w:vAlign w:val="center"/>
            <w:hideMark/>
          </w:tcPr>
          <w:p w:rsidR="000320D6" w:rsidRPr="000320D6" w:rsidRDefault="000320D6" w:rsidP="000320D6">
            <w:pPr>
              <w:jc w:val="center"/>
              <w:rPr>
                <w:b/>
                <w:color w:val="000000"/>
                <w:sz w:val="16"/>
                <w:szCs w:val="16"/>
              </w:rPr>
            </w:pPr>
            <w:r w:rsidRPr="000320D6">
              <w:rPr>
                <w:b/>
                <w:color w:val="000000"/>
                <w:sz w:val="16"/>
                <w:szCs w:val="16"/>
              </w:rPr>
              <w:t>139 770 960</w:t>
            </w:r>
          </w:p>
        </w:tc>
        <w:tc>
          <w:tcPr>
            <w:tcW w:w="1482" w:type="dxa"/>
            <w:shd w:val="clear" w:color="auto" w:fill="C2D69B" w:themeFill="accent3" w:themeFillTint="99"/>
            <w:vAlign w:val="center"/>
            <w:hideMark/>
          </w:tcPr>
          <w:p w:rsidR="000320D6" w:rsidRPr="000320D6" w:rsidRDefault="000320D6" w:rsidP="000320D6">
            <w:pPr>
              <w:jc w:val="center"/>
              <w:rPr>
                <w:b/>
                <w:color w:val="000000"/>
                <w:sz w:val="16"/>
                <w:szCs w:val="16"/>
              </w:rPr>
            </w:pPr>
            <w:r w:rsidRPr="000320D6">
              <w:rPr>
                <w:b/>
                <w:color w:val="000000"/>
                <w:sz w:val="16"/>
                <w:szCs w:val="16"/>
              </w:rPr>
              <w:t>1 044 668 687</w:t>
            </w:r>
          </w:p>
        </w:tc>
        <w:tc>
          <w:tcPr>
            <w:tcW w:w="1506" w:type="dxa"/>
            <w:shd w:val="clear" w:color="auto" w:fill="C2D69B" w:themeFill="accent3" w:themeFillTint="99"/>
            <w:vAlign w:val="center"/>
            <w:hideMark/>
          </w:tcPr>
          <w:p w:rsidR="000320D6" w:rsidRPr="000320D6" w:rsidRDefault="000320D6" w:rsidP="000320D6">
            <w:pPr>
              <w:jc w:val="center"/>
              <w:rPr>
                <w:b/>
                <w:color w:val="000000"/>
                <w:sz w:val="16"/>
                <w:szCs w:val="16"/>
              </w:rPr>
            </w:pPr>
            <w:r w:rsidRPr="000320D6">
              <w:rPr>
                <w:b/>
                <w:color w:val="000000"/>
                <w:sz w:val="16"/>
                <w:szCs w:val="16"/>
              </w:rPr>
              <w:t>1 184 439 647</w:t>
            </w:r>
          </w:p>
        </w:tc>
        <w:tc>
          <w:tcPr>
            <w:tcW w:w="1385" w:type="dxa"/>
            <w:shd w:val="clear" w:color="auto" w:fill="C2D69B" w:themeFill="accent3" w:themeFillTint="99"/>
            <w:vAlign w:val="center"/>
            <w:hideMark/>
          </w:tcPr>
          <w:p w:rsidR="000320D6" w:rsidRPr="000320D6" w:rsidRDefault="000320D6" w:rsidP="000320D6">
            <w:pPr>
              <w:jc w:val="center"/>
              <w:rPr>
                <w:b/>
                <w:color w:val="000000"/>
                <w:sz w:val="16"/>
                <w:szCs w:val="16"/>
              </w:rPr>
            </w:pPr>
            <w:r w:rsidRPr="000320D6">
              <w:rPr>
                <w:b/>
                <w:color w:val="000000"/>
                <w:sz w:val="16"/>
                <w:szCs w:val="16"/>
              </w:rPr>
              <w:t>1 184 439 647</w:t>
            </w:r>
          </w:p>
        </w:tc>
        <w:tc>
          <w:tcPr>
            <w:tcW w:w="1385" w:type="dxa"/>
            <w:shd w:val="clear" w:color="auto" w:fill="C2D69B" w:themeFill="accent3" w:themeFillTint="99"/>
            <w:vAlign w:val="center"/>
            <w:hideMark/>
          </w:tcPr>
          <w:p w:rsidR="000320D6" w:rsidRPr="000320D6" w:rsidRDefault="000320D6" w:rsidP="000320D6">
            <w:pPr>
              <w:jc w:val="center"/>
              <w:rPr>
                <w:b/>
                <w:color w:val="000000"/>
                <w:sz w:val="16"/>
                <w:szCs w:val="16"/>
              </w:rPr>
            </w:pPr>
            <w:r w:rsidRPr="000320D6">
              <w:rPr>
                <w:b/>
                <w:color w:val="000000"/>
                <w:sz w:val="16"/>
                <w:szCs w:val="16"/>
              </w:rPr>
              <w:t>-406 917 040</w:t>
            </w:r>
          </w:p>
        </w:tc>
        <w:tc>
          <w:tcPr>
            <w:tcW w:w="1312" w:type="dxa"/>
            <w:shd w:val="clear" w:color="auto" w:fill="C2D69B" w:themeFill="accent3" w:themeFillTint="99"/>
            <w:noWrap/>
            <w:vAlign w:val="center"/>
            <w:hideMark/>
          </w:tcPr>
          <w:p w:rsidR="000320D6" w:rsidRPr="000320D6" w:rsidRDefault="000320D6" w:rsidP="000320D6">
            <w:pPr>
              <w:jc w:val="center"/>
              <w:rPr>
                <w:b/>
                <w:color w:val="000000"/>
                <w:sz w:val="16"/>
                <w:szCs w:val="16"/>
              </w:rPr>
            </w:pPr>
          </w:p>
        </w:tc>
        <w:tc>
          <w:tcPr>
            <w:tcW w:w="1288" w:type="dxa"/>
            <w:shd w:val="clear" w:color="auto" w:fill="C2D69B" w:themeFill="accent3" w:themeFillTint="99"/>
            <w:noWrap/>
            <w:vAlign w:val="center"/>
            <w:hideMark/>
          </w:tcPr>
          <w:p w:rsidR="000320D6" w:rsidRPr="000320D6" w:rsidRDefault="000320D6" w:rsidP="000320D6">
            <w:pPr>
              <w:jc w:val="center"/>
              <w:rPr>
                <w:b/>
                <w:color w:val="000000"/>
                <w:sz w:val="16"/>
                <w:szCs w:val="16"/>
              </w:rPr>
            </w:pPr>
          </w:p>
        </w:tc>
      </w:tr>
    </w:tbl>
    <w:p w:rsidR="008B4348" w:rsidRDefault="008B65B9" w:rsidP="0041525E">
      <w:pPr>
        <w:rPr>
          <w:i/>
          <w:sz w:val="18"/>
          <w:szCs w:val="18"/>
        </w:rPr>
      </w:pPr>
      <w:r w:rsidRPr="00555962">
        <w:rPr>
          <w:i/>
          <w:sz w:val="18"/>
          <w:szCs w:val="18"/>
        </w:rPr>
        <w:t xml:space="preserve">Zdroj: MSC 2007 ke dni </w:t>
      </w:r>
      <w:r w:rsidR="00EE20BF" w:rsidRPr="00555962">
        <w:rPr>
          <w:i/>
          <w:sz w:val="18"/>
          <w:szCs w:val="18"/>
        </w:rPr>
        <w:t>31. 12. 2014</w:t>
      </w:r>
    </w:p>
    <w:p w:rsidR="00650619" w:rsidRDefault="00A26F32" w:rsidP="00423B4B">
      <w:pPr>
        <w:rPr>
          <w:color w:val="000000"/>
          <w:sz w:val="18"/>
          <w:szCs w:val="18"/>
        </w:rPr>
        <w:sectPr w:rsidR="00650619" w:rsidSect="000320D6">
          <w:pgSz w:w="16838" w:h="11906" w:orient="landscape"/>
          <w:pgMar w:top="1417" w:right="1417" w:bottom="1417" w:left="1417" w:header="708" w:footer="708" w:gutter="0"/>
          <w:cols w:space="708"/>
          <w:docGrid w:linePitch="272"/>
        </w:sectPr>
      </w:pPr>
      <w:r>
        <w:rPr>
          <w:color w:val="000000"/>
          <w:sz w:val="18"/>
          <w:szCs w:val="18"/>
        </w:rPr>
        <w:t>Pozn.: V tabulce</w:t>
      </w:r>
      <w:r w:rsidR="00423B4B">
        <w:rPr>
          <w:color w:val="000000"/>
          <w:sz w:val="18"/>
          <w:szCs w:val="18"/>
        </w:rPr>
        <w:t xml:space="preserve"> je upraven sloupec Žádosti o průběžnou platbu předložené EK. </w:t>
      </w:r>
      <w:r w:rsidR="00423B4B" w:rsidRPr="00166B6D">
        <w:rPr>
          <w:color w:val="000000"/>
          <w:sz w:val="18"/>
          <w:szCs w:val="18"/>
        </w:rPr>
        <w:t xml:space="preserve">V prosinci 2011 byla předložena 8. průběžná žádost o platbu ve výši 28 120 764,12 EUR pro cíl KONV </w:t>
      </w:r>
      <w:r>
        <w:rPr>
          <w:color w:val="000000"/>
          <w:sz w:val="18"/>
          <w:szCs w:val="18"/>
        </w:rPr>
        <w:br/>
      </w:r>
      <w:r w:rsidR="00423B4B" w:rsidRPr="00166B6D">
        <w:rPr>
          <w:color w:val="000000"/>
          <w:sz w:val="18"/>
          <w:szCs w:val="18"/>
        </w:rPr>
        <w:t xml:space="preserve">a 1 442 828,55 EUR pro cíl </w:t>
      </w:r>
      <w:proofErr w:type="spellStart"/>
      <w:r w:rsidR="00423B4B" w:rsidRPr="00166B6D">
        <w:rPr>
          <w:color w:val="000000"/>
          <w:sz w:val="18"/>
          <w:szCs w:val="18"/>
        </w:rPr>
        <w:t>RKaZ</w:t>
      </w:r>
      <w:proofErr w:type="spellEnd"/>
      <w:r w:rsidR="00423B4B" w:rsidRPr="00166B6D">
        <w:rPr>
          <w:color w:val="000000"/>
          <w:sz w:val="18"/>
          <w:szCs w:val="18"/>
        </w:rPr>
        <w:t>, která byla v únoru 2012 stažena.</w:t>
      </w:r>
      <w:r w:rsidR="00423B4B">
        <w:rPr>
          <w:color w:val="000000"/>
          <w:sz w:val="18"/>
          <w:szCs w:val="18"/>
        </w:rPr>
        <w:t xml:space="preserve"> Do ročních žádostí za rok </w:t>
      </w:r>
      <w:r w:rsidR="00423B4B" w:rsidRPr="00AD03BF">
        <w:rPr>
          <w:color w:val="000000"/>
          <w:sz w:val="18"/>
          <w:szCs w:val="18"/>
        </w:rPr>
        <w:t xml:space="preserve">2011 </w:t>
      </w:r>
      <w:r w:rsidR="00423B4B">
        <w:rPr>
          <w:color w:val="000000"/>
          <w:sz w:val="18"/>
          <w:szCs w:val="18"/>
        </w:rPr>
        <w:t xml:space="preserve">je </w:t>
      </w:r>
      <w:r w:rsidR="00423B4B" w:rsidRPr="00AD03BF">
        <w:rPr>
          <w:color w:val="000000"/>
          <w:sz w:val="18"/>
          <w:szCs w:val="18"/>
        </w:rPr>
        <w:t>započítána částka 8. průběžné platby, v</w:t>
      </w:r>
      <w:r w:rsidR="00423B4B">
        <w:rPr>
          <w:color w:val="000000"/>
          <w:sz w:val="18"/>
          <w:szCs w:val="18"/>
        </w:rPr>
        <w:t> </w:t>
      </w:r>
      <w:r w:rsidR="00423B4B" w:rsidRPr="00AD03BF">
        <w:rPr>
          <w:color w:val="000000"/>
          <w:sz w:val="18"/>
          <w:szCs w:val="18"/>
        </w:rPr>
        <w:t>r</w:t>
      </w:r>
      <w:r w:rsidR="00423B4B">
        <w:rPr>
          <w:color w:val="000000"/>
          <w:sz w:val="18"/>
          <w:szCs w:val="18"/>
        </w:rPr>
        <w:t xml:space="preserve">oce </w:t>
      </w:r>
      <w:r w:rsidR="00423B4B" w:rsidRPr="00AD03BF">
        <w:rPr>
          <w:color w:val="000000"/>
          <w:sz w:val="18"/>
          <w:szCs w:val="18"/>
        </w:rPr>
        <w:t xml:space="preserve">2012 </w:t>
      </w:r>
      <w:r w:rsidR="00423B4B">
        <w:rPr>
          <w:color w:val="000000"/>
          <w:sz w:val="18"/>
          <w:szCs w:val="18"/>
        </w:rPr>
        <w:t xml:space="preserve">je </w:t>
      </w:r>
      <w:r w:rsidR="00423B4B" w:rsidRPr="00AD03BF">
        <w:rPr>
          <w:color w:val="000000"/>
          <w:sz w:val="18"/>
          <w:szCs w:val="18"/>
        </w:rPr>
        <w:t xml:space="preserve">počítáno s rozdílem mezi </w:t>
      </w:r>
      <w:r w:rsidR="00423B4B">
        <w:rPr>
          <w:color w:val="000000"/>
          <w:sz w:val="18"/>
          <w:szCs w:val="18"/>
        </w:rPr>
        <w:br/>
      </w:r>
      <w:r w:rsidR="00423B4B" w:rsidRPr="00AD03BF">
        <w:rPr>
          <w:color w:val="000000"/>
          <w:sz w:val="18"/>
          <w:szCs w:val="18"/>
        </w:rPr>
        <w:t xml:space="preserve">9 a 8. platbou, aby nedocházelo k duplikaci. </w:t>
      </w:r>
    </w:p>
    <w:p w:rsidR="00423B4B" w:rsidRPr="0049693A" w:rsidRDefault="0049693A" w:rsidP="00A92782">
      <w:pPr>
        <w:pStyle w:val="Tabulkanzev"/>
      </w:pPr>
      <w:bookmarkStart w:id="29" w:name="_Toc416431802"/>
      <w:r w:rsidRPr="0049693A">
        <w:lastRenderedPageBreak/>
        <w:t xml:space="preserve">Přehled naplňování pravidla n+3/n+2 pro cíl </w:t>
      </w:r>
      <w:proofErr w:type="spellStart"/>
      <w:r w:rsidRPr="0049693A">
        <w:t>RKaZ</w:t>
      </w:r>
      <w:proofErr w:type="spellEnd"/>
      <w:r w:rsidRPr="0049693A">
        <w:t xml:space="preserve"> (v </w:t>
      </w:r>
      <w:proofErr w:type="gramStart"/>
      <w:r w:rsidRPr="0049693A">
        <w:t>EUR</w:t>
      </w:r>
      <w:proofErr w:type="gramEnd"/>
      <w:r w:rsidRPr="0049693A">
        <w:t>)</w:t>
      </w:r>
      <w:bookmarkEnd w:id="29"/>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0"/>
        <w:gridCol w:w="1345"/>
        <w:gridCol w:w="1312"/>
        <w:gridCol w:w="1056"/>
        <w:gridCol w:w="1107"/>
        <w:gridCol w:w="1175"/>
        <w:gridCol w:w="1175"/>
        <w:gridCol w:w="1222"/>
      </w:tblGrid>
      <w:tr w:rsidR="007737AB" w:rsidRPr="0049693A" w:rsidTr="007737AB">
        <w:trPr>
          <w:trHeight w:val="1260"/>
        </w:trPr>
        <w:tc>
          <w:tcPr>
            <w:tcW w:w="445" w:type="pct"/>
            <w:vMerge w:val="restart"/>
            <w:shd w:val="clear" w:color="auto" w:fill="C2D69B" w:themeFill="accent3" w:themeFillTint="99"/>
            <w:vAlign w:val="center"/>
            <w:hideMark/>
          </w:tcPr>
          <w:p w:rsidR="007737AB" w:rsidRPr="0049693A" w:rsidRDefault="007737AB" w:rsidP="007737AB">
            <w:pPr>
              <w:jc w:val="center"/>
              <w:rPr>
                <w:b/>
                <w:bCs/>
                <w:color w:val="000000"/>
                <w:sz w:val="16"/>
                <w:szCs w:val="16"/>
              </w:rPr>
            </w:pPr>
            <w:r w:rsidRPr="0049693A">
              <w:rPr>
                <w:b/>
                <w:bCs/>
                <w:color w:val="000000"/>
                <w:sz w:val="16"/>
                <w:szCs w:val="16"/>
              </w:rPr>
              <w:t>Finanční plán - rok</w:t>
            </w:r>
          </w:p>
        </w:tc>
        <w:tc>
          <w:tcPr>
            <w:tcW w:w="730" w:type="pct"/>
            <w:vMerge w:val="restart"/>
            <w:shd w:val="clear" w:color="auto" w:fill="C2D69B" w:themeFill="accent3" w:themeFillTint="99"/>
            <w:vAlign w:val="center"/>
            <w:hideMark/>
          </w:tcPr>
          <w:p w:rsidR="007737AB" w:rsidRPr="0049693A" w:rsidRDefault="007737AB" w:rsidP="007737AB">
            <w:pPr>
              <w:jc w:val="center"/>
              <w:rPr>
                <w:b/>
                <w:bCs/>
                <w:color w:val="000000"/>
                <w:sz w:val="16"/>
                <w:szCs w:val="16"/>
              </w:rPr>
            </w:pPr>
            <w:r w:rsidRPr="0049693A">
              <w:rPr>
                <w:b/>
                <w:bCs/>
                <w:color w:val="000000"/>
                <w:sz w:val="16"/>
                <w:szCs w:val="16"/>
              </w:rPr>
              <w:t>Celková alokace EU prostředků 2007 - 2013 - roční</w:t>
            </w:r>
          </w:p>
        </w:tc>
        <w:tc>
          <w:tcPr>
            <w:tcW w:w="712" w:type="pct"/>
            <w:shd w:val="clear" w:color="auto" w:fill="C2D69B" w:themeFill="accent3" w:themeFillTint="99"/>
            <w:vAlign w:val="center"/>
            <w:hideMark/>
          </w:tcPr>
          <w:p w:rsidR="007737AB" w:rsidRPr="0049693A" w:rsidRDefault="007737AB" w:rsidP="007737AB">
            <w:pPr>
              <w:jc w:val="center"/>
              <w:rPr>
                <w:b/>
                <w:bCs/>
              </w:rPr>
            </w:pPr>
            <w:r w:rsidRPr="0049693A">
              <w:rPr>
                <w:b/>
                <w:bCs/>
                <w:color w:val="000000"/>
                <w:sz w:val="16"/>
                <w:szCs w:val="16"/>
              </w:rPr>
              <w:t>N+3 / N+2 limity - souhrnné *</w:t>
            </w:r>
          </w:p>
        </w:tc>
        <w:tc>
          <w:tcPr>
            <w:tcW w:w="573" w:type="pct"/>
            <w:shd w:val="clear" w:color="auto" w:fill="C2D69B" w:themeFill="accent3" w:themeFillTint="99"/>
            <w:vAlign w:val="center"/>
            <w:hideMark/>
          </w:tcPr>
          <w:p w:rsidR="007737AB" w:rsidRPr="0049693A" w:rsidRDefault="007737AB" w:rsidP="007737AB">
            <w:pPr>
              <w:jc w:val="center"/>
              <w:rPr>
                <w:b/>
                <w:bCs/>
              </w:rPr>
            </w:pPr>
            <w:r w:rsidRPr="0049693A">
              <w:rPr>
                <w:b/>
                <w:bCs/>
                <w:color w:val="000000"/>
                <w:sz w:val="16"/>
                <w:szCs w:val="16"/>
              </w:rPr>
              <w:t>Předběžné platby z EK - roční</w:t>
            </w:r>
          </w:p>
        </w:tc>
        <w:tc>
          <w:tcPr>
            <w:tcW w:w="601" w:type="pct"/>
            <w:shd w:val="clear" w:color="auto" w:fill="C2D69B" w:themeFill="accent3" w:themeFillTint="99"/>
            <w:vAlign w:val="center"/>
            <w:hideMark/>
          </w:tcPr>
          <w:p w:rsidR="007737AB" w:rsidRPr="0049693A" w:rsidRDefault="007737AB" w:rsidP="007737AB">
            <w:pPr>
              <w:jc w:val="center"/>
              <w:rPr>
                <w:b/>
                <w:bCs/>
              </w:rPr>
            </w:pPr>
            <w:r w:rsidRPr="0049693A">
              <w:rPr>
                <w:b/>
                <w:bCs/>
                <w:color w:val="000000"/>
                <w:sz w:val="16"/>
                <w:szCs w:val="16"/>
              </w:rPr>
              <w:t>Žádosti o průběžnou / závěrečnou platbu předložené EK - roční</w:t>
            </w:r>
          </w:p>
        </w:tc>
        <w:tc>
          <w:tcPr>
            <w:tcW w:w="638" w:type="pct"/>
            <w:shd w:val="clear" w:color="auto" w:fill="C2D69B" w:themeFill="accent3" w:themeFillTint="99"/>
            <w:vAlign w:val="center"/>
            <w:hideMark/>
          </w:tcPr>
          <w:p w:rsidR="007737AB" w:rsidRPr="0049693A" w:rsidRDefault="007737AB" w:rsidP="007737AB">
            <w:pPr>
              <w:jc w:val="center"/>
              <w:rPr>
                <w:b/>
                <w:bCs/>
              </w:rPr>
            </w:pPr>
            <w:r w:rsidRPr="0049693A">
              <w:rPr>
                <w:b/>
                <w:bCs/>
                <w:color w:val="000000"/>
                <w:sz w:val="16"/>
                <w:szCs w:val="16"/>
              </w:rPr>
              <w:t>Předběžné platby z EK + žádosti o platby z ČR - roční</w:t>
            </w:r>
          </w:p>
        </w:tc>
        <w:tc>
          <w:tcPr>
            <w:tcW w:w="638" w:type="pct"/>
            <w:shd w:val="clear" w:color="auto" w:fill="C2D69B" w:themeFill="accent3" w:themeFillTint="99"/>
            <w:vAlign w:val="center"/>
            <w:hideMark/>
          </w:tcPr>
          <w:p w:rsidR="007737AB" w:rsidRPr="0049693A" w:rsidRDefault="007737AB" w:rsidP="007737AB">
            <w:pPr>
              <w:jc w:val="center"/>
              <w:rPr>
                <w:b/>
                <w:bCs/>
              </w:rPr>
            </w:pPr>
            <w:r w:rsidRPr="0049693A">
              <w:rPr>
                <w:b/>
                <w:bCs/>
                <w:color w:val="000000"/>
                <w:sz w:val="16"/>
                <w:szCs w:val="16"/>
              </w:rPr>
              <w:t>Předběžné platby z EK + žádosti o platby - souhrnné</w:t>
            </w:r>
          </w:p>
        </w:tc>
        <w:tc>
          <w:tcPr>
            <w:tcW w:w="663" w:type="pct"/>
            <w:shd w:val="clear" w:color="auto" w:fill="C2D69B" w:themeFill="accent3" w:themeFillTint="99"/>
            <w:vAlign w:val="center"/>
            <w:hideMark/>
          </w:tcPr>
          <w:p w:rsidR="007737AB" w:rsidRPr="0049693A" w:rsidRDefault="007737AB" w:rsidP="007737AB">
            <w:pPr>
              <w:jc w:val="center"/>
              <w:rPr>
                <w:b/>
                <w:bCs/>
              </w:rPr>
            </w:pPr>
            <w:r w:rsidRPr="0049693A">
              <w:rPr>
                <w:b/>
                <w:bCs/>
                <w:color w:val="000000"/>
                <w:sz w:val="16"/>
                <w:szCs w:val="16"/>
              </w:rPr>
              <w:t>Rozdíl mezi platbami a limity - souhrnné</w:t>
            </w:r>
          </w:p>
        </w:tc>
      </w:tr>
      <w:tr w:rsidR="007737AB" w:rsidRPr="0049693A" w:rsidTr="007737AB">
        <w:trPr>
          <w:trHeight w:val="304"/>
        </w:trPr>
        <w:tc>
          <w:tcPr>
            <w:tcW w:w="445" w:type="pct"/>
            <w:vMerge/>
            <w:shd w:val="clear" w:color="auto" w:fill="C2D69B" w:themeFill="accent3" w:themeFillTint="99"/>
            <w:vAlign w:val="center"/>
          </w:tcPr>
          <w:p w:rsidR="007737AB" w:rsidRPr="0049693A" w:rsidRDefault="007737AB" w:rsidP="0049693A">
            <w:pPr>
              <w:jc w:val="center"/>
              <w:rPr>
                <w:b/>
                <w:bCs/>
                <w:color w:val="000000"/>
                <w:sz w:val="16"/>
                <w:szCs w:val="16"/>
              </w:rPr>
            </w:pPr>
          </w:p>
        </w:tc>
        <w:tc>
          <w:tcPr>
            <w:tcW w:w="730" w:type="pct"/>
            <w:vMerge/>
            <w:shd w:val="clear" w:color="auto" w:fill="C2D69B" w:themeFill="accent3" w:themeFillTint="99"/>
            <w:vAlign w:val="center"/>
          </w:tcPr>
          <w:p w:rsidR="007737AB" w:rsidRPr="0049693A" w:rsidRDefault="007737AB" w:rsidP="0049693A">
            <w:pPr>
              <w:rPr>
                <w:b/>
                <w:bCs/>
                <w:color w:val="000000"/>
                <w:sz w:val="16"/>
                <w:szCs w:val="16"/>
              </w:rPr>
            </w:pPr>
          </w:p>
        </w:tc>
        <w:tc>
          <w:tcPr>
            <w:tcW w:w="712" w:type="pct"/>
            <w:shd w:val="clear" w:color="auto" w:fill="C2D69B" w:themeFill="accent3" w:themeFillTint="99"/>
            <w:vAlign w:val="center"/>
          </w:tcPr>
          <w:p w:rsidR="007737AB" w:rsidRPr="0049693A" w:rsidRDefault="007737AB" w:rsidP="007737AB">
            <w:pPr>
              <w:jc w:val="center"/>
              <w:rPr>
                <w:b/>
                <w:bCs/>
                <w:color w:val="000000"/>
                <w:sz w:val="16"/>
                <w:szCs w:val="16"/>
              </w:rPr>
            </w:pPr>
            <w:r w:rsidRPr="0049693A">
              <w:rPr>
                <w:b/>
                <w:bCs/>
                <w:color w:val="000000"/>
                <w:sz w:val="16"/>
                <w:szCs w:val="16"/>
              </w:rPr>
              <w:t>a</w:t>
            </w:r>
          </w:p>
        </w:tc>
        <w:tc>
          <w:tcPr>
            <w:tcW w:w="573" w:type="pct"/>
            <w:shd w:val="clear" w:color="auto" w:fill="C2D69B" w:themeFill="accent3" w:themeFillTint="99"/>
            <w:vAlign w:val="center"/>
          </w:tcPr>
          <w:p w:rsidR="007737AB" w:rsidRPr="0049693A" w:rsidRDefault="007737AB" w:rsidP="007737AB">
            <w:pPr>
              <w:jc w:val="center"/>
              <w:rPr>
                <w:b/>
                <w:bCs/>
                <w:color w:val="000000"/>
                <w:sz w:val="16"/>
                <w:szCs w:val="16"/>
              </w:rPr>
            </w:pPr>
            <w:r w:rsidRPr="0049693A">
              <w:rPr>
                <w:b/>
                <w:bCs/>
                <w:color w:val="000000"/>
                <w:sz w:val="16"/>
                <w:szCs w:val="16"/>
              </w:rPr>
              <w:t>b</w:t>
            </w:r>
          </w:p>
        </w:tc>
        <w:tc>
          <w:tcPr>
            <w:tcW w:w="601" w:type="pct"/>
            <w:shd w:val="clear" w:color="auto" w:fill="C2D69B" w:themeFill="accent3" w:themeFillTint="99"/>
            <w:vAlign w:val="center"/>
          </w:tcPr>
          <w:p w:rsidR="007737AB" w:rsidRPr="0049693A" w:rsidRDefault="007737AB" w:rsidP="007737AB">
            <w:pPr>
              <w:jc w:val="center"/>
              <w:rPr>
                <w:b/>
                <w:bCs/>
                <w:color w:val="000000"/>
                <w:sz w:val="16"/>
                <w:szCs w:val="16"/>
              </w:rPr>
            </w:pPr>
            <w:r w:rsidRPr="0049693A">
              <w:rPr>
                <w:b/>
                <w:bCs/>
                <w:color w:val="000000"/>
                <w:sz w:val="16"/>
                <w:szCs w:val="16"/>
              </w:rPr>
              <w:t>c</w:t>
            </w:r>
          </w:p>
        </w:tc>
        <w:tc>
          <w:tcPr>
            <w:tcW w:w="638" w:type="pct"/>
            <w:shd w:val="clear" w:color="auto" w:fill="C2D69B" w:themeFill="accent3" w:themeFillTint="99"/>
            <w:vAlign w:val="center"/>
          </w:tcPr>
          <w:p w:rsidR="007737AB" w:rsidRPr="0049693A" w:rsidRDefault="007737AB" w:rsidP="007737AB">
            <w:pPr>
              <w:jc w:val="center"/>
              <w:rPr>
                <w:b/>
                <w:bCs/>
                <w:color w:val="000000"/>
                <w:sz w:val="16"/>
                <w:szCs w:val="16"/>
              </w:rPr>
            </w:pPr>
            <w:r w:rsidRPr="0049693A">
              <w:rPr>
                <w:b/>
                <w:bCs/>
                <w:color w:val="000000"/>
                <w:sz w:val="16"/>
                <w:szCs w:val="16"/>
              </w:rPr>
              <w:t>d</w:t>
            </w:r>
            <w:r>
              <w:rPr>
                <w:b/>
                <w:bCs/>
                <w:color w:val="000000"/>
                <w:sz w:val="16"/>
                <w:szCs w:val="16"/>
              </w:rPr>
              <w:t xml:space="preserve"> </w:t>
            </w:r>
            <w:r w:rsidRPr="0049693A">
              <w:rPr>
                <w:b/>
                <w:bCs/>
                <w:color w:val="000000"/>
                <w:sz w:val="16"/>
                <w:szCs w:val="16"/>
              </w:rPr>
              <w:t>=</w:t>
            </w:r>
            <w:r>
              <w:rPr>
                <w:b/>
                <w:bCs/>
                <w:color w:val="000000"/>
                <w:sz w:val="16"/>
                <w:szCs w:val="16"/>
              </w:rPr>
              <w:t xml:space="preserve"> </w:t>
            </w:r>
            <w:r w:rsidRPr="0049693A">
              <w:rPr>
                <w:b/>
                <w:bCs/>
                <w:color w:val="000000"/>
                <w:sz w:val="16"/>
                <w:szCs w:val="16"/>
              </w:rPr>
              <w:t>b</w:t>
            </w:r>
            <w:r>
              <w:rPr>
                <w:b/>
                <w:bCs/>
                <w:color w:val="000000"/>
                <w:sz w:val="16"/>
                <w:szCs w:val="16"/>
              </w:rPr>
              <w:t xml:space="preserve"> </w:t>
            </w:r>
            <w:r w:rsidRPr="0049693A">
              <w:rPr>
                <w:b/>
                <w:bCs/>
                <w:color w:val="000000"/>
                <w:sz w:val="16"/>
                <w:szCs w:val="16"/>
              </w:rPr>
              <w:t>+</w:t>
            </w:r>
            <w:r>
              <w:rPr>
                <w:b/>
                <w:bCs/>
                <w:color w:val="000000"/>
                <w:sz w:val="16"/>
                <w:szCs w:val="16"/>
              </w:rPr>
              <w:t xml:space="preserve"> </w:t>
            </w:r>
            <w:r w:rsidRPr="0049693A">
              <w:rPr>
                <w:b/>
                <w:bCs/>
                <w:color w:val="000000"/>
                <w:sz w:val="16"/>
                <w:szCs w:val="16"/>
              </w:rPr>
              <w:t>c</w:t>
            </w:r>
          </w:p>
        </w:tc>
        <w:tc>
          <w:tcPr>
            <w:tcW w:w="638" w:type="pct"/>
            <w:shd w:val="clear" w:color="auto" w:fill="C2D69B" w:themeFill="accent3" w:themeFillTint="99"/>
            <w:vAlign w:val="center"/>
          </w:tcPr>
          <w:p w:rsidR="007737AB" w:rsidRPr="0049693A" w:rsidRDefault="007737AB" w:rsidP="007737AB">
            <w:pPr>
              <w:jc w:val="center"/>
              <w:rPr>
                <w:b/>
                <w:bCs/>
                <w:color w:val="000000"/>
                <w:sz w:val="16"/>
                <w:szCs w:val="16"/>
              </w:rPr>
            </w:pPr>
            <w:r w:rsidRPr="0049693A">
              <w:rPr>
                <w:b/>
                <w:bCs/>
                <w:color w:val="000000"/>
                <w:sz w:val="16"/>
                <w:szCs w:val="16"/>
              </w:rPr>
              <w:t>e</w:t>
            </w:r>
          </w:p>
        </w:tc>
        <w:tc>
          <w:tcPr>
            <w:tcW w:w="663" w:type="pct"/>
            <w:shd w:val="clear" w:color="auto" w:fill="C2D69B" w:themeFill="accent3" w:themeFillTint="99"/>
            <w:vAlign w:val="center"/>
          </w:tcPr>
          <w:p w:rsidR="007737AB" w:rsidRPr="0049693A" w:rsidRDefault="007737AB" w:rsidP="007737AB">
            <w:pPr>
              <w:jc w:val="center"/>
              <w:rPr>
                <w:b/>
                <w:bCs/>
                <w:color w:val="000000"/>
                <w:sz w:val="16"/>
                <w:szCs w:val="16"/>
              </w:rPr>
            </w:pPr>
            <w:r w:rsidRPr="0049693A">
              <w:rPr>
                <w:b/>
                <w:bCs/>
                <w:color w:val="000000"/>
                <w:sz w:val="16"/>
                <w:szCs w:val="16"/>
              </w:rPr>
              <w:t>f</w:t>
            </w:r>
            <w:r>
              <w:rPr>
                <w:b/>
                <w:bCs/>
                <w:color w:val="000000"/>
                <w:sz w:val="16"/>
                <w:szCs w:val="16"/>
              </w:rPr>
              <w:t xml:space="preserve"> </w:t>
            </w:r>
            <w:r w:rsidRPr="0049693A">
              <w:rPr>
                <w:b/>
                <w:bCs/>
                <w:color w:val="000000"/>
                <w:sz w:val="16"/>
                <w:szCs w:val="16"/>
              </w:rPr>
              <w:t>=</w:t>
            </w:r>
            <w:r>
              <w:rPr>
                <w:b/>
                <w:bCs/>
                <w:color w:val="000000"/>
                <w:sz w:val="16"/>
                <w:szCs w:val="16"/>
              </w:rPr>
              <w:t xml:space="preserve"> </w:t>
            </w:r>
            <w:r w:rsidRPr="0049693A">
              <w:rPr>
                <w:b/>
                <w:bCs/>
                <w:color w:val="000000"/>
                <w:sz w:val="16"/>
                <w:szCs w:val="16"/>
              </w:rPr>
              <w:t>e</w:t>
            </w:r>
            <w:r>
              <w:rPr>
                <w:b/>
                <w:bCs/>
                <w:color w:val="000000"/>
                <w:sz w:val="16"/>
                <w:szCs w:val="16"/>
              </w:rPr>
              <w:t xml:space="preserve"> </w:t>
            </w:r>
            <w:r w:rsidRPr="0049693A">
              <w:rPr>
                <w:b/>
                <w:bCs/>
                <w:color w:val="000000"/>
                <w:sz w:val="16"/>
                <w:szCs w:val="16"/>
              </w:rPr>
              <w:t>-</w:t>
            </w:r>
            <w:r>
              <w:rPr>
                <w:b/>
                <w:bCs/>
                <w:color w:val="000000"/>
                <w:sz w:val="16"/>
                <w:szCs w:val="16"/>
              </w:rPr>
              <w:t xml:space="preserve"> </w:t>
            </w:r>
            <w:r w:rsidRPr="0049693A">
              <w:rPr>
                <w:b/>
                <w:bCs/>
                <w:color w:val="000000"/>
                <w:sz w:val="16"/>
                <w:szCs w:val="16"/>
              </w:rPr>
              <w:t>a</w:t>
            </w: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2007</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3 951 894</w:t>
            </w:r>
          </w:p>
        </w:tc>
        <w:tc>
          <w:tcPr>
            <w:tcW w:w="712" w:type="pct"/>
            <w:shd w:val="clear" w:color="auto" w:fill="auto"/>
            <w:vAlign w:val="center"/>
            <w:hideMark/>
          </w:tcPr>
          <w:p w:rsidR="0049693A" w:rsidRPr="0049693A" w:rsidRDefault="0049693A" w:rsidP="0049693A">
            <w:pPr>
              <w:jc w:val="center"/>
            </w:pPr>
          </w:p>
        </w:tc>
        <w:tc>
          <w:tcPr>
            <w:tcW w:w="573" w:type="pct"/>
            <w:shd w:val="clear" w:color="auto" w:fill="auto"/>
            <w:vAlign w:val="center"/>
            <w:hideMark/>
          </w:tcPr>
          <w:p w:rsidR="0049693A" w:rsidRPr="0049693A" w:rsidRDefault="0049693A" w:rsidP="0049693A">
            <w:pPr>
              <w:jc w:val="center"/>
            </w:pPr>
          </w:p>
        </w:tc>
        <w:tc>
          <w:tcPr>
            <w:tcW w:w="601" w:type="pct"/>
            <w:shd w:val="clear" w:color="auto" w:fill="auto"/>
            <w:vAlign w:val="center"/>
            <w:hideMark/>
          </w:tcPr>
          <w:p w:rsidR="0049693A" w:rsidRPr="0049693A" w:rsidRDefault="0049693A" w:rsidP="0049693A">
            <w:pPr>
              <w:jc w:val="center"/>
            </w:pPr>
          </w:p>
        </w:tc>
        <w:tc>
          <w:tcPr>
            <w:tcW w:w="638" w:type="pct"/>
            <w:shd w:val="clear" w:color="auto" w:fill="auto"/>
            <w:vAlign w:val="center"/>
            <w:hideMark/>
          </w:tcPr>
          <w:p w:rsidR="0049693A" w:rsidRPr="0049693A" w:rsidRDefault="0049693A" w:rsidP="0049693A">
            <w:pPr>
              <w:jc w:val="center"/>
            </w:pPr>
          </w:p>
        </w:tc>
        <w:tc>
          <w:tcPr>
            <w:tcW w:w="638" w:type="pct"/>
            <w:shd w:val="clear" w:color="auto" w:fill="auto"/>
            <w:vAlign w:val="center"/>
            <w:hideMark/>
          </w:tcPr>
          <w:p w:rsidR="0049693A" w:rsidRPr="0049693A" w:rsidRDefault="0049693A" w:rsidP="0049693A">
            <w:pPr>
              <w:jc w:val="center"/>
            </w:pPr>
          </w:p>
        </w:tc>
        <w:tc>
          <w:tcPr>
            <w:tcW w:w="663" w:type="pct"/>
            <w:shd w:val="clear" w:color="auto" w:fill="auto"/>
            <w:vAlign w:val="center"/>
            <w:hideMark/>
          </w:tcPr>
          <w:p w:rsidR="0049693A" w:rsidRPr="0049693A" w:rsidRDefault="0049693A" w:rsidP="0049693A">
            <w:pPr>
              <w:jc w:val="center"/>
            </w:pP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2008</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4 030 931</w:t>
            </w:r>
          </w:p>
        </w:tc>
        <w:tc>
          <w:tcPr>
            <w:tcW w:w="712" w:type="pct"/>
            <w:shd w:val="clear" w:color="auto" w:fill="auto"/>
            <w:vAlign w:val="center"/>
            <w:hideMark/>
          </w:tcPr>
          <w:p w:rsidR="0049693A" w:rsidRPr="0049693A" w:rsidRDefault="0049693A" w:rsidP="0049693A">
            <w:pPr>
              <w:jc w:val="center"/>
            </w:pPr>
          </w:p>
        </w:tc>
        <w:tc>
          <w:tcPr>
            <w:tcW w:w="573"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1 468 975</w:t>
            </w:r>
          </w:p>
        </w:tc>
        <w:tc>
          <w:tcPr>
            <w:tcW w:w="601" w:type="pct"/>
            <w:shd w:val="clear" w:color="auto" w:fill="auto"/>
            <w:vAlign w:val="center"/>
            <w:hideMark/>
          </w:tcPr>
          <w:p w:rsidR="0049693A" w:rsidRPr="0049693A" w:rsidRDefault="0049693A" w:rsidP="0049693A">
            <w:pPr>
              <w:jc w:val="center"/>
            </w:pP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1 468 975</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1 468 975</w:t>
            </w:r>
          </w:p>
        </w:tc>
        <w:tc>
          <w:tcPr>
            <w:tcW w:w="663" w:type="pct"/>
            <w:shd w:val="clear" w:color="auto" w:fill="auto"/>
            <w:vAlign w:val="center"/>
            <w:hideMark/>
          </w:tcPr>
          <w:p w:rsidR="0049693A" w:rsidRPr="0049693A" w:rsidRDefault="0049693A" w:rsidP="0049693A">
            <w:pPr>
              <w:jc w:val="center"/>
              <w:rPr>
                <w:color w:val="000000"/>
                <w:sz w:val="16"/>
                <w:szCs w:val="16"/>
              </w:rPr>
            </w:pP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bookmarkStart w:id="30" w:name="RANGE!E58"/>
            <w:r w:rsidRPr="0049693A">
              <w:rPr>
                <w:color w:val="000000"/>
                <w:sz w:val="16"/>
                <w:szCs w:val="16"/>
              </w:rPr>
              <w:t>2009</w:t>
            </w:r>
            <w:bookmarkEnd w:id="30"/>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4 111 551</w:t>
            </w:r>
          </w:p>
        </w:tc>
        <w:tc>
          <w:tcPr>
            <w:tcW w:w="712" w:type="pct"/>
            <w:shd w:val="clear" w:color="auto" w:fill="auto"/>
            <w:vAlign w:val="center"/>
            <w:hideMark/>
          </w:tcPr>
          <w:p w:rsidR="0049693A" w:rsidRPr="0049693A" w:rsidRDefault="0049693A" w:rsidP="0049693A">
            <w:pPr>
              <w:jc w:val="center"/>
            </w:pPr>
          </w:p>
        </w:tc>
        <w:tc>
          <w:tcPr>
            <w:tcW w:w="573"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1 175 180</w:t>
            </w:r>
          </w:p>
        </w:tc>
        <w:tc>
          <w:tcPr>
            <w:tcW w:w="601"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3 569</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1 178 749</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2 647 724</w:t>
            </w:r>
          </w:p>
        </w:tc>
        <w:tc>
          <w:tcPr>
            <w:tcW w:w="663" w:type="pct"/>
            <w:shd w:val="clear" w:color="auto" w:fill="auto"/>
            <w:vAlign w:val="center"/>
            <w:hideMark/>
          </w:tcPr>
          <w:p w:rsidR="0049693A" w:rsidRPr="0049693A" w:rsidRDefault="0049693A" w:rsidP="0049693A">
            <w:pPr>
              <w:jc w:val="center"/>
              <w:rPr>
                <w:color w:val="000000"/>
                <w:sz w:val="16"/>
                <w:szCs w:val="16"/>
              </w:rPr>
            </w:pP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2010</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2 635 524</w:t>
            </w:r>
          </w:p>
        </w:tc>
        <w:tc>
          <w:tcPr>
            <w:tcW w:w="712" w:type="pct"/>
            <w:shd w:val="clear" w:color="auto" w:fill="auto"/>
            <w:vAlign w:val="center"/>
            <w:hideMark/>
          </w:tcPr>
          <w:p w:rsidR="0049693A" w:rsidRPr="0049693A" w:rsidRDefault="0049693A" w:rsidP="0049693A">
            <w:pPr>
              <w:jc w:val="center"/>
            </w:pPr>
          </w:p>
        </w:tc>
        <w:tc>
          <w:tcPr>
            <w:tcW w:w="573" w:type="pct"/>
            <w:shd w:val="clear" w:color="auto" w:fill="auto"/>
            <w:vAlign w:val="center"/>
            <w:hideMark/>
          </w:tcPr>
          <w:p w:rsidR="0049693A" w:rsidRPr="0049693A" w:rsidRDefault="0049693A" w:rsidP="0049693A">
            <w:pPr>
              <w:jc w:val="center"/>
            </w:pPr>
          </w:p>
        </w:tc>
        <w:tc>
          <w:tcPr>
            <w:tcW w:w="601"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850 986</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850 986</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3 498 710</w:t>
            </w:r>
          </w:p>
        </w:tc>
        <w:tc>
          <w:tcPr>
            <w:tcW w:w="663" w:type="pct"/>
            <w:shd w:val="clear" w:color="auto" w:fill="auto"/>
            <w:vAlign w:val="center"/>
            <w:hideMark/>
          </w:tcPr>
          <w:p w:rsidR="0049693A" w:rsidRPr="0049693A" w:rsidRDefault="0049693A" w:rsidP="0049693A">
            <w:pPr>
              <w:jc w:val="center"/>
              <w:rPr>
                <w:color w:val="000000"/>
                <w:sz w:val="16"/>
                <w:szCs w:val="16"/>
              </w:rPr>
            </w:pP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2011</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4 277 657</w:t>
            </w:r>
          </w:p>
        </w:tc>
        <w:tc>
          <w:tcPr>
            <w:tcW w:w="712"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4 689 580</w:t>
            </w:r>
          </w:p>
        </w:tc>
        <w:tc>
          <w:tcPr>
            <w:tcW w:w="573" w:type="pct"/>
            <w:shd w:val="clear" w:color="auto" w:fill="auto"/>
            <w:vAlign w:val="center"/>
            <w:hideMark/>
          </w:tcPr>
          <w:p w:rsidR="0049693A" w:rsidRPr="0049693A" w:rsidRDefault="0049693A" w:rsidP="0049693A">
            <w:pPr>
              <w:jc w:val="center"/>
            </w:pPr>
          </w:p>
        </w:tc>
        <w:tc>
          <w:tcPr>
            <w:tcW w:w="601"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3 580 803</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3 580 803</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7 079 513</w:t>
            </w:r>
          </w:p>
        </w:tc>
        <w:tc>
          <w:tcPr>
            <w:tcW w:w="663"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2 389 933</w:t>
            </w: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2012</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4 363 210</w:t>
            </w:r>
          </w:p>
        </w:tc>
        <w:tc>
          <w:tcPr>
            <w:tcW w:w="712"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9 459 780</w:t>
            </w:r>
          </w:p>
        </w:tc>
        <w:tc>
          <w:tcPr>
            <w:tcW w:w="573" w:type="pct"/>
            <w:shd w:val="clear" w:color="auto" w:fill="auto"/>
            <w:vAlign w:val="center"/>
            <w:hideMark/>
          </w:tcPr>
          <w:p w:rsidR="0049693A" w:rsidRPr="0049693A" w:rsidRDefault="0049693A" w:rsidP="0049693A">
            <w:pPr>
              <w:jc w:val="center"/>
            </w:pPr>
          </w:p>
        </w:tc>
        <w:tc>
          <w:tcPr>
            <w:tcW w:w="601"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2 947 396</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2 947 396</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10 026 909</w:t>
            </w:r>
          </w:p>
        </w:tc>
        <w:tc>
          <w:tcPr>
            <w:tcW w:w="663"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567 129</w:t>
            </w: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2013</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2 736 597</w:t>
            </w:r>
          </w:p>
        </w:tc>
        <w:tc>
          <w:tcPr>
            <w:tcW w:w="712"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17 690 259</w:t>
            </w:r>
          </w:p>
        </w:tc>
        <w:tc>
          <w:tcPr>
            <w:tcW w:w="573" w:type="pct"/>
            <w:shd w:val="clear" w:color="auto" w:fill="auto"/>
            <w:vAlign w:val="center"/>
            <w:hideMark/>
          </w:tcPr>
          <w:p w:rsidR="0049693A" w:rsidRPr="0049693A" w:rsidRDefault="0049693A" w:rsidP="0049693A">
            <w:pPr>
              <w:jc w:val="center"/>
            </w:pPr>
          </w:p>
        </w:tc>
        <w:tc>
          <w:tcPr>
            <w:tcW w:w="601"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7 045 526</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7 045 526</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17 072 435</w:t>
            </w:r>
          </w:p>
        </w:tc>
        <w:tc>
          <w:tcPr>
            <w:tcW w:w="663"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-617 824</w:t>
            </w: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2014</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0</w:t>
            </w:r>
          </w:p>
        </w:tc>
        <w:tc>
          <w:tcPr>
            <w:tcW w:w="712"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22 712 118</w:t>
            </w:r>
          </w:p>
        </w:tc>
        <w:tc>
          <w:tcPr>
            <w:tcW w:w="573" w:type="pct"/>
            <w:shd w:val="clear" w:color="auto" w:fill="auto"/>
            <w:vAlign w:val="center"/>
            <w:hideMark/>
          </w:tcPr>
          <w:p w:rsidR="0049693A" w:rsidRPr="0049693A" w:rsidRDefault="0049693A" w:rsidP="0049693A">
            <w:pPr>
              <w:jc w:val="center"/>
            </w:pPr>
          </w:p>
        </w:tc>
        <w:tc>
          <w:tcPr>
            <w:tcW w:w="601"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3 333 651</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3 333 651</w:t>
            </w: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20 406 087</w:t>
            </w:r>
          </w:p>
        </w:tc>
        <w:tc>
          <w:tcPr>
            <w:tcW w:w="663"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-2 306 031</w:t>
            </w:r>
          </w:p>
        </w:tc>
      </w:tr>
      <w:tr w:rsidR="0049693A" w:rsidRPr="0049693A" w:rsidTr="007737AB">
        <w:trPr>
          <w:trHeight w:val="255"/>
        </w:trPr>
        <w:tc>
          <w:tcPr>
            <w:tcW w:w="445" w:type="pct"/>
            <w:shd w:val="clear" w:color="000000" w:fill="FFFFFF"/>
            <w:vAlign w:val="center"/>
            <w:hideMark/>
          </w:tcPr>
          <w:p w:rsidR="0049693A" w:rsidRPr="0049693A" w:rsidRDefault="0049693A" w:rsidP="0049693A">
            <w:pPr>
              <w:jc w:val="center"/>
              <w:rPr>
                <w:color w:val="000000"/>
                <w:sz w:val="16"/>
                <w:szCs w:val="16"/>
              </w:rPr>
            </w:pPr>
            <w:r w:rsidRPr="0049693A">
              <w:rPr>
                <w:color w:val="000000"/>
                <w:sz w:val="16"/>
                <w:szCs w:val="16"/>
              </w:rPr>
              <w:t>2015</w:t>
            </w:r>
          </w:p>
        </w:tc>
        <w:tc>
          <w:tcPr>
            <w:tcW w:w="730"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0</w:t>
            </w:r>
          </w:p>
        </w:tc>
        <w:tc>
          <w:tcPr>
            <w:tcW w:w="712"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26 107 364</w:t>
            </w:r>
          </w:p>
        </w:tc>
        <w:tc>
          <w:tcPr>
            <w:tcW w:w="573" w:type="pct"/>
            <w:shd w:val="clear" w:color="auto" w:fill="auto"/>
            <w:vAlign w:val="center"/>
            <w:hideMark/>
          </w:tcPr>
          <w:p w:rsidR="0049693A" w:rsidRPr="0049693A" w:rsidRDefault="0049693A" w:rsidP="0049693A">
            <w:pPr>
              <w:jc w:val="center"/>
            </w:pPr>
          </w:p>
        </w:tc>
        <w:tc>
          <w:tcPr>
            <w:tcW w:w="601" w:type="pct"/>
            <w:shd w:val="clear" w:color="auto" w:fill="auto"/>
            <w:vAlign w:val="center"/>
            <w:hideMark/>
          </w:tcPr>
          <w:p w:rsidR="0049693A" w:rsidRPr="0049693A" w:rsidRDefault="0049693A" w:rsidP="0049693A">
            <w:pPr>
              <w:jc w:val="center"/>
            </w:pPr>
          </w:p>
        </w:tc>
        <w:tc>
          <w:tcPr>
            <w:tcW w:w="638" w:type="pct"/>
            <w:shd w:val="clear" w:color="auto" w:fill="auto"/>
            <w:vAlign w:val="center"/>
            <w:hideMark/>
          </w:tcPr>
          <w:p w:rsidR="0049693A" w:rsidRPr="0049693A" w:rsidRDefault="0049693A" w:rsidP="0049693A">
            <w:pPr>
              <w:jc w:val="center"/>
              <w:rPr>
                <w:color w:val="000000"/>
                <w:sz w:val="16"/>
                <w:szCs w:val="16"/>
              </w:rPr>
            </w:pPr>
          </w:p>
        </w:tc>
        <w:tc>
          <w:tcPr>
            <w:tcW w:w="638"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20 406 087</w:t>
            </w:r>
          </w:p>
        </w:tc>
        <w:tc>
          <w:tcPr>
            <w:tcW w:w="663" w:type="pct"/>
            <w:shd w:val="clear" w:color="auto" w:fill="auto"/>
            <w:vAlign w:val="center"/>
            <w:hideMark/>
          </w:tcPr>
          <w:p w:rsidR="0049693A" w:rsidRPr="0049693A" w:rsidRDefault="0049693A" w:rsidP="0049693A">
            <w:pPr>
              <w:jc w:val="center"/>
              <w:rPr>
                <w:color w:val="000000"/>
                <w:sz w:val="16"/>
                <w:szCs w:val="16"/>
              </w:rPr>
            </w:pPr>
            <w:r w:rsidRPr="0049693A">
              <w:rPr>
                <w:color w:val="000000"/>
                <w:sz w:val="16"/>
                <w:szCs w:val="16"/>
              </w:rPr>
              <w:t>-5 701 277</w:t>
            </w:r>
          </w:p>
        </w:tc>
      </w:tr>
      <w:tr w:rsidR="0049693A" w:rsidRPr="0049693A" w:rsidTr="007737AB">
        <w:trPr>
          <w:trHeight w:val="255"/>
        </w:trPr>
        <w:tc>
          <w:tcPr>
            <w:tcW w:w="445" w:type="pct"/>
            <w:shd w:val="clear" w:color="auto" w:fill="C2D69B" w:themeFill="accent3" w:themeFillTint="99"/>
            <w:vAlign w:val="center"/>
            <w:hideMark/>
          </w:tcPr>
          <w:p w:rsidR="0049693A" w:rsidRPr="0049693A" w:rsidRDefault="0049693A" w:rsidP="0049693A">
            <w:pPr>
              <w:jc w:val="center"/>
              <w:rPr>
                <w:b/>
                <w:bCs/>
                <w:color w:val="000000"/>
                <w:sz w:val="16"/>
                <w:szCs w:val="16"/>
              </w:rPr>
            </w:pPr>
            <w:r w:rsidRPr="0049693A">
              <w:rPr>
                <w:b/>
                <w:bCs/>
                <w:color w:val="000000"/>
                <w:sz w:val="16"/>
                <w:szCs w:val="16"/>
              </w:rPr>
              <w:t>Součet</w:t>
            </w:r>
          </w:p>
        </w:tc>
        <w:tc>
          <w:tcPr>
            <w:tcW w:w="730" w:type="pct"/>
            <w:shd w:val="clear" w:color="auto" w:fill="C2D69B" w:themeFill="accent3" w:themeFillTint="99"/>
            <w:vAlign w:val="center"/>
            <w:hideMark/>
          </w:tcPr>
          <w:p w:rsidR="0049693A" w:rsidRPr="0049693A" w:rsidRDefault="0049693A" w:rsidP="0049693A">
            <w:pPr>
              <w:jc w:val="center"/>
              <w:rPr>
                <w:b/>
                <w:bCs/>
                <w:color w:val="000000"/>
                <w:sz w:val="16"/>
                <w:szCs w:val="16"/>
              </w:rPr>
            </w:pPr>
            <w:r w:rsidRPr="0049693A">
              <w:rPr>
                <w:b/>
                <w:bCs/>
                <w:color w:val="000000"/>
                <w:sz w:val="16"/>
                <w:szCs w:val="16"/>
              </w:rPr>
              <w:t>26 107 364</w:t>
            </w:r>
          </w:p>
        </w:tc>
        <w:tc>
          <w:tcPr>
            <w:tcW w:w="712" w:type="pct"/>
            <w:shd w:val="clear" w:color="auto" w:fill="C2D69B" w:themeFill="accent3" w:themeFillTint="99"/>
            <w:vAlign w:val="center"/>
            <w:hideMark/>
          </w:tcPr>
          <w:p w:rsidR="0049693A" w:rsidRPr="0049693A" w:rsidRDefault="0049693A" w:rsidP="0049693A">
            <w:pPr>
              <w:jc w:val="center"/>
              <w:rPr>
                <w:b/>
                <w:bCs/>
                <w:color w:val="000000"/>
                <w:sz w:val="16"/>
                <w:szCs w:val="16"/>
              </w:rPr>
            </w:pPr>
            <w:r w:rsidRPr="0049693A">
              <w:rPr>
                <w:b/>
                <w:bCs/>
                <w:color w:val="000000"/>
                <w:sz w:val="16"/>
                <w:szCs w:val="16"/>
              </w:rPr>
              <w:t>26 107 364</w:t>
            </w:r>
          </w:p>
        </w:tc>
        <w:tc>
          <w:tcPr>
            <w:tcW w:w="573" w:type="pct"/>
            <w:shd w:val="clear" w:color="auto" w:fill="C2D69B" w:themeFill="accent3" w:themeFillTint="99"/>
            <w:vAlign w:val="center"/>
            <w:hideMark/>
          </w:tcPr>
          <w:p w:rsidR="0049693A" w:rsidRPr="0049693A" w:rsidRDefault="0049693A" w:rsidP="0049693A">
            <w:pPr>
              <w:jc w:val="center"/>
              <w:rPr>
                <w:b/>
                <w:bCs/>
                <w:color w:val="000000"/>
                <w:sz w:val="16"/>
                <w:szCs w:val="16"/>
              </w:rPr>
            </w:pPr>
            <w:r w:rsidRPr="0049693A">
              <w:rPr>
                <w:b/>
                <w:bCs/>
                <w:color w:val="000000"/>
                <w:sz w:val="16"/>
                <w:szCs w:val="16"/>
              </w:rPr>
              <w:t>2 644 155</w:t>
            </w:r>
          </w:p>
        </w:tc>
        <w:tc>
          <w:tcPr>
            <w:tcW w:w="601" w:type="pct"/>
            <w:shd w:val="clear" w:color="auto" w:fill="C2D69B" w:themeFill="accent3" w:themeFillTint="99"/>
            <w:vAlign w:val="center"/>
            <w:hideMark/>
          </w:tcPr>
          <w:p w:rsidR="0049693A" w:rsidRPr="0049693A" w:rsidRDefault="0049693A" w:rsidP="0049693A">
            <w:pPr>
              <w:jc w:val="center"/>
              <w:rPr>
                <w:b/>
                <w:bCs/>
                <w:color w:val="000000"/>
                <w:sz w:val="16"/>
                <w:szCs w:val="16"/>
              </w:rPr>
            </w:pPr>
            <w:r w:rsidRPr="0049693A">
              <w:rPr>
                <w:b/>
                <w:bCs/>
                <w:color w:val="000000"/>
                <w:sz w:val="16"/>
                <w:szCs w:val="16"/>
              </w:rPr>
              <w:t>17 761 932</w:t>
            </w:r>
          </w:p>
        </w:tc>
        <w:tc>
          <w:tcPr>
            <w:tcW w:w="638" w:type="pct"/>
            <w:shd w:val="clear" w:color="auto" w:fill="C2D69B" w:themeFill="accent3" w:themeFillTint="99"/>
            <w:vAlign w:val="center"/>
            <w:hideMark/>
          </w:tcPr>
          <w:p w:rsidR="0049693A" w:rsidRPr="0049693A" w:rsidRDefault="0049693A" w:rsidP="0049693A">
            <w:pPr>
              <w:jc w:val="center"/>
              <w:rPr>
                <w:b/>
                <w:bCs/>
                <w:color w:val="000000"/>
                <w:sz w:val="16"/>
                <w:szCs w:val="16"/>
              </w:rPr>
            </w:pPr>
            <w:r w:rsidRPr="0049693A">
              <w:rPr>
                <w:b/>
                <w:bCs/>
                <w:color w:val="000000"/>
                <w:sz w:val="16"/>
                <w:szCs w:val="16"/>
              </w:rPr>
              <w:t>20 406 087</w:t>
            </w:r>
          </w:p>
        </w:tc>
        <w:tc>
          <w:tcPr>
            <w:tcW w:w="638" w:type="pct"/>
            <w:shd w:val="clear" w:color="auto" w:fill="C2D69B" w:themeFill="accent3" w:themeFillTint="99"/>
            <w:vAlign w:val="center"/>
            <w:hideMark/>
          </w:tcPr>
          <w:p w:rsidR="0049693A" w:rsidRPr="0049693A" w:rsidRDefault="003C5464" w:rsidP="0049693A">
            <w:pPr>
              <w:jc w:val="center"/>
              <w:rPr>
                <w:b/>
                <w:color w:val="000000"/>
                <w:sz w:val="16"/>
                <w:szCs w:val="16"/>
              </w:rPr>
            </w:pPr>
            <w:r w:rsidRPr="003C5464">
              <w:rPr>
                <w:b/>
                <w:bCs/>
                <w:color w:val="000000"/>
                <w:sz w:val="16"/>
                <w:szCs w:val="16"/>
              </w:rPr>
              <w:t>20 406 087</w:t>
            </w:r>
          </w:p>
        </w:tc>
        <w:tc>
          <w:tcPr>
            <w:tcW w:w="663" w:type="pct"/>
            <w:shd w:val="clear" w:color="auto" w:fill="C2D69B" w:themeFill="accent3" w:themeFillTint="99"/>
            <w:vAlign w:val="center"/>
            <w:hideMark/>
          </w:tcPr>
          <w:p w:rsidR="0049693A" w:rsidRPr="0049693A" w:rsidRDefault="0049693A" w:rsidP="0049693A">
            <w:pPr>
              <w:jc w:val="center"/>
              <w:rPr>
                <w:b/>
                <w:color w:val="000000"/>
                <w:sz w:val="16"/>
                <w:szCs w:val="16"/>
              </w:rPr>
            </w:pPr>
            <w:r w:rsidRPr="0049693A">
              <w:rPr>
                <w:b/>
                <w:color w:val="000000"/>
                <w:sz w:val="16"/>
                <w:szCs w:val="16"/>
              </w:rPr>
              <w:t>-5 701 277</w:t>
            </w:r>
          </w:p>
        </w:tc>
      </w:tr>
    </w:tbl>
    <w:p w:rsidR="007350B4" w:rsidRDefault="005A1F0B" w:rsidP="004855C8">
      <w:pPr>
        <w:rPr>
          <w:rFonts w:ascii="Arial" w:hAnsi="Arial" w:cs="Arial"/>
        </w:rPr>
      </w:pPr>
      <w:r w:rsidRPr="008C4750">
        <w:rPr>
          <w:i/>
          <w:sz w:val="18"/>
          <w:szCs w:val="18"/>
        </w:rPr>
        <w:t xml:space="preserve">Zdroj: MSC 2007 ke dni </w:t>
      </w:r>
      <w:r w:rsidR="00EE20BF" w:rsidRPr="008C4750">
        <w:rPr>
          <w:i/>
          <w:sz w:val="18"/>
          <w:szCs w:val="18"/>
        </w:rPr>
        <w:t>31. 12. 2014</w:t>
      </w:r>
    </w:p>
    <w:p w:rsidR="00A75862" w:rsidRPr="00A26F32" w:rsidRDefault="00A26F32" w:rsidP="00650619">
      <w:pPr>
        <w:jc w:val="both"/>
        <w:rPr>
          <w:i/>
          <w:sz w:val="18"/>
          <w:szCs w:val="18"/>
        </w:rPr>
      </w:pPr>
      <w:r>
        <w:rPr>
          <w:i/>
          <w:sz w:val="18"/>
          <w:szCs w:val="18"/>
        </w:rPr>
        <w:t xml:space="preserve">Pozn.: </w:t>
      </w:r>
      <w:r w:rsidR="00650619" w:rsidRPr="00A26F32">
        <w:rPr>
          <w:i/>
          <w:sz w:val="18"/>
          <w:szCs w:val="18"/>
        </w:rPr>
        <w:t>V tabul</w:t>
      </w:r>
      <w:r>
        <w:rPr>
          <w:i/>
          <w:sz w:val="18"/>
          <w:szCs w:val="18"/>
        </w:rPr>
        <w:t>ce</w:t>
      </w:r>
      <w:r w:rsidR="00650619" w:rsidRPr="00A26F32">
        <w:rPr>
          <w:i/>
          <w:sz w:val="18"/>
          <w:szCs w:val="18"/>
        </w:rPr>
        <w:t xml:space="preserve"> je upraven sloupec Žádosti o průběžnou platbu předložené EK. V prosinci 2011 byla předložena </w:t>
      </w:r>
      <w:r>
        <w:rPr>
          <w:i/>
          <w:sz w:val="18"/>
          <w:szCs w:val="18"/>
        </w:rPr>
        <w:br/>
      </w:r>
      <w:r w:rsidR="00650619" w:rsidRPr="00A26F32">
        <w:rPr>
          <w:i/>
          <w:sz w:val="18"/>
          <w:szCs w:val="18"/>
        </w:rPr>
        <w:t xml:space="preserve">8. průběžná žádost o platbu ve výši 28 120 764,12 EUR pro cíl KONV a 1 442 828,55 EUR pro cíl </w:t>
      </w:r>
      <w:proofErr w:type="spellStart"/>
      <w:r w:rsidR="00650619" w:rsidRPr="00A26F32">
        <w:rPr>
          <w:i/>
          <w:sz w:val="18"/>
          <w:szCs w:val="18"/>
        </w:rPr>
        <w:t>RKaZ</w:t>
      </w:r>
      <w:proofErr w:type="spellEnd"/>
      <w:r w:rsidR="00650619" w:rsidRPr="00A26F32">
        <w:rPr>
          <w:i/>
          <w:sz w:val="18"/>
          <w:szCs w:val="18"/>
        </w:rPr>
        <w:t xml:space="preserve">, která byla v únoru 2012 stažena. Do ročních žádostí za rok 2011 je započítána částka 8. průběžné platby, v roce 2012 je počítáno s rozdílem mezi 9 a 8. platbou, aby nedocházelo k duplikaci.  </w:t>
      </w:r>
    </w:p>
    <w:p w:rsidR="00A75862" w:rsidRDefault="00A75862" w:rsidP="00644BCE">
      <w:pPr>
        <w:rPr>
          <w:b/>
          <w:sz w:val="22"/>
          <w:szCs w:val="22"/>
        </w:rPr>
      </w:pPr>
    </w:p>
    <w:p w:rsidR="00FE7158" w:rsidRDefault="0008252D" w:rsidP="0008252D">
      <w:pPr>
        <w:jc w:val="both"/>
        <w:rPr>
          <w:sz w:val="22"/>
          <w:szCs w:val="22"/>
        </w:rPr>
      </w:pPr>
      <w:r>
        <w:rPr>
          <w:sz w:val="22"/>
          <w:szCs w:val="22"/>
        </w:rPr>
        <w:t>Řídící orgán měsíčně sleduje plnění pravidla n+2 podle jednotlivých cílů, poskytovatelů dotace</w:t>
      </w:r>
      <w:r w:rsidRPr="00DF0B2B">
        <w:rPr>
          <w:sz w:val="22"/>
          <w:szCs w:val="22"/>
        </w:rPr>
        <w:t xml:space="preserve"> </w:t>
      </w:r>
      <w:r>
        <w:rPr>
          <w:sz w:val="22"/>
          <w:szCs w:val="22"/>
        </w:rPr>
        <w:br/>
        <w:t xml:space="preserve">a oblastí intervence. </w:t>
      </w:r>
      <w:r w:rsidR="00FE7158" w:rsidRPr="00FE7158">
        <w:rPr>
          <w:sz w:val="22"/>
          <w:szCs w:val="22"/>
        </w:rPr>
        <w:t>Průběh a výše čerpání finančních prostředků ve sledovaných fázích administrace jsou porovnávány s limitem pro rok 2014 a limitem do konce programového období, sníženým</w:t>
      </w:r>
      <w:r w:rsidR="00905A1D">
        <w:rPr>
          <w:sz w:val="22"/>
          <w:szCs w:val="22"/>
        </w:rPr>
        <w:t>i</w:t>
      </w:r>
      <w:r w:rsidR="00FE7158" w:rsidRPr="00FE7158">
        <w:rPr>
          <w:sz w:val="22"/>
          <w:szCs w:val="22"/>
        </w:rPr>
        <w:t xml:space="preserve"> </w:t>
      </w:r>
      <w:r w:rsidR="00FE7158">
        <w:rPr>
          <w:sz w:val="22"/>
          <w:szCs w:val="22"/>
        </w:rPr>
        <w:br/>
      </w:r>
      <w:r w:rsidR="00FE7158" w:rsidRPr="00FE7158">
        <w:rPr>
          <w:sz w:val="22"/>
          <w:szCs w:val="22"/>
        </w:rPr>
        <w:t>o zálohové platby z EK</w:t>
      </w:r>
      <w:r w:rsidR="00FE7158">
        <w:rPr>
          <w:sz w:val="22"/>
          <w:szCs w:val="22"/>
        </w:rPr>
        <w:t xml:space="preserve"> .</w:t>
      </w:r>
    </w:p>
    <w:p w:rsidR="00FE7158" w:rsidRDefault="00FE7158" w:rsidP="0008252D">
      <w:pPr>
        <w:jc w:val="both"/>
        <w:rPr>
          <w:sz w:val="22"/>
          <w:szCs w:val="22"/>
        </w:rPr>
      </w:pPr>
    </w:p>
    <w:p w:rsidR="00FE7158" w:rsidRDefault="00FE7158" w:rsidP="0008252D">
      <w:pPr>
        <w:jc w:val="both"/>
        <w:rPr>
          <w:sz w:val="22"/>
          <w:szCs w:val="22"/>
        </w:rPr>
      </w:pPr>
    </w:p>
    <w:p w:rsidR="0008252D" w:rsidRDefault="0008252D" w:rsidP="0008252D">
      <w:pPr>
        <w:jc w:val="both"/>
        <w:rPr>
          <w:sz w:val="22"/>
          <w:szCs w:val="22"/>
        </w:rPr>
      </w:pPr>
      <w:r>
        <w:rPr>
          <w:sz w:val="22"/>
          <w:szCs w:val="22"/>
        </w:rPr>
        <w:t>V následujících grafech jsou uvedené objemy prostředků podle fází administrace projektů:</w:t>
      </w:r>
    </w:p>
    <w:p w:rsidR="0008252D" w:rsidRDefault="0008252D" w:rsidP="0008252D">
      <w:pPr>
        <w:jc w:val="both"/>
        <w:rPr>
          <w:sz w:val="22"/>
          <w:szCs w:val="22"/>
        </w:rPr>
      </w:pPr>
    </w:p>
    <w:p w:rsidR="0008252D" w:rsidRPr="0008252D" w:rsidRDefault="0008252D" w:rsidP="0008252D">
      <w:pPr>
        <w:pStyle w:val="Odstavecseseznamem"/>
        <w:numPr>
          <w:ilvl w:val="0"/>
          <w:numId w:val="45"/>
        </w:numPr>
        <w:ind w:left="714" w:hanging="357"/>
        <w:jc w:val="both"/>
        <w:rPr>
          <w:sz w:val="22"/>
          <w:szCs w:val="22"/>
        </w:rPr>
      </w:pPr>
      <w:r w:rsidRPr="0008252D">
        <w:rPr>
          <w:b/>
          <w:sz w:val="22"/>
          <w:szCs w:val="22"/>
        </w:rPr>
        <w:t>vázaná alokace</w:t>
      </w:r>
      <w:r w:rsidRPr="0008252D">
        <w:rPr>
          <w:sz w:val="22"/>
          <w:szCs w:val="22"/>
        </w:rPr>
        <w:t xml:space="preserve"> je alokace probíhajících výzev a požadavek finančních prostředků projektů předložených v ukončených výzvách,</w:t>
      </w:r>
    </w:p>
    <w:p w:rsidR="0008252D" w:rsidRPr="0008252D" w:rsidRDefault="0008252D" w:rsidP="0008252D">
      <w:pPr>
        <w:pStyle w:val="Odstavecseseznamem"/>
        <w:numPr>
          <w:ilvl w:val="0"/>
          <w:numId w:val="45"/>
        </w:numPr>
        <w:ind w:left="714" w:hanging="357"/>
        <w:jc w:val="both"/>
        <w:rPr>
          <w:sz w:val="22"/>
          <w:szCs w:val="22"/>
        </w:rPr>
      </w:pPr>
      <w:r w:rsidRPr="0008252D">
        <w:rPr>
          <w:b/>
          <w:sz w:val="22"/>
          <w:szCs w:val="22"/>
        </w:rPr>
        <w:t xml:space="preserve">prostředky kryté Rozhodnutím/Smlouvou o poskytnutí dotace </w:t>
      </w:r>
      <w:r w:rsidRPr="0008252D">
        <w:rPr>
          <w:sz w:val="22"/>
          <w:szCs w:val="22"/>
        </w:rPr>
        <w:t>představují finanční prostředky schválených projektů,</w:t>
      </w:r>
    </w:p>
    <w:p w:rsidR="0008252D" w:rsidRPr="0008252D" w:rsidRDefault="0008252D" w:rsidP="0008252D">
      <w:pPr>
        <w:pStyle w:val="Odstavecseseznamem"/>
        <w:numPr>
          <w:ilvl w:val="0"/>
          <w:numId w:val="45"/>
        </w:numPr>
        <w:ind w:left="714" w:hanging="357"/>
        <w:jc w:val="both"/>
        <w:rPr>
          <w:sz w:val="22"/>
          <w:szCs w:val="22"/>
        </w:rPr>
      </w:pPr>
      <w:r w:rsidRPr="0008252D">
        <w:rPr>
          <w:sz w:val="22"/>
          <w:szCs w:val="22"/>
        </w:rPr>
        <w:t>ve sloupci</w:t>
      </w:r>
      <w:r w:rsidRPr="0008252D">
        <w:rPr>
          <w:b/>
          <w:sz w:val="22"/>
          <w:szCs w:val="22"/>
        </w:rPr>
        <w:t xml:space="preserve"> v souhrnných žádostech</w:t>
      </w:r>
      <w:r w:rsidRPr="0008252D">
        <w:rPr>
          <w:sz w:val="22"/>
          <w:szCs w:val="22"/>
        </w:rPr>
        <w:t xml:space="preserve"> jsou žádosti o platbu, zařazené do souhrnné žádosti </w:t>
      </w:r>
      <w:r w:rsidRPr="0008252D">
        <w:rPr>
          <w:sz w:val="22"/>
          <w:szCs w:val="22"/>
        </w:rPr>
        <w:br/>
        <w:t>o platbu,</w:t>
      </w:r>
    </w:p>
    <w:p w:rsidR="0008252D" w:rsidRPr="0008252D" w:rsidRDefault="0008252D" w:rsidP="0008252D">
      <w:pPr>
        <w:pStyle w:val="Odstavecseseznamem"/>
        <w:numPr>
          <w:ilvl w:val="0"/>
          <w:numId w:val="45"/>
        </w:numPr>
        <w:ind w:left="714" w:hanging="357"/>
        <w:jc w:val="both"/>
        <w:rPr>
          <w:sz w:val="22"/>
          <w:szCs w:val="22"/>
        </w:rPr>
      </w:pPr>
      <w:r w:rsidRPr="0008252D">
        <w:rPr>
          <w:sz w:val="22"/>
          <w:szCs w:val="22"/>
        </w:rPr>
        <w:t xml:space="preserve">sloupec </w:t>
      </w:r>
      <w:r w:rsidRPr="0008252D">
        <w:rPr>
          <w:b/>
          <w:sz w:val="22"/>
          <w:szCs w:val="22"/>
        </w:rPr>
        <w:t>certifikováno</w:t>
      </w:r>
      <w:r w:rsidRPr="0008252D">
        <w:rPr>
          <w:sz w:val="22"/>
          <w:szCs w:val="22"/>
        </w:rPr>
        <w:t xml:space="preserve"> zahrnuje aktuální výši certifikovaných výdajů,</w:t>
      </w:r>
    </w:p>
    <w:p w:rsidR="0008252D" w:rsidRPr="0008252D" w:rsidRDefault="0008252D" w:rsidP="0008252D">
      <w:pPr>
        <w:pStyle w:val="Odstavecseseznamem"/>
        <w:numPr>
          <w:ilvl w:val="0"/>
          <w:numId w:val="45"/>
        </w:numPr>
        <w:ind w:left="714" w:hanging="357"/>
        <w:jc w:val="both"/>
        <w:rPr>
          <w:sz w:val="22"/>
          <w:szCs w:val="22"/>
        </w:rPr>
      </w:pPr>
      <w:r w:rsidRPr="0008252D">
        <w:rPr>
          <w:sz w:val="22"/>
          <w:szCs w:val="22"/>
        </w:rPr>
        <w:t xml:space="preserve">poslední sloupec představuje </w:t>
      </w:r>
      <w:r w:rsidRPr="0008252D">
        <w:rPr>
          <w:b/>
          <w:sz w:val="22"/>
          <w:szCs w:val="22"/>
        </w:rPr>
        <w:t>predikci certifikovaných výdajů do konce roku 2014</w:t>
      </w:r>
      <w:r w:rsidRPr="0008252D">
        <w:rPr>
          <w:sz w:val="22"/>
          <w:szCs w:val="22"/>
        </w:rPr>
        <w:t>, predikce vycházející z plánovaných harmonogramů projektů upravených ve spolupráci se ZS,</w:t>
      </w:r>
    </w:p>
    <w:p w:rsidR="0008252D" w:rsidRPr="0008252D" w:rsidRDefault="0008252D" w:rsidP="0008252D">
      <w:pPr>
        <w:pStyle w:val="Odstavecseseznamem"/>
        <w:numPr>
          <w:ilvl w:val="0"/>
          <w:numId w:val="45"/>
        </w:numPr>
        <w:ind w:left="714" w:hanging="357"/>
        <w:jc w:val="both"/>
        <w:rPr>
          <w:sz w:val="22"/>
          <w:szCs w:val="22"/>
        </w:rPr>
      </w:pPr>
      <w:r w:rsidRPr="0008252D">
        <w:rPr>
          <w:sz w:val="22"/>
          <w:szCs w:val="22"/>
        </w:rPr>
        <w:t xml:space="preserve">červená linka představuje </w:t>
      </w:r>
      <w:r w:rsidRPr="0008252D">
        <w:rPr>
          <w:b/>
          <w:sz w:val="22"/>
          <w:szCs w:val="22"/>
        </w:rPr>
        <w:t>limit pro rok 2014</w:t>
      </w:r>
      <w:r w:rsidRPr="0008252D">
        <w:rPr>
          <w:sz w:val="22"/>
          <w:szCs w:val="22"/>
        </w:rPr>
        <w:t xml:space="preserve"> snížený o přijaté zálohy</w:t>
      </w:r>
      <w:r w:rsidR="0077764C">
        <w:rPr>
          <w:sz w:val="22"/>
          <w:szCs w:val="22"/>
        </w:rPr>
        <w:t xml:space="preserve"> a o alokaci velkých projektů</w:t>
      </w:r>
      <w:r w:rsidRPr="0008252D">
        <w:rPr>
          <w:sz w:val="22"/>
          <w:szCs w:val="22"/>
        </w:rPr>
        <w:t>.</w:t>
      </w:r>
    </w:p>
    <w:p w:rsidR="0008252D" w:rsidRDefault="0008252D" w:rsidP="0008252D">
      <w:pPr>
        <w:pStyle w:val="Odstavecseseznamem"/>
        <w:ind w:left="0"/>
        <w:jc w:val="both"/>
      </w:pPr>
    </w:p>
    <w:p w:rsidR="0008252D" w:rsidRDefault="0008252D"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E12E6B" w:rsidRDefault="00E12E6B" w:rsidP="0008252D">
      <w:pPr>
        <w:pStyle w:val="Odstavecseseznamem"/>
        <w:ind w:left="0"/>
        <w:jc w:val="both"/>
      </w:pPr>
    </w:p>
    <w:p w:rsidR="0008252D" w:rsidRPr="0008252D" w:rsidRDefault="0008252D" w:rsidP="0008252D">
      <w:pPr>
        <w:pStyle w:val="Odstavecseseznamem"/>
        <w:ind w:left="0"/>
        <w:jc w:val="both"/>
        <w:rPr>
          <w:sz w:val="22"/>
          <w:szCs w:val="22"/>
        </w:rPr>
      </w:pPr>
      <w:r w:rsidRPr="0008252D">
        <w:rPr>
          <w:sz w:val="22"/>
          <w:szCs w:val="22"/>
        </w:rPr>
        <w:lastRenderedPageBreak/>
        <w:t>Graf</w:t>
      </w:r>
      <w:r w:rsidR="004C2077">
        <w:rPr>
          <w:sz w:val="22"/>
          <w:szCs w:val="22"/>
        </w:rPr>
        <w:t>y</w:t>
      </w:r>
      <w:r w:rsidRPr="0008252D">
        <w:rPr>
          <w:sz w:val="22"/>
          <w:szCs w:val="22"/>
        </w:rPr>
        <w:t xml:space="preserve"> </w:t>
      </w:r>
      <w:r w:rsidR="003F5EB0" w:rsidRPr="0008252D">
        <w:rPr>
          <w:sz w:val="22"/>
          <w:szCs w:val="22"/>
        </w:rPr>
        <w:t xml:space="preserve">č. </w:t>
      </w:r>
      <w:r w:rsidR="003F5EB0">
        <w:rPr>
          <w:sz w:val="22"/>
          <w:szCs w:val="22"/>
        </w:rPr>
        <w:t>1</w:t>
      </w:r>
      <w:r w:rsidR="003F5EB0" w:rsidRPr="0008252D">
        <w:rPr>
          <w:sz w:val="22"/>
          <w:szCs w:val="22"/>
        </w:rPr>
        <w:t xml:space="preserve"> </w:t>
      </w:r>
      <w:r w:rsidR="003F5EB0">
        <w:rPr>
          <w:sz w:val="22"/>
          <w:szCs w:val="22"/>
        </w:rPr>
        <w:t>a 2 zobrazují</w:t>
      </w:r>
      <w:r w:rsidRPr="0008252D">
        <w:rPr>
          <w:sz w:val="22"/>
          <w:szCs w:val="22"/>
        </w:rPr>
        <w:t xml:space="preserve"> plnění pravidla n+2 v cíli Konvergence</w:t>
      </w:r>
      <w:r w:rsidR="004C2077">
        <w:rPr>
          <w:sz w:val="22"/>
          <w:szCs w:val="22"/>
        </w:rPr>
        <w:t xml:space="preserve"> a </w:t>
      </w:r>
      <w:proofErr w:type="spellStart"/>
      <w:r w:rsidR="004C2077">
        <w:rPr>
          <w:sz w:val="22"/>
          <w:szCs w:val="22"/>
        </w:rPr>
        <w:t>RKaZ</w:t>
      </w:r>
      <w:proofErr w:type="spellEnd"/>
      <w:r w:rsidRPr="0008252D">
        <w:rPr>
          <w:sz w:val="22"/>
          <w:szCs w:val="22"/>
        </w:rPr>
        <w:t>. Objem prostředků v jednotlivých fázích administrace projektů a především predikce certifikovaných výdajů v jednotlivých letech porovnává s limitem pro rok 2014.</w:t>
      </w:r>
    </w:p>
    <w:p w:rsidR="00A75862" w:rsidRDefault="00A75862" w:rsidP="004855C8">
      <w:pPr>
        <w:rPr>
          <w:sz w:val="18"/>
          <w:szCs w:val="18"/>
        </w:rPr>
      </w:pPr>
    </w:p>
    <w:p w:rsidR="00C212F0" w:rsidRDefault="00C212F0" w:rsidP="004855C8">
      <w:pPr>
        <w:rPr>
          <w:sz w:val="18"/>
          <w:szCs w:val="18"/>
        </w:rPr>
      </w:pPr>
    </w:p>
    <w:p w:rsidR="003F5850" w:rsidRDefault="00C212F0" w:rsidP="001D1B6B">
      <w:pPr>
        <w:pStyle w:val="Graf"/>
      </w:pPr>
      <w:bookmarkStart w:id="31" w:name="_Toc414865566"/>
      <w:r w:rsidRPr="00C212F0">
        <w:t>Naplňování pravidla n+</w:t>
      </w:r>
      <w:r w:rsidR="0031341E">
        <w:t>2</w:t>
      </w:r>
      <w:r w:rsidRPr="00C212F0">
        <w:t xml:space="preserve"> v cíli Konvergence</w:t>
      </w:r>
      <w:r w:rsidR="00020613">
        <w:rPr>
          <w:noProof/>
        </w:rPr>
        <w:drawing>
          <wp:inline distT="0" distB="0" distL="0" distR="0" wp14:anchorId="74751B57" wp14:editId="4BA6DA9B">
            <wp:extent cx="5753100" cy="3381375"/>
            <wp:effectExtent l="38100" t="38100" r="38100" b="476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381375"/>
                    </a:xfrm>
                    <a:prstGeom prst="rect">
                      <a:avLst/>
                    </a:prstGeom>
                    <a:noFill/>
                    <a:ln w="28575">
                      <a:solidFill>
                        <a:schemeClr val="accent3"/>
                      </a:solidFill>
                    </a:ln>
                  </pic:spPr>
                </pic:pic>
              </a:graphicData>
            </a:graphic>
          </wp:inline>
        </w:drawing>
      </w:r>
      <w:bookmarkEnd w:id="31"/>
    </w:p>
    <w:p w:rsidR="003F4DB5" w:rsidRPr="009026D3" w:rsidRDefault="003F4DB5" w:rsidP="00644BCE">
      <w:pPr>
        <w:rPr>
          <w:i/>
          <w:sz w:val="18"/>
          <w:szCs w:val="18"/>
        </w:rPr>
      </w:pPr>
      <w:r>
        <w:rPr>
          <w:i/>
          <w:sz w:val="18"/>
          <w:szCs w:val="18"/>
        </w:rPr>
        <w:t>Z</w:t>
      </w:r>
      <w:r w:rsidR="00A75862" w:rsidRPr="009026D3">
        <w:rPr>
          <w:i/>
          <w:sz w:val="18"/>
          <w:szCs w:val="18"/>
        </w:rPr>
        <w:t xml:space="preserve">droj: IS Monit7+ ke dni </w:t>
      </w:r>
      <w:r w:rsidR="00EE20BF" w:rsidRPr="009026D3">
        <w:rPr>
          <w:i/>
          <w:sz w:val="18"/>
          <w:szCs w:val="18"/>
        </w:rPr>
        <w:t>2. 1. 2015</w:t>
      </w:r>
    </w:p>
    <w:p w:rsidR="00A75862" w:rsidRPr="009026D3" w:rsidRDefault="003F4DB5" w:rsidP="00644BCE">
      <w:pPr>
        <w:rPr>
          <w:i/>
          <w:sz w:val="18"/>
          <w:szCs w:val="18"/>
        </w:rPr>
      </w:pPr>
      <w:r>
        <w:rPr>
          <w:i/>
          <w:sz w:val="18"/>
          <w:szCs w:val="18"/>
        </w:rPr>
        <w:t>Z</w:t>
      </w:r>
      <w:r w:rsidR="00A75862" w:rsidRPr="009026D3">
        <w:rPr>
          <w:i/>
          <w:sz w:val="18"/>
          <w:szCs w:val="18"/>
        </w:rPr>
        <w:t>droj financování: podíl EU</w:t>
      </w:r>
    </w:p>
    <w:p w:rsidR="00A75862" w:rsidRDefault="006771A7" w:rsidP="00644BCE">
      <w:pPr>
        <w:rPr>
          <w:i/>
          <w:sz w:val="18"/>
          <w:szCs w:val="18"/>
        </w:rPr>
      </w:pPr>
      <w:r>
        <w:rPr>
          <w:i/>
          <w:sz w:val="18"/>
          <w:szCs w:val="18"/>
        </w:rPr>
        <w:t>Kurz CZK/EUR: 27,728</w:t>
      </w:r>
    </w:p>
    <w:p w:rsidR="006771A7" w:rsidRPr="00C212F0" w:rsidRDefault="006771A7" w:rsidP="00644BCE">
      <w:pPr>
        <w:rPr>
          <w:i/>
          <w:sz w:val="18"/>
          <w:szCs w:val="18"/>
        </w:rPr>
      </w:pPr>
    </w:p>
    <w:p w:rsidR="00A75862" w:rsidRDefault="00A75862" w:rsidP="00644BCE">
      <w:pPr>
        <w:rPr>
          <w:b/>
          <w:sz w:val="22"/>
          <w:szCs w:val="22"/>
        </w:rPr>
      </w:pPr>
    </w:p>
    <w:p w:rsidR="00C212F0" w:rsidRDefault="00C212F0" w:rsidP="00DF342F">
      <w:pPr>
        <w:pStyle w:val="Graf"/>
      </w:pPr>
      <w:bookmarkStart w:id="32" w:name="_Toc414865567"/>
      <w:r w:rsidRPr="00E1695D">
        <w:t>Naplňování pravidla n+</w:t>
      </w:r>
      <w:r w:rsidR="0031341E">
        <w:t>2</w:t>
      </w:r>
      <w:r w:rsidRPr="00E1695D">
        <w:t xml:space="preserve"> v cíli Regionální konkurenceschopnost a zaměstnanost</w:t>
      </w:r>
      <w:bookmarkEnd w:id="32"/>
    </w:p>
    <w:p w:rsidR="00DB1086" w:rsidRPr="00DB1086" w:rsidRDefault="00DB1086" w:rsidP="00DB1086">
      <w:r>
        <w:rPr>
          <w:noProof/>
        </w:rPr>
        <w:drawing>
          <wp:inline distT="0" distB="0" distL="0" distR="0">
            <wp:extent cx="5752465" cy="3263900"/>
            <wp:effectExtent l="0" t="0" r="63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2465" cy="3263900"/>
                    </a:xfrm>
                    <a:prstGeom prst="rect">
                      <a:avLst/>
                    </a:prstGeom>
                    <a:noFill/>
                    <a:ln>
                      <a:noFill/>
                    </a:ln>
                  </pic:spPr>
                </pic:pic>
              </a:graphicData>
            </a:graphic>
          </wp:inline>
        </w:drawing>
      </w:r>
    </w:p>
    <w:p w:rsidR="00A75862" w:rsidRPr="009026D3" w:rsidRDefault="00A75862" w:rsidP="00C23D9C">
      <w:pPr>
        <w:rPr>
          <w:i/>
          <w:sz w:val="18"/>
          <w:szCs w:val="18"/>
        </w:rPr>
      </w:pPr>
      <w:r w:rsidRPr="009026D3">
        <w:rPr>
          <w:i/>
          <w:sz w:val="18"/>
          <w:szCs w:val="18"/>
        </w:rPr>
        <w:t>Z</w:t>
      </w:r>
      <w:r w:rsidR="006771A7">
        <w:rPr>
          <w:i/>
          <w:sz w:val="18"/>
          <w:szCs w:val="18"/>
        </w:rPr>
        <w:t xml:space="preserve">droj: IS Monit7+ ke dni </w:t>
      </w:r>
      <w:r w:rsidR="00EE20BF">
        <w:rPr>
          <w:i/>
          <w:sz w:val="18"/>
          <w:szCs w:val="18"/>
        </w:rPr>
        <w:t>2. 1. 2015</w:t>
      </w:r>
    </w:p>
    <w:p w:rsidR="00A75862" w:rsidRPr="009026D3" w:rsidRDefault="003F4DB5" w:rsidP="00C23D9C">
      <w:pPr>
        <w:rPr>
          <w:i/>
          <w:sz w:val="18"/>
          <w:szCs w:val="18"/>
        </w:rPr>
      </w:pPr>
      <w:r>
        <w:rPr>
          <w:i/>
          <w:sz w:val="18"/>
          <w:szCs w:val="18"/>
        </w:rPr>
        <w:t>Z</w:t>
      </w:r>
      <w:r w:rsidR="00A75862" w:rsidRPr="009026D3">
        <w:rPr>
          <w:i/>
          <w:sz w:val="18"/>
          <w:szCs w:val="18"/>
        </w:rPr>
        <w:t>droj financování: podíl EU</w:t>
      </w:r>
    </w:p>
    <w:p w:rsidR="00A75862" w:rsidRPr="009A5323" w:rsidRDefault="006771A7" w:rsidP="00644BCE">
      <w:pPr>
        <w:rPr>
          <w:i/>
          <w:sz w:val="18"/>
          <w:szCs w:val="18"/>
        </w:rPr>
      </w:pPr>
      <w:r>
        <w:rPr>
          <w:i/>
          <w:sz w:val="18"/>
          <w:szCs w:val="18"/>
        </w:rPr>
        <w:t>Kurz CZK/EUR 27,728</w:t>
      </w:r>
    </w:p>
    <w:p w:rsidR="009B39BD" w:rsidRPr="00173601" w:rsidRDefault="009B39BD" w:rsidP="009B39BD">
      <w:pPr>
        <w:jc w:val="both"/>
        <w:rPr>
          <w:sz w:val="22"/>
          <w:szCs w:val="22"/>
        </w:rPr>
      </w:pPr>
      <w:r w:rsidRPr="001A26AE">
        <w:rPr>
          <w:sz w:val="22"/>
          <w:szCs w:val="22"/>
        </w:rPr>
        <w:lastRenderedPageBreak/>
        <w:t>ŘO IOP přijal</w:t>
      </w:r>
      <w:r>
        <w:rPr>
          <w:sz w:val="22"/>
          <w:szCs w:val="22"/>
        </w:rPr>
        <w:t xml:space="preserve"> v roce 2014</w:t>
      </w:r>
      <w:r w:rsidRPr="001A26AE">
        <w:rPr>
          <w:sz w:val="22"/>
          <w:szCs w:val="22"/>
        </w:rPr>
        <w:t xml:space="preserve"> řadu preventivních opatření</w:t>
      </w:r>
      <w:r>
        <w:rPr>
          <w:sz w:val="22"/>
          <w:szCs w:val="22"/>
        </w:rPr>
        <w:t xml:space="preserve"> </w:t>
      </w:r>
      <w:r w:rsidRPr="001A26AE">
        <w:rPr>
          <w:sz w:val="22"/>
        </w:rPr>
        <w:t>ke snížení rizika ztráty alokace.</w:t>
      </w:r>
      <w:r w:rsidRPr="001A26AE">
        <w:rPr>
          <w:sz w:val="22"/>
          <w:szCs w:val="22"/>
        </w:rPr>
        <w:t xml:space="preserve"> Kladl velký důraz na omezení změn v harmonogramech projektů, na etapizaci projektů s certifikací maximální částky výdajů projektu do konce roku 2014, vedl jednání s ÚOHS především o ukončení šetření </w:t>
      </w:r>
      <w:r>
        <w:rPr>
          <w:sz w:val="22"/>
          <w:szCs w:val="22"/>
        </w:rPr>
        <w:br/>
        <w:t>zakázek, které se vztahovaly</w:t>
      </w:r>
      <w:r w:rsidRPr="001A26AE">
        <w:rPr>
          <w:sz w:val="22"/>
          <w:szCs w:val="22"/>
        </w:rPr>
        <w:t xml:space="preserve"> projektů s předloženými žádostmi o platbu nebo s žádostmi o platbu plánovanými v roce 2014.</w:t>
      </w:r>
    </w:p>
    <w:p w:rsidR="009B39BD" w:rsidRPr="00173601" w:rsidRDefault="009B39BD" w:rsidP="009B39BD">
      <w:pPr>
        <w:jc w:val="both"/>
        <w:rPr>
          <w:sz w:val="22"/>
          <w:szCs w:val="22"/>
        </w:rPr>
      </w:pPr>
    </w:p>
    <w:p w:rsidR="009B39BD" w:rsidRPr="00173601" w:rsidRDefault="009B39BD" w:rsidP="009B39BD">
      <w:pPr>
        <w:spacing w:after="120"/>
        <w:jc w:val="both"/>
        <w:rPr>
          <w:b/>
          <w:sz w:val="22"/>
          <w:szCs w:val="22"/>
        </w:rPr>
      </w:pPr>
      <w:r w:rsidRPr="00173601">
        <w:rPr>
          <w:sz w:val="22"/>
          <w:szCs w:val="22"/>
        </w:rPr>
        <w:t xml:space="preserve">V červnové Strategii dočerpání IOP </w:t>
      </w:r>
      <w:r>
        <w:rPr>
          <w:sz w:val="22"/>
          <w:szCs w:val="22"/>
        </w:rPr>
        <w:t>předpokládal</w:t>
      </w:r>
      <w:r w:rsidRPr="00173601">
        <w:rPr>
          <w:sz w:val="22"/>
          <w:szCs w:val="22"/>
        </w:rPr>
        <w:t xml:space="preserve"> ŘO IOP ztrát</w:t>
      </w:r>
      <w:r>
        <w:rPr>
          <w:sz w:val="22"/>
          <w:szCs w:val="22"/>
        </w:rPr>
        <w:t>u alokace</w:t>
      </w:r>
      <w:r w:rsidRPr="00173601">
        <w:rPr>
          <w:sz w:val="22"/>
          <w:szCs w:val="22"/>
        </w:rPr>
        <w:t xml:space="preserve"> </w:t>
      </w:r>
      <w:r w:rsidRPr="00173601">
        <w:rPr>
          <w:b/>
          <w:sz w:val="22"/>
          <w:szCs w:val="22"/>
        </w:rPr>
        <w:t>1,98 mld. Kč</w:t>
      </w:r>
      <w:r w:rsidRPr="00173601">
        <w:rPr>
          <w:sz w:val="22"/>
          <w:szCs w:val="22"/>
        </w:rPr>
        <w:t xml:space="preserve">, v říjnové aktualizaci </w:t>
      </w:r>
      <w:r>
        <w:rPr>
          <w:sz w:val="22"/>
          <w:szCs w:val="22"/>
        </w:rPr>
        <w:t>ji</w:t>
      </w:r>
      <w:r w:rsidRPr="00173601">
        <w:rPr>
          <w:sz w:val="22"/>
          <w:szCs w:val="22"/>
        </w:rPr>
        <w:t xml:space="preserve"> uprav</w:t>
      </w:r>
      <w:r>
        <w:rPr>
          <w:sz w:val="22"/>
          <w:szCs w:val="22"/>
        </w:rPr>
        <w:t>il</w:t>
      </w:r>
      <w:r w:rsidRPr="00173601">
        <w:rPr>
          <w:sz w:val="22"/>
          <w:szCs w:val="22"/>
        </w:rPr>
        <w:t xml:space="preserve"> na </w:t>
      </w:r>
      <w:r w:rsidRPr="00173601">
        <w:rPr>
          <w:b/>
          <w:sz w:val="22"/>
          <w:szCs w:val="22"/>
        </w:rPr>
        <w:t>2,32 mld. Kč</w:t>
      </w:r>
      <w:r w:rsidRPr="00173601">
        <w:rPr>
          <w:sz w:val="22"/>
          <w:szCs w:val="22"/>
        </w:rPr>
        <w:t xml:space="preserve">. Prosincová aktualizace přinesla další úpravu ztráty, která byla snížena na </w:t>
      </w:r>
      <w:r w:rsidRPr="00173601">
        <w:rPr>
          <w:b/>
          <w:sz w:val="22"/>
          <w:szCs w:val="22"/>
        </w:rPr>
        <w:t xml:space="preserve">724 mil. Kč. Konečným výsledkem za rok 2014 je ztráta 64,2 mil. Kč. </w:t>
      </w:r>
    </w:p>
    <w:p w:rsidR="009B39BD" w:rsidRPr="00173601" w:rsidRDefault="009B39BD" w:rsidP="009B39BD">
      <w:pPr>
        <w:spacing w:after="120"/>
        <w:jc w:val="both"/>
        <w:rPr>
          <w:sz w:val="22"/>
          <w:szCs w:val="22"/>
        </w:rPr>
      </w:pPr>
      <w:r w:rsidRPr="00173601">
        <w:rPr>
          <w:sz w:val="22"/>
          <w:szCs w:val="22"/>
        </w:rPr>
        <w:t xml:space="preserve">Během celého roku 2014 </w:t>
      </w:r>
      <w:r w:rsidRPr="00173601">
        <w:rPr>
          <w:b/>
          <w:sz w:val="22"/>
          <w:szCs w:val="22"/>
        </w:rPr>
        <w:t>přizpůsoboval</w:t>
      </w:r>
      <w:r>
        <w:rPr>
          <w:b/>
          <w:sz w:val="22"/>
          <w:szCs w:val="22"/>
        </w:rPr>
        <w:t>y</w:t>
      </w:r>
      <w:r w:rsidRPr="00173601">
        <w:rPr>
          <w:b/>
          <w:sz w:val="22"/>
          <w:szCs w:val="22"/>
        </w:rPr>
        <w:t xml:space="preserve"> ŘO IOP se ZS IOP</w:t>
      </w:r>
      <w:r w:rsidRPr="00173601">
        <w:rPr>
          <w:sz w:val="22"/>
          <w:szCs w:val="22"/>
        </w:rPr>
        <w:t xml:space="preserve"> </w:t>
      </w:r>
      <w:r w:rsidRPr="00173601">
        <w:rPr>
          <w:b/>
          <w:sz w:val="22"/>
          <w:szCs w:val="22"/>
        </w:rPr>
        <w:t xml:space="preserve">podle předpokládané ztráty i objemy v nově vyhlašovaných </w:t>
      </w:r>
      <w:r>
        <w:rPr>
          <w:b/>
          <w:sz w:val="22"/>
          <w:szCs w:val="22"/>
        </w:rPr>
        <w:t xml:space="preserve">výzvách </w:t>
      </w:r>
      <w:r w:rsidRPr="00173601">
        <w:rPr>
          <w:b/>
          <w:sz w:val="22"/>
          <w:szCs w:val="22"/>
        </w:rPr>
        <w:t xml:space="preserve">nebo </w:t>
      </w:r>
      <w:r>
        <w:rPr>
          <w:b/>
          <w:sz w:val="22"/>
          <w:szCs w:val="22"/>
        </w:rPr>
        <w:t>z</w:t>
      </w:r>
      <w:r w:rsidRPr="00173601">
        <w:rPr>
          <w:b/>
          <w:sz w:val="22"/>
          <w:szCs w:val="22"/>
        </w:rPr>
        <w:t>vyšova</w:t>
      </w:r>
      <w:r>
        <w:rPr>
          <w:b/>
          <w:sz w:val="22"/>
          <w:szCs w:val="22"/>
        </w:rPr>
        <w:t>ly alokace</w:t>
      </w:r>
      <w:r w:rsidRPr="00173601">
        <w:rPr>
          <w:b/>
          <w:sz w:val="22"/>
          <w:szCs w:val="22"/>
        </w:rPr>
        <w:t xml:space="preserve"> výz</w:t>
      </w:r>
      <w:r>
        <w:rPr>
          <w:b/>
          <w:sz w:val="22"/>
          <w:szCs w:val="22"/>
        </w:rPr>
        <w:t>e</w:t>
      </w:r>
      <w:r w:rsidRPr="00173601">
        <w:rPr>
          <w:b/>
          <w:sz w:val="22"/>
          <w:szCs w:val="22"/>
        </w:rPr>
        <w:t>v</w:t>
      </w:r>
      <w:r w:rsidRPr="00173601">
        <w:rPr>
          <w:sz w:val="22"/>
          <w:szCs w:val="22"/>
        </w:rPr>
        <w:t>. Zároveň průběžně uzpůsoboval</w:t>
      </w:r>
      <w:r>
        <w:rPr>
          <w:sz w:val="22"/>
          <w:szCs w:val="22"/>
        </w:rPr>
        <w:t>y</w:t>
      </w:r>
      <w:r w:rsidRPr="00173601">
        <w:rPr>
          <w:sz w:val="22"/>
          <w:szCs w:val="22"/>
        </w:rPr>
        <w:t xml:space="preserve"> – konzervativně, s ohledem na hrozící ztrátu alokace - rozsah plánovaného </w:t>
      </w:r>
      <w:proofErr w:type="spellStart"/>
      <w:r w:rsidRPr="00173601">
        <w:rPr>
          <w:sz w:val="22"/>
          <w:szCs w:val="22"/>
        </w:rPr>
        <w:t>přezávazkování</w:t>
      </w:r>
      <w:proofErr w:type="spellEnd"/>
      <w:r w:rsidRPr="00173601">
        <w:rPr>
          <w:sz w:val="22"/>
          <w:szCs w:val="22"/>
        </w:rPr>
        <w:t xml:space="preserve"> programu. Při předpokladu ztráty 2,32 mld. Kč bylo zapotřebí mít rezervu nenasmlouvané alokace připravenou k vrácení Evropské komisi. Bez této rezervy by dopad ztráty alokace nesl státní rozpočet, který by byl nucen splnit závazky vůči příjemcům. </w:t>
      </w:r>
    </w:p>
    <w:p w:rsidR="009B39BD" w:rsidRPr="00173601" w:rsidRDefault="009B39BD" w:rsidP="009B39BD">
      <w:pPr>
        <w:spacing w:after="120"/>
        <w:jc w:val="both"/>
        <w:rPr>
          <w:sz w:val="22"/>
          <w:szCs w:val="22"/>
        </w:rPr>
      </w:pPr>
      <w:r w:rsidRPr="00173601">
        <w:rPr>
          <w:b/>
          <w:sz w:val="22"/>
          <w:szCs w:val="22"/>
        </w:rPr>
        <w:t xml:space="preserve">Pozitivní a výrazné </w:t>
      </w:r>
      <w:r w:rsidR="00F15090" w:rsidRPr="00173601">
        <w:rPr>
          <w:b/>
          <w:sz w:val="22"/>
          <w:szCs w:val="22"/>
        </w:rPr>
        <w:t xml:space="preserve">snížení </w:t>
      </w:r>
      <w:r w:rsidR="00F15090">
        <w:rPr>
          <w:b/>
          <w:sz w:val="22"/>
          <w:szCs w:val="22"/>
        </w:rPr>
        <w:t>ztráty</w:t>
      </w:r>
      <w:r>
        <w:rPr>
          <w:b/>
          <w:sz w:val="22"/>
          <w:szCs w:val="22"/>
        </w:rPr>
        <w:t xml:space="preserve"> alokace</w:t>
      </w:r>
      <w:r w:rsidRPr="00173601">
        <w:rPr>
          <w:b/>
          <w:sz w:val="22"/>
          <w:szCs w:val="22"/>
        </w:rPr>
        <w:t xml:space="preserve"> v roce 2014 však znamená nečekaný objem volných prostředků v roce 2015.</w:t>
      </w:r>
      <w:r w:rsidRPr="00173601">
        <w:rPr>
          <w:sz w:val="22"/>
          <w:szCs w:val="22"/>
        </w:rPr>
        <w:t xml:space="preserve">  </w:t>
      </w:r>
    </w:p>
    <w:p w:rsidR="00A75862" w:rsidRDefault="00A75862" w:rsidP="00644BCE">
      <w:pPr>
        <w:rPr>
          <w:b/>
          <w:sz w:val="22"/>
          <w:szCs w:val="22"/>
        </w:rPr>
      </w:pPr>
    </w:p>
    <w:p w:rsidR="00A75862" w:rsidRDefault="00A75862" w:rsidP="00644BCE">
      <w:pPr>
        <w:rPr>
          <w:b/>
          <w:sz w:val="22"/>
          <w:szCs w:val="22"/>
        </w:rPr>
      </w:pPr>
      <w:r>
        <w:rPr>
          <w:b/>
          <w:sz w:val="22"/>
          <w:szCs w:val="22"/>
        </w:rPr>
        <w:t>Křížové financování</w:t>
      </w:r>
    </w:p>
    <w:p w:rsidR="00A75862" w:rsidRDefault="00A75862" w:rsidP="00934641">
      <w:pPr>
        <w:jc w:val="both"/>
        <w:rPr>
          <w:sz w:val="22"/>
          <w:szCs w:val="22"/>
        </w:rPr>
      </w:pPr>
      <w:r w:rsidRPr="00B40B4B">
        <w:rPr>
          <w:sz w:val="22"/>
          <w:szCs w:val="22"/>
        </w:rPr>
        <w:t>IOP umož</w:t>
      </w:r>
      <w:r>
        <w:rPr>
          <w:sz w:val="22"/>
          <w:szCs w:val="22"/>
        </w:rPr>
        <w:t>ňuje</w:t>
      </w:r>
      <w:r w:rsidRPr="00B40B4B">
        <w:rPr>
          <w:sz w:val="22"/>
          <w:szCs w:val="22"/>
        </w:rPr>
        <w:t xml:space="preserve"> využití křížového financování v </w:t>
      </w:r>
      <w:r>
        <w:rPr>
          <w:sz w:val="22"/>
          <w:szCs w:val="22"/>
        </w:rPr>
        <w:t>oblastech intervence 3.2</w:t>
      </w:r>
      <w:r w:rsidRPr="00B40B4B">
        <w:rPr>
          <w:sz w:val="22"/>
          <w:szCs w:val="22"/>
        </w:rPr>
        <w:t xml:space="preserve"> Služby v oblasti veřejného zdraví a </w:t>
      </w:r>
      <w:r>
        <w:rPr>
          <w:sz w:val="22"/>
          <w:szCs w:val="22"/>
        </w:rPr>
        <w:t>v prioritních osách 4a Národní podpora cestovního ruchu – Cíl Konvergence a 4b</w:t>
      </w:r>
      <w:r w:rsidRPr="00B40B4B">
        <w:rPr>
          <w:sz w:val="22"/>
          <w:szCs w:val="22"/>
        </w:rPr>
        <w:t xml:space="preserve"> – Národní podpora cestovního ruchu</w:t>
      </w:r>
      <w:r>
        <w:rPr>
          <w:sz w:val="22"/>
          <w:szCs w:val="22"/>
        </w:rPr>
        <w:t xml:space="preserve"> – Cíl Regionální konkurenceschopnost a zaměstnanost</w:t>
      </w:r>
      <w:r w:rsidRPr="00B40B4B">
        <w:rPr>
          <w:sz w:val="22"/>
          <w:szCs w:val="22"/>
        </w:rPr>
        <w:t>.</w:t>
      </w:r>
      <w:r>
        <w:rPr>
          <w:sz w:val="22"/>
          <w:szCs w:val="22"/>
        </w:rPr>
        <w:t xml:space="preserve"> Náklady neinvestičního charakteru, způsobilé k financování z ESF, nesmí překročit 9 % celkových způsobilých výdajů projektu.</w:t>
      </w:r>
    </w:p>
    <w:p w:rsidR="003963AA" w:rsidRDefault="003963AA" w:rsidP="00934641">
      <w:pPr>
        <w:jc w:val="both"/>
        <w:rPr>
          <w:sz w:val="22"/>
          <w:szCs w:val="22"/>
        </w:rPr>
      </w:pPr>
    </w:p>
    <w:p w:rsidR="00A75862" w:rsidRPr="009F6D31" w:rsidRDefault="00A75862" w:rsidP="00934641">
      <w:pPr>
        <w:jc w:val="both"/>
        <w:rPr>
          <w:sz w:val="22"/>
          <w:szCs w:val="22"/>
        </w:rPr>
      </w:pPr>
      <w:r>
        <w:rPr>
          <w:sz w:val="22"/>
          <w:szCs w:val="22"/>
        </w:rPr>
        <w:t xml:space="preserve">V oblasti intervence 3.2 bylo křížové financování zahrnuto mezi způsobilé výdaje </w:t>
      </w:r>
      <w:r w:rsidRPr="00F31511">
        <w:rPr>
          <w:sz w:val="22"/>
          <w:szCs w:val="22"/>
        </w:rPr>
        <w:t>v první výzvě Ministerstva zdravotnictví</w:t>
      </w:r>
      <w:r>
        <w:rPr>
          <w:sz w:val="22"/>
          <w:szCs w:val="22"/>
        </w:rPr>
        <w:t xml:space="preserve"> ČR. 9 projektových žádostí z 34 celkově předložených, které mohly využít tento nástroj, nebyly doporučeny výběrovou komisí k financování. Žádný projekt v této oblasti intervence nevyužívá křížové financování. </w:t>
      </w:r>
    </w:p>
    <w:p w:rsidR="00A75862" w:rsidRDefault="00A75862" w:rsidP="00934641">
      <w:pPr>
        <w:jc w:val="both"/>
        <w:rPr>
          <w:sz w:val="22"/>
          <w:szCs w:val="22"/>
        </w:rPr>
      </w:pPr>
    </w:p>
    <w:p w:rsidR="00A75862" w:rsidRDefault="00A75862" w:rsidP="00934641">
      <w:pPr>
        <w:jc w:val="both"/>
        <w:rPr>
          <w:sz w:val="22"/>
          <w:szCs w:val="22"/>
        </w:rPr>
      </w:pPr>
      <w:r>
        <w:rPr>
          <w:sz w:val="22"/>
          <w:szCs w:val="22"/>
        </w:rPr>
        <w:t xml:space="preserve">V prioritních osách 4a a 4b Národní podpora </w:t>
      </w:r>
      <w:r w:rsidRPr="00F31511">
        <w:rPr>
          <w:sz w:val="22"/>
          <w:szCs w:val="22"/>
        </w:rPr>
        <w:t xml:space="preserve">cestovního ruchu bylo křížové financování umožněno ve 4. kontinuální výzvě </w:t>
      </w:r>
      <w:r w:rsidR="00162492">
        <w:rPr>
          <w:sz w:val="22"/>
          <w:szCs w:val="22"/>
        </w:rPr>
        <w:t>MMR ČR</w:t>
      </w:r>
      <w:r>
        <w:rPr>
          <w:sz w:val="22"/>
          <w:szCs w:val="22"/>
        </w:rPr>
        <w:t>.</w:t>
      </w:r>
      <w:r w:rsidRPr="00F31511">
        <w:rPr>
          <w:sz w:val="22"/>
          <w:szCs w:val="22"/>
        </w:rPr>
        <w:t xml:space="preserve"> </w:t>
      </w:r>
    </w:p>
    <w:p w:rsidR="00A75862" w:rsidRDefault="00A75862" w:rsidP="00934641">
      <w:pPr>
        <w:jc w:val="both"/>
        <w:rPr>
          <w:sz w:val="22"/>
          <w:szCs w:val="22"/>
        </w:rPr>
      </w:pPr>
    </w:p>
    <w:p w:rsidR="00330C98" w:rsidRDefault="00330C98" w:rsidP="00644BCE">
      <w:pPr>
        <w:rPr>
          <w:b/>
          <w:sz w:val="22"/>
          <w:szCs w:val="22"/>
        </w:rPr>
        <w:sectPr w:rsidR="00330C98" w:rsidSect="00650619">
          <w:pgSz w:w="11906" w:h="16838"/>
          <w:pgMar w:top="1417" w:right="1417" w:bottom="1417" w:left="1417" w:header="708" w:footer="708" w:gutter="0"/>
          <w:cols w:space="708"/>
          <w:docGrid w:linePitch="272"/>
        </w:sectPr>
      </w:pPr>
    </w:p>
    <w:p w:rsidR="00A75862" w:rsidRDefault="00A75862" w:rsidP="00644BCE">
      <w:pPr>
        <w:rPr>
          <w:b/>
          <w:sz w:val="22"/>
          <w:szCs w:val="22"/>
        </w:rPr>
      </w:pPr>
    </w:p>
    <w:p w:rsidR="00A75862" w:rsidRPr="00F95266" w:rsidRDefault="00A75862" w:rsidP="00A92782">
      <w:pPr>
        <w:pStyle w:val="Tabulkanzev"/>
      </w:pPr>
      <w:bookmarkStart w:id="33" w:name="_Toc416431803"/>
      <w:r w:rsidRPr="009026D3">
        <w:t>Přehled využívání křížového financování</w:t>
      </w:r>
      <w:bookmarkEnd w:id="33"/>
    </w:p>
    <w:tbl>
      <w:tblPr>
        <w:tblW w:w="13416" w:type="dxa"/>
        <w:tblInd w:w="47" w:type="dxa"/>
        <w:tblBorders>
          <w:top w:val="double" w:sz="6" w:space="0" w:color="4F6228"/>
          <w:left w:val="double" w:sz="6" w:space="0" w:color="4F6228"/>
          <w:bottom w:val="double" w:sz="6" w:space="0" w:color="4F6228"/>
          <w:right w:val="double" w:sz="6" w:space="0" w:color="4F6228"/>
          <w:insideH w:val="single" w:sz="8" w:space="0" w:color="4F6228"/>
          <w:insideV w:val="single" w:sz="8" w:space="0" w:color="4F6228"/>
        </w:tblBorders>
        <w:tblLayout w:type="fixed"/>
        <w:tblCellMar>
          <w:left w:w="70" w:type="dxa"/>
          <w:right w:w="70" w:type="dxa"/>
        </w:tblCellMar>
        <w:tblLook w:val="04A0" w:firstRow="1" w:lastRow="0" w:firstColumn="1" w:lastColumn="0" w:noHBand="0" w:noVBand="1"/>
      </w:tblPr>
      <w:tblGrid>
        <w:gridCol w:w="972"/>
        <w:gridCol w:w="1345"/>
        <w:gridCol w:w="683"/>
        <w:gridCol w:w="2126"/>
        <w:gridCol w:w="1276"/>
        <w:gridCol w:w="1134"/>
        <w:gridCol w:w="1418"/>
        <w:gridCol w:w="1417"/>
        <w:gridCol w:w="1300"/>
        <w:gridCol w:w="1745"/>
      </w:tblGrid>
      <w:tr w:rsidR="00330C98" w:rsidRPr="00E03633" w:rsidTr="00330C98">
        <w:trPr>
          <w:trHeight w:val="1446"/>
          <w:tblHeader/>
        </w:trPr>
        <w:tc>
          <w:tcPr>
            <w:tcW w:w="972"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OI</w:t>
            </w:r>
          </w:p>
        </w:tc>
        <w:tc>
          <w:tcPr>
            <w:tcW w:w="1345"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Alokace celé PO</w:t>
            </w:r>
          </w:p>
        </w:tc>
        <w:tc>
          <w:tcPr>
            <w:tcW w:w="683"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Číslo výzvy</w:t>
            </w:r>
          </w:p>
        </w:tc>
        <w:tc>
          <w:tcPr>
            <w:tcW w:w="2126"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Stav projektu</w:t>
            </w:r>
          </w:p>
        </w:tc>
        <w:tc>
          <w:tcPr>
            <w:tcW w:w="1276"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Počet projektů s křížovým financováním</w:t>
            </w:r>
          </w:p>
        </w:tc>
        <w:tc>
          <w:tcPr>
            <w:tcW w:w="1134"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Celkové způsobilé výdaje</w:t>
            </w:r>
          </w:p>
        </w:tc>
        <w:tc>
          <w:tcPr>
            <w:tcW w:w="1418"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Křížové financování - celkové způsobilé výdaje</w:t>
            </w:r>
          </w:p>
        </w:tc>
        <w:tc>
          <w:tcPr>
            <w:tcW w:w="1417"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Podíl křížového financování na alokaci</w:t>
            </w:r>
          </w:p>
        </w:tc>
        <w:tc>
          <w:tcPr>
            <w:tcW w:w="1300"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Certifikované křížové financování</w:t>
            </w:r>
          </w:p>
        </w:tc>
        <w:tc>
          <w:tcPr>
            <w:tcW w:w="1745" w:type="dxa"/>
            <w:shd w:val="clear" w:color="000000" w:fill="C2D69B"/>
            <w:vAlign w:val="center"/>
            <w:hideMark/>
          </w:tcPr>
          <w:p w:rsidR="00E03633" w:rsidRPr="00330C98" w:rsidRDefault="00E03633" w:rsidP="00E03633">
            <w:pPr>
              <w:jc w:val="center"/>
              <w:rPr>
                <w:b/>
                <w:bCs/>
                <w:color w:val="000000"/>
                <w:sz w:val="18"/>
                <w:szCs w:val="18"/>
              </w:rPr>
            </w:pPr>
            <w:r w:rsidRPr="00330C98">
              <w:rPr>
                <w:b/>
                <w:bCs/>
                <w:color w:val="000000"/>
                <w:sz w:val="18"/>
                <w:szCs w:val="18"/>
              </w:rPr>
              <w:t>Podíl certifikovaných prostředků na celkových způsobilých výdajích</w:t>
            </w:r>
          </w:p>
        </w:tc>
      </w:tr>
      <w:tr w:rsidR="00330C98" w:rsidRPr="00E03633" w:rsidTr="00330C98">
        <w:trPr>
          <w:trHeight w:val="897"/>
        </w:trPr>
        <w:tc>
          <w:tcPr>
            <w:tcW w:w="972" w:type="dxa"/>
            <w:shd w:val="clear" w:color="auto" w:fill="auto"/>
            <w:noWrap/>
            <w:vAlign w:val="center"/>
            <w:hideMark/>
          </w:tcPr>
          <w:p w:rsidR="00E03633" w:rsidRPr="00330C98" w:rsidRDefault="00E03633" w:rsidP="00330C98">
            <w:pPr>
              <w:jc w:val="center"/>
              <w:rPr>
                <w:color w:val="000000"/>
              </w:rPr>
            </w:pPr>
            <w:r w:rsidRPr="00330C98">
              <w:rPr>
                <w:color w:val="000000"/>
              </w:rPr>
              <w:t>4.1a</w:t>
            </w:r>
          </w:p>
        </w:tc>
        <w:tc>
          <w:tcPr>
            <w:tcW w:w="1345" w:type="dxa"/>
            <w:shd w:val="clear" w:color="auto" w:fill="auto"/>
            <w:noWrap/>
            <w:vAlign w:val="center"/>
            <w:hideMark/>
          </w:tcPr>
          <w:p w:rsidR="00E03633" w:rsidRPr="00330C98" w:rsidRDefault="00E03633" w:rsidP="00330C98">
            <w:pPr>
              <w:jc w:val="center"/>
              <w:rPr>
                <w:color w:val="000000"/>
              </w:rPr>
            </w:pPr>
            <w:r w:rsidRPr="00330C98">
              <w:rPr>
                <w:color w:val="000000"/>
              </w:rPr>
              <w:t>71 255 784</w:t>
            </w:r>
          </w:p>
        </w:tc>
        <w:tc>
          <w:tcPr>
            <w:tcW w:w="683" w:type="dxa"/>
            <w:shd w:val="clear" w:color="auto" w:fill="auto"/>
            <w:noWrap/>
            <w:vAlign w:val="center"/>
            <w:hideMark/>
          </w:tcPr>
          <w:p w:rsidR="00E03633" w:rsidRPr="00330C98" w:rsidRDefault="00E03633" w:rsidP="00330C98">
            <w:pPr>
              <w:jc w:val="center"/>
              <w:rPr>
                <w:color w:val="000000"/>
              </w:rPr>
            </w:pPr>
            <w:r w:rsidRPr="00330C98">
              <w:rPr>
                <w:color w:val="000000"/>
              </w:rPr>
              <w:t>4</w:t>
            </w:r>
          </w:p>
        </w:tc>
        <w:tc>
          <w:tcPr>
            <w:tcW w:w="2126" w:type="dxa"/>
            <w:shd w:val="clear" w:color="auto" w:fill="auto"/>
            <w:vAlign w:val="center"/>
            <w:hideMark/>
          </w:tcPr>
          <w:p w:rsidR="00E03633" w:rsidRPr="00330C98" w:rsidRDefault="00E03633" w:rsidP="00330C98">
            <w:pPr>
              <w:rPr>
                <w:color w:val="000000"/>
              </w:rPr>
            </w:pPr>
            <w:r w:rsidRPr="00330C98">
              <w:rPr>
                <w:color w:val="000000"/>
              </w:rPr>
              <w:t>P7 Výdaje projektu certifikovány</w:t>
            </w:r>
          </w:p>
        </w:tc>
        <w:tc>
          <w:tcPr>
            <w:tcW w:w="1276" w:type="dxa"/>
            <w:shd w:val="clear" w:color="auto" w:fill="auto"/>
            <w:noWrap/>
            <w:vAlign w:val="center"/>
            <w:hideMark/>
          </w:tcPr>
          <w:p w:rsidR="00E03633" w:rsidRPr="00330C98" w:rsidRDefault="00E03633" w:rsidP="00330C98">
            <w:pPr>
              <w:jc w:val="center"/>
              <w:rPr>
                <w:color w:val="000000"/>
              </w:rPr>
            </w:pPr>
            <w:r w:rsidRPr="00330C98">
              <w:rPr>
                <w:color w:val="000000"/>
              </w:rPr>
              <w:t>1</w:t>
            </w:r>
          </w:p>
        </w:tc>
        <w:tc>
          <w:tcPr>
            <w:tcW w:w="1134" w:type="dxa"/>
            <w:shd w:val="clear" w:color="auto" w:fill="auto"/>
            <w:noWrap/>
            <w:vAlign w:val="center"/>
            <w:hideMark/>
          </w:tcPr>
          <w:p w:rsidR="00E03633" w:rsidRPr="00330C98" w:rsidRDefault="00E03633" w:rsidP="00330C98">
            <w:pPr>
              <w:jc w:val="center"/>
              <w:rPr>
                <w:color w:val="000000"/>
              </w:rPr>
            </w:pPr>
            <w:r w:rsidRPr="00330C98">
              <w:rPr>
                <w:color w:val="000000"/>
              </w:rPr>
              <w:t>2 517 415</w:t>
            </w:r>
          </w:p>
        </w:tc>
        <w:tc>
          <w:tcPr>
            <w:tcW w:w="1418" w:type="dxa"/>
            <w:shd w:val="clear" w:color="auto" w:fill="auto"/>
            <w:noWrap/>
            <w:vAlign w:val="center"/>
            <w:hideMark/>
          </w:tcPr>
          <w:p w:rsidR="00E03633" w:rsidRPr="00330C98" w:rsidRDefault="00E03633" w:rsidP="00330C98">
            <w:pPr>
              <w:jc w:val="center"/>
              <w:rPr>
                <w:color w:val="000000"/>
              </w:rPr>
            </w:pPr>
            <w:r w:rsidRPr="00330C98">
              <w:rPr>
                <w:color w:val="000000"/>
              </w:rPr>
              <w:t>2 872</w:t>
            </w:r>
          </w:p>
        </w:tc>
        <w:tc>
          <w:tcPr>
            <w:tcW w:w="1417" w:type="dxa"/>
            <w:shd w:val="clear" w:color="auto" w:fill="auto"/>
            <w:noWrap/>
            <w:vAlign w:val="center"/>
            <w:hideMark/>
          </w:tcPr>
          <w:p w:rsidR="00E03633" w:rsidRPr="00330C98" w:rsidRDefault="00E03633" w:rsidP="00330C98">
            <w:pPr>
              <w:jc w:val="center"/>
              <w:rPr>
                <w:color w:val="000000"/>
              </w:rPr>
            </w:pPr>
            <w:r w:rsidRPr="00330C98">
              <w:rPr>
                <w:color w:val="000000"/>
              </w:rPr>
              <w:t>0,00%</w:t>
            </w:r>
          </w:p>
        </w:tc>
        <w:tc>
          <w:tcPr>
            <w:tcW w:w="1300" w:type="dxa"/>
            <w:shd w:val="clear" w:color="auto" w:fill="auto"/>
            <w:noWrap/>
            <w:vAlign w:val="center"/>
            <w:hideMark/>
          </w:tcPr>
          <w:p w:rsidR="00E03633" w:rsidRPr="00330C98" w:rsidRDefault="00E03633" w:rsidP="00330C98">
            <w:pPr>
              <w:jc w:val="center"/>
              <w:rPr>
                <w:color w:val="000000"/>
              </w:rPr>
            </w:pPr>
            <w:r w:rsidRPr="00330C98">
              <w:rPr>
                <w:color w:val="000000"/>
              </w:rPr>
              <w:t>801</w:t>
            </w:r>
          </w:p>
        </w:tc>
        <w:tc>
          <w:tcPr>
            <w:tcW w:w="1745" w:type="dxa"/>
            <w:shd w:val="clear" w:color="auto" w:fill="auto"/>
            <w:noWrap/>
            <w:vAlign w:val="center"/>
            <w:hideMark/>
          </w:tcPr>
          <w:p w:rsidR="00E03633" w:rsidRPr="00330C98" w:rsidRDefault="00E03633" w:rsidP="00330C98">
            <w:pPr>
              <w:jc w:val="center"/>
              <w:rPr>
                <w:color w:val="000000"/>
              </w:rPr>
            </w:pPr>
            <w:r w:rsidRPr="00330C98">
              <w:rPr>
                <w:color w:val="000000"/>
              </w:rPr>
              <w:t>0,03%</w:t>
            </w:r>
          </w:p>
        </w:tc>
      </w:tr>
      <w:tr w:rsidR="00330C98" w:rsidRPr="00E03633" w:rsidTr="00330C98">
        <w:trPr>
          <w:trHeight w:val="677"/>
        </w:trPr>
        <w:tc>
          <w:tcPr>
            <w:tcW w:w="972" w:type="dxa"/>
            <w:shd w:val="clear" w:color="auto" w:fill="auto"/>
            <w:noWrap/>
            <w:vAlign w:val="center"/>
            <w:hideMark/>
          </w:tcPr>
          <w:p w:rsidR="00E03633" w:rsidRPr="00330C98" w:rsidRDefault="00E03633" w:rsidP="00330C98">
            <w:pPr>
              <w:jc w:val="center"/>
              <w:rPr>
                <w:color w:val="000000"/>
              </w:rPr>
            </w:pPr>
            <w:r w:rsidRPr="00330C98">
              <w:rPr>
                <w:color w:val="000000"/>
              </w:rPr>
              <w:t>4.1a</w:t>
            </w:r>
          </w:p>
        </w:tc>
        <w:tc>
          <w:tcPr>
            <w:tcW w:w="1345" w:type="dxa"/>
            <w:shd w:val="clear" w:color="auto" w:fill="auto"/>
            <w:noWrap/>
            <w:vAlign w:val="center"/>
            <w:hideMark/>
          </w:tcPr>
          <w:p w:rsidR="00E03633" w:rsidRPr="00330C98" w:rsidRDefault="00E03633" w:rsidP="00330C98">
            <w:pPr>
              <w:jc w:val="center"/>
              <w:rPr>
                <w:color w:val="000000"/>
              </w:rPr>
            </w:pPr>
            <w:r w:rsidRPr="00330C98">
              <w:rPr>
                <w:color w:val="000000"/>
              </w:rPr>
              <w:t>71 255 784</w:t>
            </w:r>
          </w:p>
        </w:tc>
        <w:tc>
          <w:tcPr>
            <w:tcW w:w="683" w:type="dxa"/>
            <w:shd w:val="clear" w:color="auto" w:fill="auto"/>
            <w:noWrap/>
            <w:vAlign w:val="center"/>
            <w:hideMark/>
          </w:tcPr>
          <w:p w:rsidR="00E03633" w:rsidRPr="00330C98" w:rsidRDefault="00E03633" w:rsidP="00330C98">
            <w:pPr>
              <w:jc w:val="center"/>
              <w:rPr>
                <w:color w:val="000000"/>
              </w:rPr>
            </w:pPr>
            <w:r w:rsidRPr="00330C98">
              <w:rPr>
                <w:color w:val="000000"/>
              </w:rPr>
              <w:t>4</w:t>
            </w:r>
          </w:p>
        </w:tc>
        <w:tc>
          <w:tcPr>
            <w:tcW w:w="2126" w:type="dxa"/>
            <w:shd w:val="clear" w:color="auto" w:fill="auto"/>
            <w:vAlign w:val="center"/>
            <w:hideMark/>
          </w:tcPr>
          <w:p w:rsidR="00E03633" w:rsidRPr="00330C98" w:rsidRDefault="00E03633" w:rsidP="00330C98">
            <w:pPr>
              <w:rPr>
                <w:color w:val="000000"/>
              </w:rPr>
            </w:pPr>
            <w:r w:rsidRPr="00330C98">
              <w:rPr>
                <w:color w:val="000000"/>
              </w:rPr>
              <w:t>N7 Projekt nedokončen / stažen</w:t>
            </w:r>
          </w:p>
        </w:tc>
        <w:tc>
          <w:tcPr>
            <w:tcW w:w="1276" w:type="dxa"/>
            <w:shd w:val="clear" w:color="auto" w:fill="auto"/>
            <w:noWrap/>
            <w:vAlign w:val="center"/>
            <w:hideMark/>
          </w:tcPr>
          <w:p w:rsidR="00E03633" w:rsidRPr="00330C98" w:rsidRDefault="00E03633" w:rsidP="00330C98">
            <w:pPr>
              <w:jc w:val="center"/>
              <w:rPr>
                <w:color w:val="000000"/>
              </w:rPr>
            </w:pPr>
            <w:r w:rsidRPr="00330C98">
              <w:rPr>
                <w:color w:val="000000"/>
              </w:rPr>
              <w:t>1</w:t>
            </w:r>
          </w:p>
        </w:tc>
        <w:tc>
          <w:tcPr>
            <w:tcW w:w="1134" w:type="dxa"/>
            <w:shd w:val="clear" w:color="auto" w:fill="auto"/>
            <w:noWrap/>
            <w:vAlign w:val="center"/>
            <w:hideMark/>
          </w:tcPr>
          <w:p w:rsidR="00E03633" w:rsidRPr="00330C98" w:rsidRDefault="00E03633" w:rsidP="00330C98">
            <w:pPr>
              <w:jc w:val="center"/>
              <w:rPr>
                <w:color w:val="000000"/>
              </w:rPr>
            </w:pPr>
            <w:r w:rsidRPr="00330C98">
              <w:rPr>
                <w:color w:val="000000"/>
              </w:rPr>
              <w:t>2 652 584</w:t>
            </w:r>
          </w:p>
        </w:tc>
        <w:tc>
          <w:tcPr>
            <w:tcW w:w="1418" w:type="dxa"/>
            <w:shd w:val="clear" w:color="auto" w:fill="auto"/>
            <w:noWrap/>
            <w:vAlign w:val="center"/>
            <w:hideMark/>
          </w:tcPr>
          <w:p w:rsidR="00E03633" w:rsidRPr="00330C98" w:rsidRDefault="00E03633" w:rsidP="00330C98">
            <w:pPr>
              <w:jc w:val="center"/>
              <w:rPr>
                <w:color w:val="000000"/>
              </w:rPr>
            </w:pPr>
            <w:r w:rsidRPr="00330C98">
              <w:rPr>
                <w:color w:val="000000"/>
              </w:rPr>
              <w:t>236 536</w:t>
            </w:r>
          </w:p>
        </w:tc>
        <w:tc>
          <w:tcPr>
            <w:tcW w:w="1417" w:type="dxa"/>
            <w:shd w:val="clear" w:color="auto" w:fill="auto"/>
            <w:noWrap/>
            <w:vAlign w:val="center"/>
            <w:hideMark/>
          </w:tcPr>
          <w:p w:rsidR="00E03633" w:rsidRPr="00330C98" w:rsidRDefault="00E03633" w:rsidP="00330C98">
            <w:pPr>
              <w:jc w:val="center"/>
              <w:rPr>
                <w:color w:val="000000"/>
              </w:rPr>
            </w:pPr>
            <w:r w:rsidRPr="00330C98">
              <w:rPr>
                <w:color w:val="000000"/>
              </w:rPr>
              <w:t>0,33%</w:t>
            </w:r>
          </w:p>
        </w:tc>
        <w:tc>
          <w:tcPr>
            <w:tcW w:w="1300" w:type="dxa"/>
            <w:shd w:val="clear" w:color="auto" w:fill="auto"/>
            <w:noWrap/>
            <w:vAlign w:val="center"/>
            <w:hideMark/>
          </w:tcPr>
          <w:p w:rsidR="00E03633" w:rsidRPr="00330C98" w:rsidRDefault="00E03633" w:rsidP="00330C98">
            <w:pPr>
              <w:jc w:val="center"/>
              <w:rPr>
                <w:color w:val="000000"/>
              </w:rPr>
            </w:pPr>
            <w:r w:rsidRPr="00330C98">
              <w:rPr>
                <w:color w:val="000000"/>
              </w:rPr>
              <w:t>-</w:t>
            </w:r>
          </w:p>
        </w:tc>
        <w:tc>
          <w:tcPr>
            <w:tcW w:w="1745" w:type="dxa"/>
            <w:shd w:val="clear" w:color="auto" w:fill="auto"/>
            <w:noWrap/>
            <w:vAlign w:val="center"/>
            <w:hideMark/>
          </w:tcPr>
          <w:p w:rsidR="00E03633" w:rsidRPr="00330C98" w:rsidRDefault="00E03633" w:rsidP="00330C98">
            <w:pPr>
              <w:jc w:val="center"/>
              <w:rPr>
                <w:color w:val="000000"/>
              </w:rPr>
            </w:pPr>
            <w:r w:rsidRPr="00330C98">
              <w:rPr>
                <w:color w:val="000000"/>
              </w:rPr>
              <w:t>-</w:t>
            </w:r>
          </w:p>
        </w:tc>
      </w:tr>
      <w:tr w:rsidR="00330C98" w:rsidRPr="00E03633" w:rsidTr="00330C98">
        <w:trPr>
          <w:trHeight w:val="456"/>
        </w:trPr>
        <w:tc>
          <w:tcPr>
            <w:tcW w:w="972" w:type="dxa"/>
            <w:shd w:val="clear" w:color="000000" w:fill="D8E4BC"/>
            <w:vAlign w:val="center"/>
            <w:hideMark/>
          </w:tcPr>
          <w:p w:rsidR="00E03633" w:rsidRPr="00330C98" w:rsidRDefault="00E03633" w:rsidP="00330C98">
            <w:pPr>
              <w:jc w:val="center"/>
              <w:rPr>
                <w:color w:val="000000"/>
              </w:rPr>
            </w:pPr>
            <w:r w:rsidRPr="00330C98">
              <w:rPr>
                <w:color w:val="000000"/>
              </w:rPr>
              <w:t>4.1a celkem</w:t>
            </w:r>
          </w:p>
        </w:tc>
        <w:tc>
          <w:tcPr>
            <w:tcW w:w="1345" w:type="dxa"/>
            <w:shd w:val="clear" w:color="000000" w:fill="D8E4BC"/>
            <w:noWrap/>
            <w:vAlign w:val="center"/>
            <w:hideMark/>
          </w:tcPr>
          <w:p w:rsidR="00E03633" w:rsidRPr="00330C98" w:rsidRDefault="00E03633" w:rsidP="00330C98">
            <w:pPr>
              <w:jc w:val="center"/>
              <w:rPr>
                <w:color w:val="000000"/>
              </w:rPr>
            </w:pPr>
            <w:r w:rsidRPr="00330C98">
              <w:rPr>
                <w:color w:val="000000"/>
              </w:rPr>
              <w:t>71 255 784</w:t>
            </w:r>
          </w:p>
        </w:tc>
        <w:tc>
          <w:tcPr>
            <w:tcW w:w="683" w:type="dxa"/>
            <w:shd w:val="clear" w:color="000000" w:fill="D8E4BC"/>
            <w:noWrap/>
            <w:vAlign w:val="center"/>
            <w:hideMark/>
          </w:tcPr>
          <w:p w:rsidR="00E03633" w:rsidRPr="00330C98" w:rsidRDefault="00E03633" w:rsidP="00330C98">
            <w:pPr>
              <w:jc w:val="center"/>
              <w:rPr>
                <w:color w:val="000000"/>
              </w:rPr>
            </w:pPr>
            <w:r w:rsidRPr="00330C98">
              <w:rPr>
                <w:color w:val="000000"/>
              </w:rPr>
              <w:t>4</w:t>
            </w:r>
          </w:p>
        </w:tc>
        <w:tc>
          <w:tcPr>
            <w:tcW w:w="2126" w:type="dxa"/>
            <w:shd w:val="clear" w:color="000000" w:fill="D8E4BC"/>
            <w:vAlign w:val="center"/>
            <w:hideMark/>
          </w:tcPr>
          <w:p w:rsidR="00E03633" w:rsidRPr="00330C98" w:rsidRDefault="00E03633" w:rsidP="00330C98">
            <w:pPr>
              <w:rPr>
                <w:color w:val="000000"/>
              </w:rPr>
            </w:pPr>
          </w:p>
        </w:tc>
        <w:tc>
          <w:tcPr>
            <w:tcW w:w="1276" w:type="dxa"/>
            <w:shd w:val="clear" w:color="000000" w:fill="D8E4BC"/>
            <w:noWrap/>
            <w:vAlign w:val="center"/>
            <w:hideMark/>
          </w:tcPr>
          <w:p w:rsidR="00E03633" w:rsidRPr="00330C98" w:rsidRDefault="00E03633" w:rsidP="00330C98">
            <w:pPr>
              <w:jc w:val="center"/>
              <w:rPr>
                <w:color w:val="000000"/>
              </w:rPr>
            </w:pPr>
            <w:r w:rsidRPr="00330C98">
              <w:rPr>
                <w:color w:val="000000"/>
              </w:rPr>
              <w:t>2</w:t>
            </w:r>
          </w:p>
        </w:tc>
        <w:tc>
          <w:tcPr>
            <w:tcW w:w="1134" w:type="dxa"/>
            <w:shd w:val="clear" w:color="000000" w:fill="D8E4BC"/>
            <w:noWrap/>
            <w:vAlign w:val="center"/>
            <w:hideMark/>
          </w:tcPr>
          <w:p w:rsidR="00E03633" w:rsidRPr="00330C98" w:rsidRDefault="00E03633" w:rsidP="00330C98">
            <w:pPr>
              <w:jc w:val="center"/>
              <w:rPr>
                <w:color w:val="000000"/>
              </w:rPr>
            </w:pPr>
            <w:r w:rsidRPr="00330C98">
              <w:rPr>
                <w:color w:val="000000"/>
              </w:rPr>
              <w:t>5 169 999</w:t>
            </w:r>
          </w:p>
        </w:tc>
        <w:tc>
          <w:tcPr>
            <w:tcW w:w="1418" w:type="dxa"/>
            <w:shd w:val="clear" w:color="000000" w:fill="D8E4BC"/>
            <w:noWrap/>
            <w:vAlign w:val="center"/>
            <w:hideMark/>
          </w:tcPr>
          <w:p w:rsidR="00E03633" w:rsidRPr="00330C98" w:rsidRDefault="00E03633" w:rsidP="00330C98">
            <w:pPr>
              <w:jc w:val="center"/>
              <w:rPr>
                <w:color w:val="000000"/>
              </w:rPr>
            </w:pPr>
            <w:r w:rsidRPr="00330C98">
              <w:rPr>
                <w:color w:val="000000"/>
              </w:rPr>
              <w:t>239 408</w:t>
            </w:r>
          </w:p>
        </w:tc>
        <w:tc>
          <w:tcPr>
            <w:tcW w:w="1417" w:type="dxa"/>
            <w:shd w:val="clear" w:color="000000" w:fill="D8E4BC"/>
            <w:noWrap/>
            <w:vAlign w:val="center"/>
            <w:hideMark/>
          </w:tcPr>
          <w:p w:rsidR="00E03633" w:rsidRPr="00330C98" w:rsidRDefault="00E03633" w:rsidP="00330C98">
            <w:pPr>
              <w:jc w:val="center"/>
              <w:rPr>
                <w:color w:val="000000"/>
              </w:rPr>
            </w:pPr>
            <w:r w:rsidRPr="00330C98">
              <w:rPr>
                <w:color w:val="000000"/>
              </w:rPr>
              <w:t>0,34%</w:t>
            </w:r>
          </w:p>
        </w:tc>
        <w:tc>
          <w:tcPr>
            <w:tcW w:w="1300" w:type="dxa"/>
            <w:shd w:val="clear" w:color="000000" w:fill="D8E4BC"/>
            <w:noWrap/>
            <w:vAlign w:val="center"/>
            <w:hideMark/>
          </w:tcPr>
          <w:p w:rsidR="00E03633" w:rsidRPr="00330C98" w:rsidRDefault="00E03633" w:rsidP="00330C98">
            <w:pPr>
              <w:jc w:val="center"/>
              <w:rPr>
                <w:color w:val="000000"/>
              </w:rPr>
            </w:pPr>
            <w:r w:rsidRPr="00330C98">
              <w:rPr>
                <w:color w:val="000000"/>
              </w:rPr>
              <w:t>801</w:t>
            </w:r>
          </w:p>
        </w:tc>
        <w:tc>
          <w:tcPr>
            <w:tcW w:w="1745" w:type="dxa"/>
            <w:shd w:val="clear" w:color="000000" w:fill="D8E4BC"/>
            <w:noWrap/>
            <w:vAlign w:val="center"/>
            <w:hideMark/>
          </w:tcPr>
          <w:p w:rsidR="00E03633" w:rsidRPr="00330C98" w:rsidRDefault="00E03633" w:rsidP="00330C98">
            <w:pPr>
              <w:jc w:val="center"/>
              <w:rPr>
                <w:color w:val="000000"/>
              </w:rPr>
            </w:pPr>
            <w:r w:rsidRPr="00330C98">
              <w:rPr>
                <w:color w:val="000000"/>
              </w:rPr>
              <w:t>0,02%</w:t>
            </w:r>
          </w:p>
        </w:tc>
      </w:tr>
      <w:tr w:rsidR="00330C98" w:rsidRPr="00E03633" w:rsidTr="00330C98">
        <w:trPr>
          <w:trHeight w:val="727"/>
        </w:trPr>
        <w:tc>
          <w:tcPr>
            <w:tcW w:w="972" w:type="dxa"/>
            <w:shd w:val="clear" w:color="auto" w:fill="auto"/>
            <w:noWrap/>
            <w:vAlign w:val="center"/>
            <w:hideMark/>
          </w:tcPr>
          <w:p w:rsidR="00E03633" w:rsidRPr="00330C98" w:rsidRDefault="00E03633" w:rsidP="00330C98">
            <w:pPr>
              <w:jc w:val="center"/>
              <w:rPr>
                <w:color w:val="000000"/>
              </w:rPr>
            </w:pPr>
            <w:r w:rsidRPr="00330C98">
              <w:rPr>
                <w:color w:val="000000"/>
              </w:rPr>
              <w:t>4.1b</w:t>
            </w:r>
          </w:p>
        </w:tc>
        <w:tc>
          <w:tcPr>
            <w:tcW w:w="1345" w:type="dxa"/>
            <w:shd w:val="clear" w:color="auto" w:fill="auto"/>
            <w:noWrap/>
            <w:vAlign w:val="center"/>
            <w:hideMark/>
          </w:tcPr>
          <w:p w:rsidR="00E03633" w:rsidRPr="00330C98" w:rsidRDefault="00E03633" w:rsidP="00330C98">
            <w:pPr>
              <w:jc w:val="center"/>
              <w:rPr>
                <w:color w:val="000000"/>
              </w:rPr>
            </w:pPr>
            <w:r w:rsidRPr="00330C98">
              <w:rPr>
                <w:color w:val="000000"/>
              </w:rPr>
              <w:t>3 647 971</w:t>
            </w:r>
          </w:p>
        </w:tc>
        <w:tc>
          <w:tcPr>
            <w:tcW w:w="683" w:type="dxa"/>
            <w:shd w:val="clear" w:color="auto" w:fill="auto"/>
            <w:noWrap/>
            <w:vAlign w:val="center"/>
            <w:hideMark/>
          </w:tcPr>
          <w:p w:rsidR="00E03633" w:rsidRPr="00330C98" w:rsidRDefault="00E03633" w:rsidP="00330C98">
            <w:pPr>
              <w:jc w:val="center"/>
              <w:rPr>
                <w:color w:val="000000"/>
              </w:rPr>
            </w:pPr>
            <w:r w:rsidRPr="00330C98">
              <w:rPr>
                <w:color w:val="000000"/>
              </w:rPr>
              <w:t>4</w:t>
            </w:r>
          </w:p>
        </w:tc>
        <w:tc>
          <w:tcPr>
            <w:tcW w:w="2126" w:type="dxa"/>
            <w:shd w:val="clear" w:color="auto" w:fill="auto"/>
            <w:vAlign w:val="center"/>
            <w:hideMark/>
          </w:tcPr>
          <w:p w:rsidR="00E03633" w:rsidRPr="00330C98" w:rsidRDefault="00E03633" w:rsidP="00330C98">
            <w:pPr>
              <w:rPr>
                <w:color w:val="000000"/>
              </w:rPr>
            </w:pPr>
            <w:r w:rsidRPr="00330C98">
              <w:rPr>
                <w:color w:val="000000"/>
              </w:rPr>
              <w:t>P7 Výdaje projektu certifikovány</w:t>
            </w:r>
          </w:p>
        </w:tc>
        <w:tc>
          <w:tcPr>
            <w:tcW w:w="1276" w:type="dxa"/>
            <w:shd w:val="clear" w:color="auto" w:fill="auto"/>
            <w:noWrap/>
            <w:vAlign w:val="center"/>
            <w:hideMark/>
          </w:tcPr>
          <w:p w:rsidR="00E03633" w:rsidRPr="00330C98" w:rsidRDefault="00E03633" w:rsidP="00330C98">
            <w:pPr>
              <w:jc w:val="center"/>
              <w:rPr>
                <w:color w:val="000000"/>
              </w:rPr>
            </w:pPr>
            <w:r w:rsidRPr="00330C98">
              <w:rPr>
                <w:color w:val="000000"/>
              </w:rPr>
              <w:t>1</w:t>
            </w:r>
          </w:p>
        </w:tc>
        <w:tc>
          <w:tcPr>
            <w:tcW w:w="1134" w:type="dxa"/>
            <w:shd w:val="clear" w:color="auto" w:fill="auto"/>
            <w:noWrap/>
            <w:vAlign w:val="center"/>
            <w:hideMark/>
          </w:tcPr>
          <w:p w:rsidR="00E03633" w:rsidRPr="00330C98" w:rsidRDefault="00E03633" w:rsidP="00330C98">
            <w:pPr>
              <w:jc w:val="center"/>
              <w:rPr>
                <w:color w:val="000000"/>
              </w:rPr>
            </w:pPr>
            <w:r w:rsidRPr="00330C98">
              <w:rPr>
                <w:color w:val="000000"/>
              </w:rPr>
              <w:t>193 647</w:t>
            </w:r>
          </w:p>
        </w:tc>
        <w:tc>
          <w:tcPr>
            <w:tcW w:w="1418" w:type="dxa"/>
            <w:shd w:val="clear" w:color="auto" w:fill="auto"/>
            <w:noWrap/>
            <w:vAlign w:val="center"/>
            <w:hideMark/>
          </w:tcPr>
          <w:p w:rsidR="00E03633" w:rsidRPr="00330C98" w:rsidRDefault="00E03633" w:rsidP="00330C98">
            <w:pPr>
              <w:jc w:val="center"/>
              <w:rPr>
                <w:color w:val="000000"/>
              </w:rPr>
            </w:pPr>
            <w:r w:rsidRPr="00330C98">
              <w:rPr>
                <w:color w:val="000000"/>
              </w:rPr>
              <w:t>221</w:t>
            </w:r>
          </w:p>
        </w:tc>
        <w:tc>
          <w:tcPr>
            <w:tcW w:w="1417" w:type="dxa"/>
            <w:shd w:val="clear" w:color="auto" w:fill="auto"/>
            <w:noWrap/>
            <w:vAlign w:val="center"/>
            <w:hideMark/>
          </w:tcPr>
          <w:p w:rsidR="00E03633" w:rsidRPr="00330C98" w:rsidRDefault="00E03633" w:rsidP="00330C98">
            <w:pPr>
              <w:jc w:val="center"/>
              <w:rPr>
                <w:color w:val="000000"/>
              </w:rPr>
            </w:pPr>
            <w:r w:rsidRPr="00330C98">
              <w:rPr>
                <w:color w:val="000000"/>
              </w:rPr>
              <w:t>0,01%</w:t>
            </w:r>
          </w:p>
        </w:tc>
        <w:tc>
          <w:tcPr>
            <w:tcW w:w="1300" w:type="dxa"/>
            <w:shd w:val="clear" w:color="auto" w:fill="auto"/>
            <w:noWrap/>
            <w:vAlign w:val="center"/>
            <w:hideMark/>
          </w:tcPr>
          <w:p w:rsidR="00E03633" w:rsidRPr="00330C98" w:rsidRDefault="00E03633" w:rsidP="00330C98">
            <w:pPr>
              <w:jc w:val="center"/>
              <w:rPr>
                <w:color w:val="000000"/>
              </w:rPr>
            </w:pPr>
            <w:r w:rsidRPr="00330C98">
              <w:rPr>
                <w:color w:val="000000"/>
              </w:rPr>
              <w:t>62</w:t>
            </w:r>
          </w:p>
        </w:tc>
        <w:tc>
          <w:tcPr>
            <w:tcW w:w="1745" w:type="dxa"/>
            <w:shd w:val="clear" w:color="auto" w:fill="auto"/>
            <w:noWrap/>
            <w:vAlign w:val="center"/>
            <w:hideMark/>
          </w:tcPr>
          <w:p w:rsidR="00E03633" w:rsidRPr="00330C98" w:rsidRDefault="00E03633" w:rsidP="00330C98">
            <w:pPr>
              <w:jc w:val="center"/>
              <w:rPr>
                <w:color w:val="000000"/>
              </w:rPr>
            </w:pPr>
            <w:r w:rsidRPr="00330C98">
              <w:rPr>
                <w:color w:val="000000"/>
              </w:rPr>
              <w:t>0,00%</w:t>
            </w:r>
          </w:p>
        </w:tc>
      </w:tr>
      <w:tr w:rsidR="00330C98" w:rsidRPr="00E03633" w:rsidTr="00330C98">
        <w:trPr>
          <w:trHeight w:val="677"/>
        </w:trPr>
        <w:tc>
          <w:tcPr>
            <w:tcW w:w="972" w:type="dxa"/>
            <w:shd w:val="clear" w:color="auto" w:fill="auto"/>
            <w:noWrap/>
            <w:vAlign w:val="center"/>
            <w:hideMark/>
          </w:tcPr>
          <w:p w:rsidR="00E03633" w:rsidRPr="00330C98" w:rsidRDefault="00E03633" w:rsidP="00330C98">
            <w:pPr>
              <w:jc w:val="center"/>
              <w:rPr>
                <w:color w:val="000000"/>
              </w:rPr>
            </w:pPr>
            <w:r w:rsidRPr="00330C98">
              <w:rPr>
                <w:color w:val="000000"/>
              </w:rPr>
              <w:t>4.1b</w:t>
            </w:r>
          </w:p>
        </w:tc>
        <w:tc>
          <w:tcPr>
            <w:tcW w:w="1345" w:type="dxa"/>
            <w:shd w:val="clear" w:color="auto" w:fill="auto"/>
            <w:noWrap/>
            <w:vAlign w:val="center"/>
            <w:hideMark/>
          </w:tcPr>
          <w:p w:rsidR="00E03633" w:rsidRPr="00330C98" w:rsidRDefault="00E03633" w:rsidP="00330C98">
            <w:pPr>
              <w:jc w:val="center"/>
              <w:rPr>
                <w:color w:val="000000"/>
              </w:rPr>
            </w:pPr>
            <w:r w:rsidRPr="00330C98">
              <w:rPr>
                <w:color w:val="000000"/>
              </w:rPr>
              <w:t>3 647 971</w:t>
            </w:r>
          </w:p>
        </w:tc>
        <w:tc>
          <w:tcPr>
            <w:tcW w:w="683" w:type="dxa"/>
            <w:shd w:val="clear" w:color="auto" w:fill="auto"/>
            <w:noWrap/>
            <w:vAlign w:val="center"/>
            <w:hideMark/>
          </w:tcPr>
          <w:p w:rsidR="00E03633" w:rsidRPr="00330C98" w:rsidRDefault="00E03633" w:rsidP="00330C98">
            <w:pPr>
              <w:jc w:val="center"/>
              <w:rPr>
                <w:color w:val="000000"/>
              </w:rPr>
            </w:pPr>
            <w:r w:rsidRPr="00330C98">
              <w:rPr>
                <w:color w:val="000000"/>
              </w:rPr>
              <w:t>4</w:t>
            </w:r>
          </w:p>
        </w:tc>
        <w:tc>
          <w:tcPr>
            <w:tcW w:w="2126" w:type="dxa"/>
            <w:shd w:val="clear" w:color="auto" w:fill="auto"/>
            <w:vAlign w:val="center"/>
            <w:hideMark/>
          </w:tcPr>
          <w:p w:rsidR="00E03633" w:rsidRPr="00330C98" w:rsidRDefault="00E03633" w:rsidP="00330C98">
            <w:pPr>
              <w:rPr>
                <w:color w:val="000000"/>
              </w:rPr>
            </w:pPr>
            <w:r w:rsidRPr="00330C98">
              <w:rPr>
                <w:color w:val="000000"/>
              </w:rPr>
              <w:t>N7 Projekt nedokončen / stažen</w:t>
            </w:r>
          </w:p>
        </w:tc>
        <w:tc>
          <w:tcPr>
            <w:tcW w:w="1276" w:type="dxa"/>
            <w:shd w:val="clear" w:color="auto" w:fill="auto"/>
            <w:noWrap/>
            <w:vAlign w:val="center"/>
            <w:hideMark/>
          </w:tcPr>
          <w:p w:rsidR="00E03633" w:rsidRPr="00330C98" w:rsidRDefault="00E03633" w:rsidP="00330C98">
            <w:pPr>
              <w:jc w:val="center"/>
              <w:rPr>
                <w:color w:val="000000"/>
              </w:rPr>
            </w:pPr>
            <w:r w:rsidRPr="00330C98">
              <w:rPr>
                <w:color w:val="000000"/>
              </w:rPr>
              <w:t>1</w:t>
            </w:r>
          </w:p>
        </w:tc>
        <w:tc>
          <w:tcPr>
            <w:tcW w:w="1134" w:type="dxa"/>
            <w:shd w:val="clear" w:color="auto" w:fill="auto"/>
            <w:noWrap/>
            <w:vAlign w:val="center"/>
            <w:hideMark/>
          </w:tcPr>
          <w:p w:rsidR="00E03633" w:rsidRPr="00330C98" w:rsidRDefault="00E03633" w:rsidP="00330C98">
            <w:pPr>
              <w:jc w:val="center"/>
              <w:rPr>
                <w:color w:val="000000"/>
              </w:rPr>
            </w:pPr>
            <w:r w:rsidRPr="00330C98">
              <w:rPr>
                <w:color w:val="000000"/>
              </w:rPr>
              <w:t>204 039</w:t>
            </w:r>
          </w:p>
        </w:tc>
        <w:tc>
          <w:tcPr>
            <w:tcW w:w="1418" w:type="dxa"/>
            <w:shd w:val="clear" w:color="auto" w:fill="auto"/>
            <w:noWrap/>
            <w:vAlign w:val="center"/>
            <w:hideMark/>
          </w:tcPr>
          <w:p w:rsidR="00E03633" w:rsidRPr="00330C98" w:rsidRDefault="00E03633" w:rsidP="00330C98">
            <w:pPr>
              <w:jc w:val="center"/>
              <w:rPr>
                <w:color w:val="000000"/>
              </w:rPr>
            </w:pPr>
            <w:r w:rsidRPr="00330C98">
              <w:rPr>
                <w:color w:val="000000"/>
              </w:rPr>
              <w:t>18 195</w:t>
            </w:r>
          </w:p>
        </w:tc>
        <w:tc>
          <w:tcPr>
            <w:tcW w:w="1417" w:type="dxa"/>
            <w:shd w:val="clear" w:color="auto" w:fill="auto"/>
            <w:noWrap/>
            <w:vAlign w:val="center"/>
            <w:hideMark/>
          </w:tcPr>
          <w:p w:rsidR="00E03633" w:rsidRPr="00330C98" w:rsidRDefault="00E03633" w:rsidP="00330C98">
            <w:pPr>
              <w:jc w:val="center"/>
              <w:rPr>
                <w:color w:val="000000"/>
              </w:rPr>
            </w:pPr>
            <w:r w:rsidRPr="00330C98">
              <w:rPr>
                <w:color w:val="000000"/>
              </w:rPr>
              <w:t>0,50%</w:t>
            </w:r>
          </w:p>
        </w:tc>
        <w:tc>
          <w:tcPr>
            <w:tcW w:w="1300" w:type="dxa"/>
            <w:shd w:val="clear" w:color="auto" w:fill="auto"/>
            <w:noWrap/>
            <w:vAlign w:val="center"/>
            <w:hideMark/>
          </w:tcPr>
          <w:p w:rsidR="00E03633" w:rsidRPr="00330C98" w:rsidRDefault="00E03633" w:rsidP="00330C98">
            <w:pPr>
              <w:jc w:val="center"/>
              <w:rPr>
                <w:color w:val="000000"/>
              </w:rPr>
            </w:pPr>
            <w:r w:rsidRPr="00330C98">
              <w:rPr>
                <w:color w:val="000000"/>
              </w:rPr>
              <w:t>-</w:t>
            </w:r>
          </w:p>
        </w:tc>
        <w:tc>
          <w:tcPr>
            <w:tcW w:w="1745" w:type="dxa"/>
            <w:shd w:val="clear" w:color="auto" w:fill="auto"/>
            <w:noWrap/>
            <w:vAlign w:val="center"/>
            <w:hideMark/>
          </w:tcPr>
          <w:p w:rsidR="00E03633" w:rsidRPr="00330C98" w:rsidRDefault="00E03633" w:rsidP="00330C98">
            <w:pPr>
              <w:jc w:val="center"/>
              <w:rPr>
                <w:color w:val="000000"/>
              </w:rPr>
            </w:pPr>
            <w:r w:rsidRPr="00330C98">
              <w:rPr>
                <w:color w:val="000000"/>
              </w:rPr>
              <w:t>-</w:t>
            </w:r>
          </w:p>
        </w:tc>
      </w:tr>
      <w:tr w:rsidR="00330C98" w:rsidRPr="00E03633" w:rsidTr="00330C98">
        <w:trPr>
          <w:trHeight w:val="603"/>
        </w:trPr>
        <w:tc>
          <w:tcPr>
            <w:tcW w:w="972" w:type="dxa"/>
            <w:shd w:val="clear" w:color="000000" w:fill="D8E4BC"/>
            <w:noWrap/>
            <w:vAlign w:val="center"/>
            <w:hideMark/>
          </w:tcPr>
          <w:p w:rsidR="00330C98" w:rsidRPr="00330C98" w:rsidRDefault="00330C98" w:rsidP="00330C98">
            <w:pPr>
              <w:jc w:val="center"/>
              <w:rPr>
                <w:color w:val="000000"/>
              </w:rPr>
            </w:pPr>
            <w:r w:rsidRPr="00330C98">
              <w:rPr>
                <w:color w:val="000000"/>
              </w:rPr>
              <w:t>4.1b</w:t>
            </w:r>
          </w:p>
          <w:p w:rsidR="00330C98" w:rsidRPr="00330C98" w:rsidRDefault="00330C98" w:rsidP="00330C98">
            <w:pPr>
              <w:jc w:val="center"/>
              <w:rPr>
                <w:color w:val="000000"/>
              </w:rPr>
            </w:pPr>
            <w:r w:rsidRPr="00330C98">
              <w:rPr>
                <w:color w:val="000000"/>
              </w:rPr>
              <w:t>celkem</w:t>
            </w:r>
          </w:p>
        </w:tc>
        <w:tc>
          <w:tcPr>
            <w:tcW w:w="1345" w:type="dxa"/>
            <w:shd w:val="clear" w:color="000000" w:fill="D8E4BC"/>
            <w:noWrap/>
            <w:vAlign w:val="center"/>
            <w:hideMark/>
          </w:tcPr>
          <w:p w:rsidR="00330C98" w:rsidRPr="00330C98" w:rsidRDefault="00330C98" w:rsidP="00330C98">
            <w:pPr>
              <w:jc w:val="center"/>
              <w:rPr>
                <w:color w:val="000000"/>
              </w:rPr>
            </w:pPr>
            <w:r w:rsidRPr="00330C98">
              <w:rPr>
                <w:color w:val="000000"/>
              </w:rPr>
              <w:t>3 647 971</w:t>
            </w:r>
          </w:p>
        </w:tc>
        <w:tc>
          <w:tcPr>
            <w:tcW w:w="683" w:type="dxa"/>
            <w:shd w:val="clear" w:color="000000" w:fill="D8E4BC"/>
            <w:noWrap/>
            <w:vAlign w:val="center"/>
            <w:hideMark/>
          </w:tcPr>
          <w:p w:rsidR="00330C98" w:rsidRPr="00330C98" w:rsidRDefault="00330C98" w:rsidP="00330C98">
            <w:pPr>
              <w:jc w:val="center"/>
              <w:rPr>
                <w:color w:val="000000"/>
              </w:rPr>
            </w:pPr>
            <w:r w:rsidRPr="00330C98">
              <w:rPr>
                <w:color w:val="000000"/>
              </w:rPr>
              <w:t>4</w:t>
            </w:r>
          </w:p>
        </w:tc>
        <w:tc>
          <w:tcPr>
            <w:tcW w:w="2126" w:type="dxa"/>
            <w:shd w:val="clear" w:color="000000" w:fill="D8E4BC"/>
            <w:vAlign w:val="center"/>
            <w:hideMark/>
          </w:tcPr>
          <w:p w:rsidR="00330C98" w:rsidRPr="00330C98" w:rsidRDefault="00330C98" w:rsidP="00330C98">
            <w:pPr>
              <w:rPr>
                <w:color w:val="000000"/>
              </w:rPr>
            </w:pPr>
          </w:p>
        </w:tc>
        <w:tc>
          <w:tcPr>
            <w:tcW w:w="1276" w:type="dxa"/>
            <w:shd w:val="clear" w:color="000000" w:fill="D8E4BC"/>
            <w:noWrap/>
            <w:vAlign w:val="center"/>
            <w:hideMark/>
          </w:tcPr>
          <w:p w:rsidR="00330C98" w:rsidRPr="00330C98" w:rsidRDefault="00330C98" w:rsidP="00330C98">
            <w:pPr>
              <w:jc w:val="center"/>
              <w:rPr>
                <w:color w:val="000000"/>
              </w:rPr>
            </w:pPr>
            <w:r w:rsidRPr="00330C98">
              <w:rPr>
                <w:color w:val="000000"/>
              </w:rPr>
              <w:t>2</w:t>
            </w:r>
          </w:p>
        </w:tc>
        <w:tc>
          <w:tcPr>
            <w:tcW w:w="1134" w:type="dxa"/>
            <w:shd w:val="clear" w:color="000000" w:fill="D8E4BC"/>
            <w:noWrap/>
            <w:vAlign w:val="center"/>
            <w:hideMark/>
          </w:tcPr>
          <w:p w:rsidR="00330C98" w:rsidRPr="00330C98" w:rsidRDefault="00330C98" w:rsidP="00330C98">
            <w:pPr>
              <w:jc w:val="center"/>
              <w:rPr>
                <w:color w:val="000000"/>
              </w:rPr>
            </w:pPr>
            <w:r w:rsidRPr="00330C98">
              <w:rPr>
                <w:color w:val="000000"/>
              </w:rPr>
              <w:t>397 687</w:t>
            </w:r>
          </w:p>
        </w:tc>
        <w:tc>
          <w:tcPr>
            <w:tcW w:w="1418" w:type="dxa"/>
            <w:shd w:val="clear" w:color="000000" w:fill="D8E4BC"/>
            <w:noWrap/>
            <w:vAlign w:val="center"/>
            <w:hideMark/>
          </w:tcPr>
          <w:p w:rsidR="00330C98" w:rsidRPr="00330C98" w:rsidRDefault="00330C98" w:rsidP="00330C98">
            <w:pPr>
              <w:jc w:val="center"/>
              <w:rPr>
                <w:color w:val="000000"/>
              </w:rPr>
            </w:pPr>
            <w:r w:rsidRPr="00330C98">
              <w:rPr>
                <w:color w:val="000000"/>
              </w:rPr>
              <w:t>18 416</w:t>
            </w:r>
          </w:p>
        </w:tc>
        <w:tc>
          <w:tcPr>
            <w:tcW w:w="1417" w:type="dxa"/>
            <w:shd w:val="clear" w:color="000000" w:fill="D8E4BC"/>
            <w:noWrap/>
            <w:vAlign w:val="center"/>
            <w:hideMark/>
          </w:tcPr>
          <w:p w:rsidR="00330C98" w:rsidRPr="00330C98" w:rsidRDefault="00330C98" w:rsidP="00330C98">
            <w:pPr>
              <w:jc w:val="center"/>
              <w:rPr>
                <w:color w:val="000000"/>
              </w:rPr>
            </w:pPr>
            <w:r w:rsidRPr="00330C98">
              <w:rPr>
                <w:color w:val="000000"/>
              </w:rPr>
              <w:t>0,34%</w:t>
            </w:r>
          </w:p>
        </w:tc>
        <w:tc>
          <w:tcPr>
            <w:tcW w:w="1300" w:type="dxa"/>
            <w:shd w:val="clear" w:color="000000" w:fill="D8E4BC"/>
            <w:noWrap/>
            <w:vAlign w:val="center"/>
            <w:hideMark/>
          </w:tcPr>
          <w:p w:rsidR="00330C98" w:rsidRPr="00330C98" w:rsidRDefault="00330C98" w:rsidP="00330C98">
            <w:pPr>
              <w:jc w:val="center"/>
              <w:rPr>
                <w:color w:val="000000"/>
              </w:rPr>
            </w:pPr>
            <w:r w:rsidRPr="00330C98">
              <w:rPr>
                <w:color w:val="000000"/>
              </w:rPr>
              <w:t>62</w:t>
            </w:r>
          </w:p>
        </w:tc>
        <w:tc>
          <w:tcPr>
            <w:tcW w:w="1745" w:type="dxa"/>
            <w:shd w:val="clear" w:color="000000" w:fill="D8E4BC"/>
            <w:noWrap/>
            <w:vAlign w:val="center"/>
            <w:hideMark/>
          </w:tcPr>
          <w:p w:rsidR="00330C98" w:rsidRPr="00330C98" w:rsidRDefault="00330C98" w:rsidP="00330C98">
            <w:pPr>
              <w:jc w:val="center"/>
              <w:rPr>
                <w:color w:val="000000"/>
              </w:rPr>
            </w:pPr>
            <w:r w:rsidRPr="00330C98">
              <w:rPr>
                <w:color w:val="000000"/>
              </w:rPr>
              <w:t>0,00%</w:t>
            </w:r>
          </w:p>
        </w:tc>
      </w:tr>
    </w:tbl>
    <w:p w:rsidR="007350B4" w:rsidRPr="008C4750" w:rsidRDefault="005A1F0B" w:rsidP="007350B4">
      <w:pPr>
        <w:rPr>
          <w:i/>
          <w:sz w:val="18"/>
          <w:szCs w:val="18"/>
        </w:rPr>
      </w:pPr>
      <w:r w:rsidRPr="008C4750">
        <w:rPr>
          <w:i/>
          <w:sz w:val="18"/>
          <w:szCs w:val="18"/>
        </w:rPr>
        <w:t xml:space="preserve">Zdroj: IS Monit7+ ke dni </w:t>
      </w:r>
      <w:r w:rsidR="00EE20BF" w:rsidRPr="008C4750">
        <w:rPr>
          <w:i/>
          <w:sz w:val="18"/>
          <w:szCs w:val="18"/>
        </w:rPr>
        <w:t>2. 1. 2015</w:t>
      </w:r>
    </w:p>
    <w:p w:rsidR="007350B4" w:rsidRPr="008C4750" w:rsidRDefault="0049227B" w:rsidP="007350B4">
      <w:pPr>
        <w:rPr>
          <w:i/>
          <w:sz w:val="18"/>
          <w:szCs w:val="18"/>
        </w:rPr>
      </w:pPr>
      <w:r>
        <w:rPr>
          <w:i/>
          <w:sz w:val="18"/>
          <w:szCs w:val="18"/>
        </w:rPr>
        <w:t>Kurz: CZK/EUR: 27,728</w:t>
      </w:r>
    </w:p>
    <w:p w:rsidR="007350B4" w:rsidRPr="008C4750" w:rsidRDefault="005A1F0B" w:rsidP="007350B4">
      <w:pPr>
        <w:rPr>
          <w:i/>
          <w:sz w:val="18"/>
          <w:szCs w:val="18"/>
        </w:rPr>
      </w:pPr>
      <w:r w:rsidRPr="008C4750">
        <w:rPr>
          <w:i/>
          <w:sz w:val="18"/>
          <w:szCs w:val="18"/>
        </w:rPr>
        <w:t>Zdroj financování: Celkové způsobilé výdaje</w:t>
      </w:r>
    </w:p>
    <w:p w:rsidR="00330C98" w:rsidRDefault="00330C98" w:rsidP="00644BCE">
      <w:pPr>
        <w:rPr>
          <w:b/>
          <w:sz w:val="22"/>
          <w:szCs w:val="22"/>
        </w:rPr>
        <w:sectPr w:rsidR="00330C98" w:rsidSect="00330C98">
          <w:pgSz w:w="16838" w:h="11906" w:orient="landscape"/>
          <w:pgMar w:top="1417" w:right="1417" w:bottom="1417" w:left="1417" w:header="708" w:footer="708" w:gutter="0"/>
          <w:cols w:space="708"/>
          <w:docGrid w:linePitch="272"/>
        </w:sectPr>
      </w:pPr>
    </w:p>
    <w:p w:rsidR="007751AA" w:rsidRDefault="003963AA" w:rsidP="006961FD">
      <w:pPr>
        <w:pStyle w:val="Nadpis3"/>
        <w:spacing w:before="0"/>
      </w:pPr>
      <w:bookmarkStart w:id="34" w:name="_Toc383084669"/>
      <w:bookmarkStart w:id="35" w:name="_Toc417024838"/>
      <w:r w:rsidRPr="00EC11DB">
        <w:lastRenderedPageBreak/>
        <w:t>2.1. C Informace</w:t>
      </w:r>
      <w:r w:rsidR="007751AA" w:rsidRPr="00EC11DB">
        <w:t xml:space="preserve"> o rozpisu využití fondů</w:t>
      </w:r>
      <w:bookmarkEnd w:id="34"/>
      <w:bookmarkEnd w:id="35"/>
    </w:p>
    <w:tbl>
      <w:tblPr>
        <w:tblW w:w="14090" w:type="dxa"/>
        <w:tblInd w:w="47" w:type="dxa"/>
        <w:tblCellMar>
          <w:left w:w="70" w:type="dxa"/>
          <w:right w:w="70" w:type="dxa"/>
        </w:tblCellMar>
        <w:tblLook w:val="04A0" w:firstRow="1" w:lastRow="0" w:firstColumn="1" w:lastColumn="0" w:noHBand="0" w:noVBand="1"/>
      </w:tblPr>
      <w:tblGrid>
        <w:gridCol w:w="4734"/>
        <w:gridCol w:w="1590"/>
        <w:gridCol w:w="978"/>
        <w:gridCol w:w="2498"/>
        <w:gridCol w:w="1100"/>
        <w:gridCol w:w="1543"/>
        <w:gridCol w:w="1647"/>
      </w:tblGrid>
      <w:tr w:rsidR="00495F7C" w:rsidRPr="00495F7C" w:rsidTr="004A4674">
        <w:trPr>
          <w:trHeight w:val="644"/>
        </w:trPr>
        <w:tc>
          <w:tcPr>
            <w:tcW w:w="4734" w:type="dxa"/>
            <w:tcBorders>
              <w:top w:val="double" w:sz="6" w:space="0" w:color="4F6228"/>
              <w:left w:val="double" w:sz="6" w:space="0" w:color="4F6228"/>
              <w:bottom w:val="single" w:sz="8" w:space="0" w:color="4F6228"/>
              <w:right w:val="single" w:sz="8" w:space="0" w:color="4F6228"/>
            </w:tcBorders>
            <w:shd w:val="clear" w:color="auto" w:fill="C2D69B" w:themeFill="accent3" w:themeFillTint="99"/>
            <w:vAlign w:val="center"/>
            <w:hideMark/>
          </w:tcPr>
          <w:p w:rsidR="00495F7C" w:rsidRPr="004A4674" w:rsidRDefault="00495F7C" w:rsidP="00495F7C">
            <w:pPr>
              <w:jc w:val="center"/>
              <w:rPr>
                <w:b/>
                <w:bCs/>
                <w:color w:val="000000"/>
                <w:sz w:val="18"/>
                <w:szCs w:val="18"/>
              </w:rPr>
            </w:pPr>
            <w:r w:rsidRPr="004A4674">
              <w:rPr>
                <w:b/>
                <w:bCs/>
                <w:color w:val="000000"/>
                <w:sz w:val="18"/>
                <w:szCs w:val="18"/>
              </w:rPr>
              <w:t>Prioritní téma</w:t>
            </w:r>
          </w:p>
        </w:tc>
        <w:tc>
          <w:tcPr>
            <w:tcW w:w="1590"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4A4674" w:rsidRDefault="00495F7C" w:rsidP="00495F7C">
            <w:pPr>
              <w:jc w:val="center"/>
              <w:rPr>
                <w:b/>
                <w:bCs/>
                <w:color w:val="000000"/>
                <w:sz w:val="18"/>
                <w:szCs w:val="18"/>
              </w:rPr>
            </w:pPr>
            <w:r w:rsidRPr="004A4674">
              <w:rPr>
                <w:b/>
                <w:bCs/>
                <w:color w:val="000000"/>
                <w:sz w:val="18"/>
                <w:szCs w:val="18"/>
              </w:rPr>
              <w:t>Forma financování</w:t>
            </w:r>
          </w:p>
        </w:tc>
        <w:tc>
          <w:tcPr>
            <w:tcW w:w="978"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4A4674" w:rsidRDefault="00495F7C" w:rsidP="00495F7C">
            <w:pPr>
              <w:jc w:val="center"/>
              <w:rPr>
                <w:b/>
                <w:bCs/>
                <w:color w:val="000000"/>
                <w:sz w:val="18"/>
                <w:szCs w:val="18"/>
              </w:rPr>
            </w:pPr>
            <w:r w:rsidRPr="004A4674">
              <w:rPr>
                <w:b/>
                <w:bCs/>
                <w:color w:val="000000"/>
                <w:sz w:val="18"/>
                <w:szCs w:val="18"/>
              </w:rPr>
              <w:t>Typ území</w:t>
            </w:r>
          </w:p>
        </w:tc>
        <w:tc>
          <w:tcPr>
            <w:tcW w:w="2498"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4A4674" w:rsidRDefault="00495F7C" w:rsidP="00495F7C">
            <w:pPr>
              <w:jc w:val="center"/>
              <w:rPr>
                <w:b/>
                <w:bCs/>
                <w:color w:val="000000"/>
                <w:sz w:val="18"/>
                <w:szCs w:val="18"/>
              </w:rPr>
            </w:pPr>
            <w:r w:rsidRPr="004A4674">
              <w:rPr>
                <w:b/>
                <w:bCs/>
                <w:color w:val="000000"/>
                <w:sz w:val="18"/>
                <w:szCs w:val="18"/>
              </w:rPr>
              <w:t>Hospodářská činnost</w:t>
            </w:r>
          </w:p>
        </w:tc>
        <w:tc>
          <w:tcPr>
            <w:tcW w:w="1100"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4A4674" w:rsidRDefault="00495F7C" w:rsidP="00495F7C">
            <w:pPr>
              <w:jc w:val="center"/>
              <w:rPr>
                <w:b/>
                <w:bCs/>
                <w:color w:val="000000"/>
                <w:sz w:val="18"/>
                <w:szCs w:val="18"/>
              </w:rPr>
            </w:pPr>
            <w:r w:rsidRPr="004A4674">
              <w:rPr>
                <w:b/>
                <w:bCs/>
                <w:color w:val="000000"/>
                <w:sz w:val="18"/>
                <w:szCs w:val="18"/>
              </w:rPr>
              <w:t>Zeměpisná poloha</w:t>
            </w:r>
          </w:p>
        </w:tc>
        <w:tc>
          <w:tcPr>
            <w:tcW w:w="1543"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4A4674" w:rsidRDefault="00495F7C" w:rsidP="00495F7C">
            <w:pPr>
              <w:jc w:val="center"/>
              <w:rPr>
                <w:b/>
                <w:bCs/>
                <w:color w:val="000000"/>
                <w:sz w:val="18"/>
                <w:szCs w:val="18"/>
              </w:rPr>
            </w:pPr>
            <w:r w:rsidRPr="004A4674">
              <w:rPr>
                <w:b/>
                <w:bCs/>
                <w:color w:val="000000"/>
                <w:sz w:val="18"/>
                <w:szCs w:val="18"/>
              </w:rPr>
              <w:t xml:space="preserve">Částka v </w:t>
            </w:r>
            <w:proofErr w:type="gramStart"/>
            <w:r w:rsidRPr="004A4674">
              <w:rPr>
                <w:b/>
                <w:bCs/>
                <w:color w:val="000000"/>
                <w:sz w:val="18"/>
                <w:szCs w:val="18"/>
              </w:rPr>
              <w:t>EUR</w:t>
            </w:r>
            <w:proofErr w:type="gramEnd"/>
            <w:r w:rsidRPr="004A4674">
              <w:rPr>
                <w:b/>
                <w:bCs/>
                <w:color w:val="000000"/>
                <w:sz w:val="18"/>
                <w:szCs w:val="18"/>
              </w:rPr>
              <w:t xml:space="preserve"> ke konci roku 2014</w:t>
            </w:r>
          </w:p>
        </w:tc>
        <w:tc>
          <w:tcPr>
            <w:tcW w:w="1647" w:type="dxa"/>
            <w:tcBorders>
              <w:top w:val="double" w:sz="6" w:space="0" w:color="4F6228"/>
              <w:left w:val="nil"/>
              <w:bottom w:val="single" w:sz="8" w:space="0" w:color="4F6228"/>
              <w:right w:val="double" w:sz="6" w:space="0" w:color="4F6228"/>
            </w:tcBorders>
            <w:shd w:val="clear" w:color="auto" w:fill="C2D69B" w:themeFill="accent3" w:themeFillTint="99"/>
            <w:vAlign w:val="center"/>
            <w:hideMark/>
          </w:tcPr>
          <w:p w:rsidR="00495F7C" w:rsidRPr="004A4674" w:rsidRDefault="00495F7C" w:rsidP="00495F7C">
            <w:pPr>
              <w:jc w:val="center"/>
              <w:rPr>
                <w:b/>
                <w:bCs/>
                <w:color w:val="000000"/>
                <w:sz w:val="18"/>
                <w:szCs w:val="18"/>
              </w:rPr>
            </w:pPr>
            <w:r w:rsidRPr="004A4674">
              <w:rPr>
                <w:b/>
                <w:bCs/>
                <w:color w:val="000000"/>
                <w:sz w:val="18"/>
                <w:szCs w:val="18"/>
              </w:rPr>
              <w:t>Alokace na prioritní téma 2007-2013 (EUR)</w:t>
            </w:r>
          </w:p>
        </w:tc>
      </w:tr>
      <w:tr w:rsidR="00495F7C" w:rsidRPr="00495F7C" w:rsidTr="003E49D6">
        <w:trPr>
          <w:trHeight w:hRule="exact" w:val="450"/>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13 - Služby a aplikace pro občany (e-zdraví, e-vláda, e-učení, e-začlenění atd.)</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17</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377 561 141,86</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461 833 111</w:t>
            </w:r>
          </w:p>
        </w:tc>
      </w:tr>
      <w:tr w:rsidR="00495F7C" w:rsidRPr="00495F7C" w:rsidTr="003E49D6">
        <w:trPr>
          <w:trHeight w:hRule="exact" w:val="569"/>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A04951">
            <w:pPr>
              <w:rPr>
                <w:color w:val="000000"/>
                <w:sz w:val="16"/>
                <w:szCs w:val="16"/>
              </w:rPr>
            </w:pPr>
            <w:r w:rsidRPr="003E49D6">
              <w:rPr>
                <w:color w:val="000000"/>
                <w:sz w:val="16"/>
                <w:szCs w:val="16"/>
              </w:rPr>
              <w:t xml:space="preserve">53 - Předcházení rizikům (včetně návrhu a provedení plánů </w:t>
            </w:r>
            <w:r w:rsidR="00A04951" w:rsidRPr="003E49D6">
              <w:rPr>
                <w:color w:val="000000"/>
                <w:sz w:val="16"/>
                <w:szCs w:val="16"/>
              </w:rPr>
              <w:br/>
            </w:r>
            <w:r w:rsidRPr="003E49D6">
              <w:rPr>
                <w:color w:val="000000"/>
                <w:sz w:val="16"/>
                <w:szCs w:val="16"/>
              </w:rPr>
              <w:t xml:space="preserve">a opatření na předcházení </w:t>
            </w:r>
            <w:r w:rsidR="00A04951" w:rsidRPr="003E49D6">
              <w:rPr>
                <w:color w:val="000000"/>
                <w:sz w:val="16"/>
                <w:szCs w:val="16"/>
              </w:rPr>
              <w:t>přírodním a technologickým</w:t>
            </w:r>
            <w:r w:rsidRPr="003E49D6">
              <w:rPr>
                <w:color w:val="000000"/>
                <w:sz w:val="16"/>
                <w:szCs w:val="16"/>
              </w:rPr>
              <w:t xml:space="preserve"> rizikům a jejich</w:t>
            </w:r>
            <w:r w:rsidR="00A04951" w:rsidRPr="003E49D6">
              <w:rPr>
                <w:color w:val="000000"/>
                <w:sz w:val="16"/>
                <w:szCs w:val="16"/>
              </w:rPr>
              <w:t xml:space="preserve"> řízení)</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17, 19</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269 144 481,64</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290 853 059</w:t>
            </w:r>
          </w:p>
        </w:tc>
      </w:tr>
      <w:tr w:rsidR="00495F7C" w:rsidRPr="00495F7C" w:rsidTr="008817E3">
        <w:trPr>
          <w:trHeight w:val="31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141950">
            <w:pPr>
              <w:rPr>
                <w:color w:val="0000FF"/>
                <w:sz w:val="16"/>
                <w:szCs w:val="16"/>
                <w:u w:val="single"/>
              </w:rPr>
            </w:pPr>
            <w:r w:rsidRPr="003E49D6">
              <w:rPr>
                <w:color w:val="000000"/>
                <w:sz w:val="16"/>
                <w:szCs w:val="16"/>
              </w:rPr>
              <w:t>55 - Propagace přírodního bohatství</w:t>
            </w:r>
            <w:r w:rsidR="004A4674" w:rsidRPr="003E49D6">
              <w:rPr>
                <w:rStyle w:val="Znakapoznpodarou"/>
                <w:color w:val="000000"/>
                <w:sz w:val="16"/>
                <w:szCs w:val="16"/>
              </w:rPr>
              <w:footnoteReference w:id="6"/>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14, 17, 22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52 301 290,18</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45 006 249,00</w:t>
            </w:r>
          </w:p>
        </w:tc>
      </w:tr>
      <w:tr w:rsidR="00495F7C" w:rsidRPr="00495F7C" w:rsidTr="008817E3">
        <w:trPr>
          <w:trHeight w:hRule="exact" w:val="271"/>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57 - Jiná podpora zlepšení služeb cestovního ruchu</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17, 22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7 170 394,96</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63684E" w:rsidP="00495F7C">
            <w:pPr>
              <w:jc w:val="right"/>
              <w:rPr>
                <w:color w:val="000000"/>
                <w:sz w:val="16"/>
                <w:szCs w:val="16"/>
              </w:rPr>
            </w:pPr>
            <w:r>
              <w:rPr>
                <w:color w:val="000000"/>
                <w:sz w:val="16"/>
                <w:szCs w:val="16"/>
              </w:rPr>
              <w:t>18 661 942,00</w:t>
            </w:r>
          </w:p>
        </w:tc>
      </w:tr>
      <w:tr w:rsidR="00495F7C" w:rsidRPr="00495F7C" w:rsidTr="003E49D6">
        <w:trPr>
          <w:trHeight w:hRule="exact" w:val="37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58 - Ochrana a zachování kulturního dědictví</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17, 18, 22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199 106 072,18</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198 389 481,00</w:t>
            </w:r>
          </w:p>
        </w:tc>
      </w:tr>
      <w:tr w:rsidR="00495F7C" w:rsidRPr="00495F7C" w:rsidTr="008817E3">
        <w:trPr>
          <w:trHeight w:hRule="exact" w:val="31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59 - Rozvoj kulturní infrastruktury</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18, 22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11 776 146,38</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15 345 930</w:t>
            </w:r>
          </w:p>
        </w:tc>
      </w:tr>
      <w:tr w:rsidR="00495F7C" w:rsidRPr="00495F7C" w:rsidTr="003E49D6">
        <w:trPr>
          <w:trHeight w:hRule="exact" w:val="357"/>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61 - Integrované projekty pro obnovu měst a venkova</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01, 02</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00, 16, 17, 21, 22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178 430 337,71</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213 377 956,00</w:t>
            </w:r>
          </w:p>
        </w:tc>
      </w:tr>
      <w:tr w:rsidR="00495F7C" w:rsidRPr="00495F7C" w:rsidTr="008817E3">
        <w:trPr>
          <w:trHeight w:hRule="exact" w:val="31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75 - Vzdělávací infrastruktura</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17, 22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5 234 151,57</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7 241 304</w:t>
            </w:r>
          </w:p>
        </w:tc>
      </w:tr>
      <w:tr w:rsidR="00495F7C" w:rsidRPr="00495F7C" w:rsidTr="008817E3">
        <w:trPr>
          <w:trHeight w:hRule="exact" w:val="31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76 - Zdravotní infrastruktura</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19, 22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204 350 767,24</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228 915 216,00</w:t>
            </w:r>
          </w:p>
        </w:tc>
      </w:tr>
      <w:tr w:rsidR="00495F7C" w:rsidRPr="00495F7C" w:rsidTr="003E49D6">
        <w:trPr>
          <w:trHeight w:hRule="exact" w:val="412"/>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79 - Jiná sociální infrastruktura</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03, 04, 06, 11, 12, 13, 14, 16, 17, 19, 20, 21, 22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72 870 238,50</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87 608 481</w:t>
            </w:r>
          </w:p>
        </w:tc>
      </w:tr>
      <w:tr w:rsidR="00495F7C" w:rsidRPr="00495F7C" w:rsidTr="003E49D6">
        <w:trPr>
          <w:trHeight w:hRule="exact" w:val="605"/>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 xml:space="preserve">81 - Mechanismy lepšího </w:t>
            </w:r>
            <w:r w:rsidR="009324DC" w:rsidRPr="003E49D6">
              <w:rPr>
                <w:color w:val="000000"/>
                <w:sz w:val="16"/>
                <w:szCs w:val="16"/>
              </w:rPr>
              <w:t>vytváření, monitorování</w:t>
            </w:r>
            <w:r w:rsidRPr="003E49D6">
              <w:rPr>
                <w:color w:val="000000"/>
                <w:sz w:val="16"/>
                <w:szCs w:val="16"/>
              </w:rPr>
              <w:t xml:space="preserve"> </w:t>
            </w:r>
            <w:r w:rsidR="00DC1EE8" w:rsidRPr="003E49D6">
              <w:rPr>
                <w:color w:val="000000"/>
                <w:sz w:val="16"/>
                <w:szCs w:val="16"/>
              </w:rPr>
              <w:br/>
            </w:r>
            <w:r w:rsidRPr="003E49D6">
              <w:rPr>
                <w:color w:val="000000"/>
                <w:sz w:val="16"/>
                <w:szCs w:val="16"/>
              </w:rPr>
              <w:t>a hodnocení dobrých politik a programů na vnitrostátní, regionální a místní úrovni, budování kapacit pro provádění politik a programů.</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01, 02</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17</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14 396 597,85</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15 530 107,00</w:t>
            </w:r>
          </w:p>
        </w:tc>
      </w:tr>
      <w:tr w:rsidR="00495F7C" w:rsidRPr="00495F7C" w:rsidTr="008817E3">
        <w:trPr>
          <w:trHeight w:hRule="exact" w:val="299"/>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85 - Příprava, provádění, monitorování a kontrola</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17</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25 122 735,93</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27 677 299,00</w:t>
            </w:r>
          </w:p>
        </w:tc>
      </w:tr>
      <w:tr w:rsidR="00495F7C" w:rsidRPr="00495F7C" w:rsidTr="008817E3">
        <w:trPr>
          <w:trHeight w:hRule="exact" w:val="264"/>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86 - Hodnocení a studie; informace a komunikace</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center"/>
              <w:rPr>
                <w:color w:val="000000"/>
                <w:sz w:val="16"/>
                <w:szCs w:val="16"/>
              </w:rPr>
            </w:pPr>
            <w:r w:rsidRPr="003E49D6">
              <w:rPr>
                <w:color w:val="000000"/>
                <w:sz w:val="16"/>
                <w:szCs w:val="16"/>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17</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rPr>
                <w:color w:val="000000"/>
                <w:sz w:val="16"/>
                <w:szCs w:val="16"/>
              </w:rPr>
            </w:pPr>
            <w:r w:rsidRPr="003E49D6">
              <w:rPr>
                <w:color w:val="000000"/>
                <w:sz w:val="16"/>
                <w:szCs w:val="16"/>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5 394 795,12</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3E49D6" w:rsidRDefault="00495F7C" w:rsidP="00495F7C">
            <w:pPr>
              <w:jc w:val="right"/>
              <w:rPr>
                <w:color w:val="000000"/>
                <w:sz w:val="16"/>
                <w:szCs w:val="16"/>
              </w:rPr>
            </w:pPr>
            <w:r w:rsidRPr="003E49D6">
              <w:rPr>
                <w:color w:val="000000"/>
                <w:sz w:val="16"/>
                <w:szCs w:val="16"/>
              </w:rPr>
              <w:t>70 239 160</w:t>
            </w:r>
          </w:p>
        </w:tc>
      </w:tr>
      <w:tr w:rsidR="00495F7C" w:rsidRPr="00495F7C" w:rsidTr="008817E3">
        <w:trPr>
          <w:trHeight w:hRule="exact" w:val="316"/>
        </w:trPr>
        <w:tc>
          <w:tcPr>
            <w:tcW w:w="4734"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495F7C" w:rsidRPr="003E49D6" w:rsidRDefault="00495F7C" w:rsidP="00495F7C">
            <w:pPr>
              <w:rPr>
                <w:b/>
                <w:bCs/>
                <w:color w:val="000000"/>
                <w:sz w:val="16"/>
                <w:szCs w:val="16"/>
              </w:rPr>
            </w:pPr>
            <w:r w:rsidRPr="003E49D6">
              <w:rPr>
                <w:b/>
                <w:bCs/>
                <w:color w:val="000000"/>
                <w:sz w:val="16"/>
                <w:szCs w:val="16"/>
              </w:rPr>
              <w:t>Celkem IOP</w:t>
            </w:r>
          </w:p>
        </w:tc>
        <w:tc>
          <w:tcPr>
            <w:tcW w:w="1590"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3E49D6" w:rsidRDefault="00495F7C" w:rsidP="00495F7C">
            <w:pPr>
              <w:rPr>
                <w:b/>
                <w:bCs/>
                <w:color w:val="000000"/>
                <w:sz w:val="16"/>
                <w:szCs w:val="16"/>
              </w:rPr>
            </w:pPr>
            <w:r w:rsidRPr="003E49D6">
              <w:rPr>
                <w:b/>
                <w:bCs/>
                <w:color w:val="000000"/>
                <w:sz w:val="16"/>
                <w:szCs w:val="16"/>
              </w:rPr>
              <w:t> </w:t>
            </w:r>
          </w:p>
        </w:tc>
        <w:tc>
          <w:tcPr>
            <w:tcW w:w="978"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3E49D6" w:rsidRDefault="00495F7C" w:rsidP="00495F7C">
            <w:pPr>
              <w:rPr>
                <w:b/>
                <w:bCs/>
                <w:color w:val="000000"/>
                <w:sz w:val="16"/>
                <w:szCs w:val="16"/>
              </w:rPr>
            </w:pPr>
            <w:r w:rsidRPr="003E49D6">
              <w:rPr>
                <w:b/>
                <w:bCs/>
                <w:color w:val="000000"/>
                <w:sz w:val="16"/>
                <w:szCs w:val="16"/>
              </w:rPr>
              <w:t> </w:t>
            </w:r>
          </w:p>
        </w:tc>
        <w:tc>
          <w:tcPr>
            <w:tcW w:w="2498"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3E49D6" w:rsidRDefault="00495F7C" w:rsidP="00495F7C">
            <w:pPr>
              <w:rPr>
                <w:b/>
                <w:bCs/>
                <w:color w:val="000000"/>
                <w:sz w:val="16"/>
                <w:szCs w:val="16"/>
              </w:rPr>
            </w:pPr>
            <w:r w:rsidRPr="003E49D6">
              <w:rPr>
                <w:b/>
                <w:bCs/>
                <w:color w:val="000000"/>
                <w:sz w:val="16"/>
                <w:szCs w:val="16"/>
              </w:rPr>
              <w:t> </w:t>
            </w:r>
          </w:p>
        </w:tc>
        <w:tc>
          <w:tcPr>
            <w:tcW w:w="1100"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3E49D6" w:rsidRDefault="00495F7C" w:rsidP="00495F7C">
            <w:pPr>
              <w:rPr>
                <w:b/>
                <w:bCs/>
                <w:color w:val="000000"/>
                <w:sz w:val="16"/>
                <w:szCs w:val="16"/>
              </w:rPr>
            </w:pPr>
            <w:r w:rsidRPr="003E49D6">
              <w:rPr>
                <w:b/>
                <w:bCs/>
                <w:color w:val="000000"/>
                <w:sz w:val="16"/>
                <w:szCs w:val="16"/>
              </w:rPr>
              <w:t> </w:t>
            </w:r>
          </w:p>
        </w:tc>
        <w:tc>
          <w:tcPr>
            <w:tcW w:w="1543"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3E49D6" w:rsidRDefault="00495F7C" w:rsidP="00495F7C">
            <w:pPr>
              <w:jc w:val="right"/>
              <w:rPr>
                <w:b/>
                <w:bCs/>
                <w:color w:val="000000"/>
                <w:sz w:val="16"/>
                <w:szCs w:val="16"/>
              </w:rPr>
            </w:pPr>
            <w:r w:rsidRPr="003E49D6">
              <w:rPr>
                <w:b/>
                <w:bCs/>
                <w:color w:val="000000"/>
                <w:sz w:val="16"/>
                <w:szCs w:val="16"/>
              </w:rPr>
              <w:t>1 422 859 151,12</w:t>
            </w:r>
          </w:p>
        </w:tc>
        <w:tc>
          <w:tcPr>
            <w:tcW w:w="1647" w:type="dxa"/>
            <w:tcBorders>
              <w:top w:val="nil"/>
              <w:left w:val="nil"/>
              <w:bottom w:val="double" w:sz="6" w:space="0" w:color="4F6228"/>
              <w:right w:val="double" w:sz="6" w:space="0" w:color="4F6228"/>
            </w:tcBorders>
            <w:shd w:val="clear" w:color="auto" w:fill="C2D69B" w:themeFill="accent3" w:themeFillTint="99"/>
            <w:vAlign w:val="center"/>
            <w:hideMark/>
          </w:tcPr>
          <w:p w:rsidR="00495F7C" w:rsidRPr="003E49D6" w:rsidRDefault="0063684E" w:rsidP="0063684E">
            <w:pPr>
              <w:jc w:val="right"/>
              <w:rPr>
                <w:b/>
                <w:bCs/>
                <w:color w:val="000000"/>
                <w:sz w:val="16"/>
                <w:szCs w:val="16"/>
              </w:rPr>
            </w:pPr>
            <w:r>
              <w:rPr>
                <w:b/>
                <w:bCs/>
                <w:color w:val="000000"/>
                <w:sz w:val="16"/>
                <w:szCs w:val="16"/>
              </w:rPr>
              <w:t>1 617 464 051</w:t>
            </w:r>
          </w:p>
        </w:tc>
      </w:tr>
    </w:tbl>
    <w:p w:rsidR="000C5269" w:rsidRPr="008C4750" w:rsidRDefault="005A1F0B" w:rsidP="008C4750">
      <w:pPr>
        <w:spacing w:after="60"/>
        <w:jc w:val="both"/>
        <w:rPr>
          <w:i/>
          <w:sz w:val="18"/>
          <w:szCs w:val="18"/>
        </w:rPr>
      </w:pPr>
      <w:r w:rsidRPr="008C4750">
        <w:rPr>
          <w:i/>
          <w:sz w:val="18"/>
          <w:szCs w:val="18"/>
        </w:rPr>
        <w:t xml:space="preserve">Zdroj: MSC2007 ke dni </w:t>
      </w:r>
      <w:r w:rsidR="00EE20BF" w:rsidRPr="008C4750">
        <w:rPr>
          <w:i/>
          <w:sz w:val="18"/>
          <w:szCs w:val="18"/>
        </w:rPr>
        <w:t>31. 12. 2014</w:t>
      </w:r>
      <w:r w:rsidR="00495F7C">
        <w:rPr>
          <w:i/>
          <w:sz w:val="18"/>
          <w:szCs w:val="18"/>
        </w:rPr>
        <w:t>, kurz CZK/EUR: 27,728</w:t>
      </w:r>
      <w:r w:rsidRPr="008C4750">
        <w:rPr>
          <w:i/>
          <w:sz w:val="18"/>
          <w:szCs w:val="18"/>
        </w:rPr>
        <w:t>, zdroj financování:</w:t>
      </w:r>
      <w:r w:rsidR="003963AA">
        <w:rPr>
          <w:i/>
          <w:sz w:val="18"/>
          <w:szCs w:val="18"/>
        </w:rPr>
        <w:t xml:space="preserve"> </w:t>
      </w:r>
      <w:r w:rsidRPr="008C4750">
        <w:rPr>
          <w:i/>
          <w:sz w:val="18"/>
          <w:szCs w:val="18"/>
        </w:rPr>
        <w:t>podíl EU</w:t>
      </w:r>
    </w:p>
    <w:p w:rsidR="00C92C15" w:rsidRDefault="005A1F0B" w:rsidP="00EC11DB">
      <w:pPr>
        <w:jc w:val="both"/>
        <w:rPr>
          <w:sz w:val="18"/>
          <w:szCs w:val="18"/>
        </w:rPr>
      </w:pPr>
      <w:r w:rsidRPr="00EC11DB">
        <w:rPr>
          <w:sz w:val="18"/>
          <w:szCs w:val="18"/>
        </w:rPr>
        <w:t xml:space="preserve">Pozn.: </w:t>
      </w:r>
      <w:r w:rsidR="00EC11DB" w:rsidRPr="00EC11DB">
        <w:rPr>
          <w:sz w:val="18"/>
          <w:szCs w:val="18"/>
        </w:rPr>
        <w:tab/>
      </w:r>
      <w:r w:rsidRPr="00EC11DB">
        <w:rPr>
          <w:sz w:val="18"/>
          <w:szCs w:val="18"/>
        </w:rPr>
        <w:t>Forma financování: 01 – Nevratná pomo</w:t>
      </w:r>
      <w:r w:rsidR="00B07222" w:rsidRPr="00EC11DB">
        <w:rPr>
          <w:sz w:val="18"/>
          <w:szCs w:val="18"/>
        </w:rPr>
        <w:t>c</w:t>
      </w:r>
      <w:r w:rsidRPr="00EC11DB">
        <w:rPr>
          <w:sz w:val="18"/>
          <w:szCs w:val="18"/>
        </w:rPr>
        <w:t>, 02</w:t>
      </w:r>
      <w:r w:rsidR="00310AB4" w:rsidRPr="00EC11DB">
        <w:rPr>
          <w:sz w:val="18"/>
          <w:szCs w:val="18"/>
        </w:rPr>
        <w:t>- Půjčka</w:t>
      </w:r>
    </w:p>
    <w:p w:rsidR="000C5269" w:rsidRPr="00EC11DB" w:rsidRDefault="005A1F0B" w:rsidP="00EC11DB">
      <w:pPr>
        <w:jc w:val="both"/>
        <w:rPr>
          <w:sz w:val="18"/>
          <w:szCs w:val="18"/>
        </w:rPr>
      </w:pPr>
      <w:r w:rsidRPr="00EC11DB">
        <w:rPr>
          <w:sz w:val="18"/>
          <w:szCs w:val="18"/>
        </w:rPr>
        <w:t>Typ území: 01 – Město, 05 - Venkovské oblasti (jiné než hory, ostrovy a řídce nebo velmi řídce osídlené oblasti)</w:t>
      </w:r>
    </w:p>
    <w:p w:rsidR="006961FD" w:rsidRDefault="00EC11DB" w:rsidP="00C92C15">
      <w:pPr>
        <w:jc w:val="both"/>
        <w:rPr>
          <w:sz w:val="18"/>
          <w:szCs w:val="18"/>
        </w:rPr>
      </w:pPr>
      <w:r w:rsidRPr="00EC11DB">
        <w:rPr>
          <w:sz w:val="18"/>
          <w:szCs w:val="18"/>
        </w:rPr>
        <w:t>Ho</w:t>
      </w:r>
      <w:r w:rsidR="005A1F0B" w:rsidRPr="00EC11DB">
        <w:rPr>
          <w:sz w:val="18"/>
          <w:szCs w:val="18"/>
        </w:rPr>
        <w:t>spodářská činnost: 00</w:t>
      </w:r>
      <w:r w:rsidR="00130536" w:rsidRPr="00EC11DB">
        <w:rPr>
          <w:sz w:val="18"/>
          <w:szCs w:val="18"/>
        </w:rPr>
        <w:t xml:space="preserve"> - </w:t>
      </w:r>
      <w:r w:rsidR="005A1F0B" w:rsidRPr="00EC11DB">
        <w:rPr>
          <w:sz w:val="18"/>
          <w:szCs w:val="18"/>
        </w:rPr>
        <w:t>Nevztahuje se, 03</w:t>
      </w:r>
      <w:r w:rsidR="00130536" w:rsidRPr="00EC11DB">
        <w:rPr>
          <w:sz w:val="18"/>
          <w:szCs w:val="18"/>
        </w:rPr>
        <w:t xml:space="preserve"> - </w:t>
      </w:r>
      <w:r w:rsidR="005A1F0B" w:rsidRPr="00EC11DB">
        <w:rPr>
          <w:sz w:val="18"/>
          <w:szCs w:val="18"/>
        </w:rPr>
        <w:t xml:space="preserve">Výroba potravinářských výrobků a nápojů, </w:t>
      </w:r>
      <w:r w:rsidR="00AA40CE" w:rsidRPr="00EC11DB">
        <w:rPr>
          <w:sz w:val="18"/>
          <w:szCs w:val="18"/>
        </w:rPr>
        <w:t>04</w:t>
      </w:r>
      <w:r w:rsidR="006A7382" w:rsidRPr="00EC11DB">
        <w:rPr>
          <w:sz w:val="18"/>
          <w:szCs w:val="18"/>
        </w:rPr>
        <w:t xml:space="preserve"> - </w:t>
      </w:r>
      <w:r w:rsidR="00AA40CE" w:rsidRPr="00EC11DB">
        <w:rPr>
          <w:sz w:val="18"/>
          <w:szCs w:val="18"/>
        </w:rPr>
        <w:t xml:space="preserve">Výroba textilií, textilních výrobků, 06 – Nespecifikovaná výrobní odvětví, 11 </w:t>
      </w:r>
      <w:r w:rsidR="003453A5" w:rsidRPr="00EC11DB">
        <w:rPr>
          <w:sz w:val="18"/>
          <w:szCs w:val="18"/>
        </w:rPr>
        <w:t>–</w:t>
      </w:r>
      <w:r w:rsidR="00AA40CE" w:rsidRPr="00EC11DB">
        <w:rPr>
          <w:sz w:val="18"/>
          <w:szCs w:val="18"/>
        </w:rPr>
        <w:t xml:space="preserve"> Přeprava</w:t>
      </w:r>
      <w:r w:rsidR="003453A5" w:rsidRPr="00EC11DB">
        <w:rPr>
          <w:sz w:val="18"/>
          <w:szCs w:val="18"/>
        </w:rPr>
        <w:t xml:space="preserve">, 12 – Výstavba, 13 – Velkoobchod a maloobchod, </w:t>
      </w:r>
      <w:r w:rsidR="005A1F0B" w:rsidRPr="00EC11DB">
        <w:rPr>
          <w:sz w:val="18"/>
          <w:szCs w:val="18"/>
        </w:rPr>
        <w:t xml:space="preserve">14 - Pohostinství a ubytovací služby, 16 - Činnosti v oblasti nemovitostí, pronájmu a podnikatelské činnosti, 17 - Veřejná správa, 18 – </w:t>
      </w:r>
      <w:r w:rsidR="00EC019B">
        <w:rPr>
          <w:sz w:val="18"/>
          <w:szCs w:val="18"/>
        </w:rPr>
        <w:t>V</w:t>
      </w:r>
      <w:r w:rsidR="005A1F0B" w:rsidRPr="00EC11DB">
        <w:rPr>
          <w:sz w:val="18"/>
          <w:szCs w:val="18"/>
        </w:rPr>
        <w:t>zdělávání, 19 - Činnosti týkající se lidského zdraví, 20 - Sociální práce, veřejné, sociální a osobní služby, 21 - Činnosti týkající se životního prostředí, 22 - Jiné nespecifikované služby</w:t>
      </w:r>
      <w:r w:rsidR="005A1F0B" w:rsidRPr="00CB3DC4">
        <w:rPr>
          <w:sz w:val="18"/>
          <w:szCs w:val="18"/>
        </w:rPr>
        <w:t xml:space="preserve">       </w:t>
      </w:r>
      <w:r w:rsidRPr="0004798A">
        <w:rPr>
          <w:sz w:val="18"/>
          <w:szCs w:val="18"/>
        </w:rPr>
        <w:t xml:space="preserve">   </w:t>
      </w:r>
      <w:r>
        <w:rPr>
          <w:sz w:val="18"/>
          <w:szCs w:val="18"/>
        </w:rPr>
        <w:t xml:space="preserve">  </w:t>
      </w:r>
    </w:p>
    <w:p w:rsidR="000C5269" w:rsidRPr="006961FD" w:rsidRDefault="005A1F0B" w:rsidP="00C92C15">
      <w:pPr>
        <w:jc w:val="both"/>
        <w:rPr>
          <w:sz w:val="18"/>
          <w:szCs w:val="18"/>
        </w:rPr>
      </w:pPr>
      <w:r w:rsidRPr="00EC11DB">
        <w:rPr>
          <w:sz w:val="18"/>
          <w:szCs w:val="18"/>
        </w:rPr>
        <w:t>Zeměpisná poloha: CZ0 – Česká republika</w:t>
      </w:r>
    </w:p>
    <w:p w:rsidR="000C5269" w:rsidRPr="008C4750" w:rsidRDefault="000C5269">
      <w:pPr>
        <w:spacing w:after="60"/>
        <w:rPr>
          <w:sz w:val="22"/>
          <w:szCs w:val="22"/>
        </w:rPr>
        <w:sectPr w:rsidR="000C5269" w:rsidRPr="008C4750" w:rsidSect="003F08D8">
          <w:pgSz w:w="16838" w:h="11906" w:orient="landscape" w:code="9"/>
          <w:pgMar w:top="1418" w:right="1418" w:bottom="1418" w:left="1418" w:header="709" w:footer="709" w:gutter="0"/>
          <w:cols w:space="708"/>
        </w:sectPr>
      </w:pPr>
    </w:p>
    <w:p w:rsidR="001A0659" w:rsidRPr="002220BF" w:rsidRDefault="004E57EF" w:rsidP="000F2A6C">
      <w:pPr>
        <w:pStyle w:val="Nadpis3"/>
      </w:pPr>
      <w:bookmarkStart w:id="36" w:name="_Toc382407669"/>
      <w:bookmarkStart w:id="37" w:name="_Toc383084677"/>
      <w:bookmarkStart w:id="38" w:name="_Toc417024839"/>
      <w:r w:rsidRPr="009026D3">
        <w:lastRenderedPageBreak/>
        <w:t>2.1. D Pomoc</w:t>
      </w:r>
      <w:r w:rsidR="00A75862" w:rsidRPr="009026D3">
        <w:t xml:space="preserve"> podle cílových skupin</w:t>
      </w:r>
      <w:bookmarkEnd w:id="36"/>
      <w:bookmarkEnd w:id="37"/>
      <w:bookmarkEnd w:id="38"/>
    </w:p>
    <w:p w:rsidR="00EA0215" w:rsidRPr="00642923" w:rsidRDefault="00A75862" w:rsidP="002220BF">
      <w:pPr>
        <w:rPr>
          <w:sz w:val="22"/>
          <w:szCs w:val="22"/>
        </w:rPr>
      </w:pPr>
      <w:r w:rsidRPr="00642923">
        <w:rPr>
          <w:sz w:val="22"/>
          <w:szCs w:val="22"/>
        </w:rPr>
        <w:t xml:space="preserve">Cílovou skupinou ve smyslu příjemců jsou orgány veřejné správy a jimi zřizované organizace, nestátní neziskové organizace, podnikatelské subjekty a zájmová sdružení právnických osob. </w:t>
      </w:r>
    </w:p>
    <w:p w:rsidR="00921C1B" w:rsidRDefault="00921C1B" w:rsidP="00F95266">
      <w:pPr>
        <w:jc w:val="both"/>
        <w:rPr>
          <w:sz w:val="22"/>
          <w:szCs w:val="22"/>
        </w:rPr>
      </w:pPr>
    </w:p>
    <w:p w:rsidR="00A75862" w:rsidRPr="00432898" w:rsidRDefault="00A75862" w:rsidP="00F95266">
      <w:pPr>
        <w:jc w:val="both"/>
        <w:rPr>
          <w:sz w:val="22"/>
          <w:szCs w:val="22"/>
        </w:rPr>
      </w:pPr>
      <w:r>
        <w:rPr>
          <w:sz w:val="22"/>
          <w:szCs w:val="22"/>
        </w:rPr>
        <w:t xml:space="preserve">Podrobné rozdělení příjemců podpory v jednotlivých prioritních osách: </w:t>
      </w:r>
    </w:p>
    <w:p w:rsidR="00A75862" w:rsidRPr="00432898" w:rsidRDefault="00A75862" w:rsidP="002E608B">
      <w:pPr>
        <w:numPr>
          <w:ilvl w:val="0"/>
          <w:numId w:val="16"/>
        </w:numPr>
        <w:jc w:val="both"/>
        <w:rPr>
          <w:sz w:val="22"/>
          <w:szCs w:val="22"/>
        </w:rPr>
      </w:pPr>
      <w:r>
        <w:rPr>
          <w:sz w:val="22"/>
          <w:szCs w:val="22"/>
        </w:rPr>
        <w:t xml:space="preserve">prioritní osa </w:t>
      </w:r>
      <w:r w:rsidRPr="00432898">
        <w:rPr>
          <w:sz w:val="22"/>
          <w:szCs w:val="22"/>
        </w:rPr>
        <w:t>1</w:t>
      </w:r>
      <w:r>
        <w:rPr>
          <w:sz w:val="22"/>
          <w:szCs w:val="22"/>
        </w:rPr>
        <w:t xml:space="preserve"> - </w:t>
      </w:r>
      <w:r w:rsidRPr="00432898">
        <w:rPr>
          <w:sz w:val="22"/>
          <w:szCs w:val="22"/>
        </w:rPr>
        <w:t>organizační složky státu a jimi z</w:t>
      </w:r>
      <w:r>
        <w:rPr>
          <w:sz w:val="22"/>
          <w:szCs w:val="22"/>
        </w:rPr>
        <w:t>řizované příspěvkové organizace</w:t>
      </w:r>
      <w:r w:rsidR="009314B6">
        <w:rPr>
          <w:sz w:val="22"/>
          <w:szCs w:val="22"/>
        </w:rPr>
        <w:t>,</w:t>
      </w:r>
    </w:p>
    <w:p w:rsidR="00A75862" w:rsidRPr="00432898" w:rsidRDefault="00A75862" w:rsidP="002E608B">
      <w:pPr>
        <w:numPr>
          <w:ilvl w:val="0"/>
          <w:numId w:val="16"/>
        </w:numPr>
        <w:jc w:val="both"/>
        <w:rPr>
          <w:sz w:val="22"/>
          <w:szCs w:val="22"/>
        </w:rPr>
      </w:pPr>
      <w:r>
        <w:rPr>
          <w:sz w:val="22"/>
          <w:szCs w:val="22"/>
        </w:rPr>
        <w:t>prioritní osa</w:t>
      </w:r>
      <w:r w:rsidRPr="00432898">
        <w:rPr>
          <w:sz w:val="22"/>
          <w:szCs w:val="22"/>
        </w:rPr>
        <w:t xml:space="preserve"> 2</w:t>
      </w:r>
      <w:r>
        <w:rPr>
          <w:sz w:val="22"/>
          <w:szCs w:val="22"/>
        </w:rPr>
        <w:t xml:space="preserve"> - </w:t>
      </w:r>
      <w:r w:rsidRPr="00432898">
        <w:rPr>
          <w:sz w:val="22"/>
          <w:szCs w:val="22"/>
        </w:rPr>
        <w:t>kraje a obce a jimi zřizované a za</w:t>
      </w:r>
      <w:r>
        <w:rPr>
          <w:sz w:val="22"/>
          <w:szCs w:val="22"/>
        </w:rPr>
        <w:t>kládané organizace, svazky obcí</w:t>
      </w:r>
      <w:r w:rsidR="009314B6">
        <w:rPr>
          <w:sz w:val="22"/>
          <w:szCs w:val="22"/>
        </w:rPr>
        <w:t>,</w:t>
      </w:r>
    </w:p>
    <w:p w:rsidR="00A75862" w:rsidRPr="00432898" w:rsidRDefault="00A75862" w:rsidP="002E608B">
      <w:pPr>
        <w:numPr>
          <w:ilvl w:val="0"/>
          <w:numId w:val="16"/>
        </w:numPr>
        <w:jc w:val="both"/>
        <w:rPr>
          <w:sz w:val="22"/>
          <w:szCs w:val="22"/>
        </w:rPr>
      </w:pPr>
      <w:r>
        <w:rPr>
          <w:sz w:val="22"/>
          <w:szCs w:val="22"/>
        </w:rPr>
        <w:t>prioritní</w:t>
      </w:r>
      <w:r w:rsidR="000E671D">
        <w:rPr>
          <w:sz w:val="22"/>
          <w:szCs w:val="22"/>
        </w:rPr>
        <w:t xml:space="preserve"> </w:t>
      </w:r>
      <w:r>
        <w:rPr>
          <w:sz w:val="22"/>
          <w:szCs w:val="22"/>
        </w:rPr>
        <w:t>osa 3 - o</w:t>
      </w:r>
      <w:r w:rsidRPr="00432898">
        <w:rPr>
          <w:sz w:val="22"/>
          <w:szCs w:val="22"/>
        </w:rPr>
        <w:t>rganizační složky státu a jimi zřizované příspěvkové organizace, kraje a obce a jimi zřizované organizace, nestátní neziskové organizace,</w:t>
      </w:r>
      <w:r>
        <w:rPr>
          <w:sz w:val="22"/>
          <w:szCs w:val="22"/>
        </w:rPr>
        <w:t xml:space="preserve"> podnikatelé (osoby zapsané v obchodním rejstříku a osoby podnikající na základě živnostenského oprávnění nebo na základě zvláštních předpisů),</w:t>
      </w:r>
      <w:r w:rsidRPr="00432898">
        <w:rPr>
          <w:sz w:val="22"/>
          <w:szCs w:val="22"/>
        </w:rPr>
        <w:t xml:space="preserve"> fyzické a právnické osoby poskytující veřejnou službu v</w:t>
      </w:r>
      <w:r>
        <w:rPr>
          <w:sz w:val="22"/>
          <w:szCs w:val="22"/>
        </w:rPr>
        <w:t> oblasti zdravotní péče, organizační složky státu v oblasti služeb zaměstnanosti (</w:t>
      </w:r>
      <w:r w:rsidR="004D3410">
        <w:rPr>
          <w:sz w:val="22"/>
          <w:szCs w:val="22"/>
        </w:rPr>
        <w:t>MPSV ČR</w:t>
      </w:r>
      <w:r>
        <w:rPr>
          <w:sz w:val="22"/>
          <w:szCs w:val="22"/>
        </w:rPr>
        <w:t>, ÚP)</w:t>
      </w:r>
      <w:r w:rsidR="009314B6">
        <w:rPr>
          <w:sz w:val="22"/>
          <w:szCs w:val="22"/>
        </w:rPr>
        <w:t>,</w:t>
      </w:r>
    </w:p>
    <w:p w:rsidR="00A75862" w:rsidRPr="00432898" w:rsidRDefault="00A75862" w:rsidP="002E608B">
      <w:pPr>
        <w:numPr>
          <w:ilvl w:val="0"/>
          <w:numId w:val="16"/>
        </w:numPr>
        <w:jc w:val="both"/>
        <w:rPr>
          <w:sz w:val="22"/>
          <w:szCs w:val="22"/>
        </w:rPr>
      </w:pPr>
      <w:r>
        <w:rPr>
          <w:sz w:val="22"/>
          <w:szCs w:val="22"/>
        </w:rPr>
        <w:t xml:space="preserve">prioritní osa 4 - </w:t>
      </w:r>
      <w:r w:rsidRPr="00432898">
        <w:rPr>
          <w:sz w:val="22"/>
          <w:szCs w:val="22"/>
        </w:rPr>
        <w:t>organizační složky státu a jimi zřizované příspěvkové organizace, nestátní neziskové organizace, zájmová sdružení právnických osob s celorepublikov</w:t>
      </w:r>
      <w:r>
        <w:rPr>
          <w:sz w:val="22"/>
          <w:szCs w:val="22"/>
        </w:rPr>
        <w:t>ou působností v cestovním ruchu</w:t>
      </w:r>
      <w:r w:rsidR="009314B6">
        <w:rPr>
          <w:sz w:val="22"/>
          <w:szCs w:val="22"/>
        </w:rPr>
        <w:t>,</w:t>
      </w:r>
    </w:p>
    <w:p w:rsidR="00A75862" w:rsidRPr="00432898" w:rsidRDefault="00A75862" w:rsidP="002E608B">
      <w:pPr>
        <w:numPr>
          <w:ilvl w:val="0"/>
          <w:numId w:val="16"/>
        </w:numPr>
        <w:jc w:val="both"/>
        <w:rPr>
          <w:sz w:val="22"/>
          <w:szCs w:val="22"/>
        </w:rPr>
      </w:pPr>
      <w:r>
        <w:rPr>
          <w:sz w:val="22"/>
          <w:szCs w:val="22"/>
        </w:rPr>
        <w:t xml:space="preserve">prioritní osa 5 - </w:t>
      </w:r>
      <w:r w:rsidRPr="00432898">
        <w:rPr>
          <w:sz w:val="22"/>
          <w:szCs w:val="22"/>
        </w:rPr>
        <w:t>organizační složky státu a jimi zřizované příspěvkové organizace, nestátní neziskové organizace, zájmová sdružení právnických osob, obce a jimi zřizované organiz</w:t>
      </w:r>
      <w:r>
        <w:rPr>
          <w:sz w:val="22"/>
          <w:szCs w:val="22"/>
        </w:rPr>
        <w:t>ace, svazky obcí, kraje,</w:t>
      </w:r>
      <w:r w:rsidRPr="00122BB3">
        <w:rPr>
          <w:sz w:val="22"/>
          <w:szCs w:val="22"/>
        </w:rPr>
        <w:t xml:space="preserve"> </w:t>
      </w:r>
      <w:r>
        <w:rPr>
          <w:sz w:val="22"/>
          <w:szCs w:val="22"/>
        </w:rPr>
        <w:t>vlastníci bytových, popř. nebytových, prostor</w:t>
      </w:r>
      <w:r w:rsidR="009314B6">
        <w:rPr>
          <w:sz w:val="22"/>
          <w:szCs w:val="22"/>
        </w:rPr>
        <w:t>,</w:t>
      </w:r>
    </w:p>
    <w:p w:rsidR="00A75862" w:rsidRDefault="00A75862" w:rsidP="002E608B">
      <w:pPr>
        <w:numPr>
          <w:ilvl w:val="0"/>
          <w:numId w:val="16"/>
        </w:numPr>
        <w:jc w:val="both"/>
        <w:rPr>
          <w:sz w:val="22"/>
          <w:szCs w:val="22"/>
        </w:rPr>
      </w:pPr>
      <w:r>
        <w:rPr>
          <w:sz w:val="22"/>
          <w:szCs w:val="22"/>
        </w:rPr>
        <w:t xml:space="preserve">prioritní osa 6 - </w:t>
      </w:r>
      <w:r w:rsidR="00753530">
        <w:rPr>
          <w:sz w:val="22"/>
          <w:szCs w:val="22"/>
        </w:rPr>
        <w:t xml:space="preserve">ŘO </w:t>
      </w:r>
      <w:r w:rsidRPr="00432898">
        <w:rPr>
          <w:sz w:val="22"/>
          <w:szCs w:val="22"/>
        </w:rPr>
        <w:t xml:space="preserve"> IOP a zprostředkující subjekty.</w:t>
      </w:r>
    </w:p>
    <w:p w:rsidR="00A75862" w:rsidRDefault="00A75862" w:rsidP="00B87D96">
      <w:pPr>
        <w:spacing w:before="60"/>
        <w:jc w:val="both"/>
        <w:rPr>
          <w:sz w:val="22"/>
          <w:szCs w:val="22"/>
        </w:rPr>
      </w:pPr>
    </w:p>
    <w:p w:rsidR="00A75862" w:rsidRPr="00E96EB4" w:rsidRDefault="00A75862" w:rsidP="00F95266">
      <w:pPr>
        <w:jc w:val="both"/>
        <w:rPr>
          <w:sz w:val="22"/>
          <w:szCs w:val="22"/>
        </w:rPr>
      </w:pPr>
      <w:r w:rsidRPr="00E96EB4">
        <w:rPr>
          <w:sz w:val="22"/>
          <w:szCs w:val="22"/>
        </w:rPr>
        <w:t xml:space="preserve">ŘO měsíčně aktualizuje seznam podpořených projektů a příjemců podpory a uveřejňuje jej na webové adrese strukturálních fondů: </w:t>
      </w:r>
      <w:hyperlink r:id="rId21" w:history="1">
        <w:r w:rsidRPr="00F95266">
          <w:rPr>
            <w:rStyle w:val="Hypertextovodkaz"/>
            <w:sz w:val="22"/>
            <w:szCs w:val="22"/>
          </w:rPr>
          <w:t>http://www.strukturalni-fondy.cz/cs/Microsites/Integrovany-OP/Zadatele-a-prijemci/Seznam-podporenych-projektu</w:t>
        </w:r>
      </w:hyperlink>
      <w:r w:rsidRPr="00E96EB4">
        <w:rPr>
          <w:sz w:val="22"/>
          <w:szCs w:val="22"/>
        </w:rPr>
        <w:t>.</w:t>
      </w:r>
    </w:p>
    <w:p w:rsidR="00A75862" w:rsidRPr="006C6228" w:rsidRDefault="00A75862" w:rsidP="00F95266">
      <w:pPr>
        <w:jc w:val="both"/>
        <w:rPr>
          <w:sz w:val="22"/>
          <w:szCs w:val="22"/>
        </w:rPr>
      </w:pPr>
    </w:p>
    <w:p w:rsidR="00A75862" w:rsidRDefault="00A75862" w:rsidP="00921C1B">
      <w:pPr>
        <w:jc w:val="both"/>
        <w:rPr>
          <w:sz w:val="22"/>
          <w:szCs w:val="22"/>
        </w:rPr>
      </w:pPr>
      <w:r w:rsidRPr="002F3365">
        <w:rPr>
          <w:b/>
          <w:sz w:val="22"/>
          <w:szCs w:val="22"/>
        </w:rPr>
        <w:t>Investice v regionech se soustředěnou pomocí státu</w:t>
      </w:r>
    </w:p>
    <w:p w:rsidR="00A75862" w:rsidRDefault="00A75862" w:rsidP="00562F6D">
      <w:pPr>
        <w:jc w:val="both"/>
        <w:rPr>
          <w:sz w:val="22"/>
          <w:szCs w:val="22"/>
        </w:rPr>
      </w:pPr>
      <w:r w:rsidRPr="00421B9A">
        <w:rPr>
          <w:sz w:val="22"/>
          <w:szCs w:val="22"/>
        </w:rPr>
        <w:t xml:space="preserve">Investice </w:t>
      </w:r>
      <w:r>
        <w:rPr>
          <w:sz w:val="22"/>
          <w:szCs w:val="22"/>
        </w:rPr>
        <w:t>v regionech se soustředěnou pomocí státu probíhá podle schválené Strategie regionálního rozvoje ČR na období 2007 – 2013 v souladu s </w:t>
      </w:r>
      <w:r w:rsidR="00090DDC">
        <w:rPr>
          <w:sz w:val="22"/>
          <w:szCs w:val="22"/>
        </w:rPr>
        <w:t>u</w:t>
      </w:r>
      <w:r>
        <w:rPr>
          <w:sz w:val="22"/>
          <w:szCs w:val="22"/>
        </w:rPr>
        <w:t xml:space="preserve">snesením </w:t>
      </w:r>
      <w:r w:rsidR="00D619C9">
        <w:rPr>
          <w:sz w:val="22"/>
          <w:szCs w:val="22"/>
        </w:rPr>
        <w:t>Vlády</w:t>
      </w:r>
      <w:r>
        <w:rPr>
          <w:sz w:val="22"/>
          <w:szCs w:val="22"/>
        </w:rPr>
        <w:t xml:space="preserve"> ČR č.</w:t>
      </w:r>
      <w:r w:rsidR="002C2BC7">
        <w:rPr>
          <w:sz w:val="22"/>
          <w:szCs w:val="22"/>
        </w:rPr>
        <w:t xml:space="preserve"> </w:t>
      </w:r>
      <w:r>
        <w:rPr>
          <w:sz w:val="22"/>
          <w:szCs w:val="22"/>
        </w:rPr>
        <w:t>344 ze dne 15.</w:t>
      </w:r>
      <w:r w:rsidR="00256D1F">
        <w:rPr>
          <w:sz w:val="22"/>
          <w:szCs w:val="22"/>
        </w:rPr>
        <w:t xml:space="preserve"> </w:t>
      </w:r>
      <w:r>
        <w:rPr>
          <w:sz w:val="22"/>
          <w:szCs w:val="22"/>
        </w:rPr>
        <w:t>5.</w:t>
      </w:r>
      <w:r w:rsidR="00256D1F">
        <w:rPr>
          <w:sz w:val="22"/>
          <w:szCs w:val="22"/>
        </w:rPr>
        <w:t xml:space="preserve"> </w:t>
      </w:r>
      <w:r>
        <w:rPr>
          <w:sz w:val="22"/>
          <w:szCs w:val="22"/>
        </w:rPr>
        <w:t>2013, kde byly vymezeny státem podporované hospodářsky problémové regiony tvořeny 57 obcemi s rozšířenou působností.</w:t>
      </w:r>
    </w:p>
    <w:p w:rsidR="00A75862" w:rsidRPr="00B87D96" w:rsidRDefault="00A75862" w:rsidP="00EC11DB">
      <w:pPr>
        <w:autoSpaceDE w:val="0"/>
        <w:autoSpaceDN w:val="0"/>
        <w:adjustRightInd w:val="0"/>
        <w:rPr>
          <w:rFonts w:ascii="Calibri" w:hAnsi="Calibri" w:cs="Calibri"/>
          <w:sz w:val="24"/>
          <w:szCs w:val="24"/>
          <w:lang w:eastAsia="en-US"/>
        </w:rPr>
      </w:pPr>
    </w:p>
    <w:p w:rsidR="00A75862" w:rsidRPr="008C5B53" w:rsidDel="00793065" w:rsidRDefault="00A75862" w:rsidP="00F95266">
      <w:pPr>
        <w:jc w:val="both"/>
        <w:rPr>
          <w:color w:val="000000"/>
          <w:sz w:val="22"/>
          <w:szCs w:val="22"/>
        </w:rPr>
      </w:pPr>
      <w:r w:rsidRPr="008C5B53">
        <w:rPr>
          <w:sz w:val="22"/>
          <w:szCs w:val="22"/>
        </w:rPr>
        <w:t xml:space="preserve">V IOP se </w:t>
      </w:r>
      <w:r>
        <w:rPr>
          <w:sz w:val="22"/>
          <w:szCs w:val="22"/>
        </w:rPr>
        <w:t xml:space="preserve">podporované </w:t>
      </w:r>
      <w:r w:rsidR="00C0194F">
        <w:rPr>
          <w:sz w:val="22"/>
          <w:szCs w:val="22"/>
        </w:rPr>
        <w:t>regiony</w:t>
      </w:r>
      <w:r>
        <w:rPr>
          <w:sz w:val="22"/>
          <w:szCs w:val="22"/>
        </w:rPr>
        <w:t xml:space="preserve"> </w:t>
      </w:r>
      <w:r w:rsidRPr="008C5B53">
        <w:rPr>
          <w:sz w:val="22"/>
          <w:szCs w:val="22"/>
        </w:rPr>
        <w:t>nesledují</w:t>
      </w:r>
      <w:r>
        <w:rPr>
          <w:sz w:val="22"/>
          <w:szCs w:val="22"/>
        </w:rPr>
        <w:t>.</w:t>
      </w:r>
      <w:r w:rsidRPr="008C5B53">
        <w:rPr>
          <w:sz w:val="22"/>
          <w:szCs w:val="22"/>
        </w:rPr>
        <w:t xml:space="preserve"> </w:t>
      </w:r>
      <w:r>
        <w:rPr>
          <w:sz w:val="22"/>
          <w:szCs w:val="22"/>
        </w:rPr>
        <w:t>P</w:t>
      </w:r>
      <w:r w:rsidRPr="008C5B53">
        <w:rPr>
          <w:sz w:val="22"/>
          <w:szCs w:val="22"/>
        </w:rPr>
        <w:t>o</w:t>
      </w:r>
      <w:r>
        <w:rPr>
          <w:sz w:val="22"/>
          <w:szCs w:val="22"/>
        </w:rPr>
        <w:t xml:space="preserve">dpora bydlení </w:t>
      </w:r>
      <w:r w:rsidRPr="008C5B53">
        <w:rPr>
          <w:sz w:val="22"/>
          <w:szCs w:val="22"/>
        </w:rPr>
        <w:t xml:space="preserve">je poskytována </w:t>
      </w:r>
      <w:r>
        <w:rPr>
          <w:sz w:val="22"/>
          <w:szCs w:val="22"/>
        </w:rPr>
        <w:t>v některých z uvedených měst na základě IPRM</w:t>
      </w:r>
      <w:r w:rsidR="00C0194F">
        <w:rPr>
          <w:sz w:val="22"/>
          <w:szCs w:val="22"/>
        </w:rPr>
        <w:t>,</w:t>
      </w:r>
      <w:r>
        <w:rPr>
          <w:sz w:val="22"/>
          <w:szCs w:val="22"/>
        </w:rPr>
        <w:t xml:space="preserve"> schválených</w:t>
      </w:r>
      <w:r w:rsidRPr="008C5B53">
        <w:rPr>
          <w:sz w:val="22"/>
          <w:szCs w:val="22"/>
        </w:rPr>
        <w:t xml:space="preserve"> </w:t>
      </w:r>
      <w:r>
        <w:rPr>
          <w:color w:val="000000"/>
          <w:sz w:val="22"/>
          <w:szCs w:val="22"/>
        </w:rPr>
        <w:t xml:space="preserve">podle </w:t>
      </w:r>
      <w:r w:rsidRPr="008C5B53">
        <w:rPr>
          <w:color w:val="000000"/>
          <w:sz w:val="22"/>
          <w:szCs w:val="22"/>
        </w:rPr>
        <w:t>čl. 7 odst. 2 písm.</w:t>
      </w:r>
      <w:r>
        <w:rPr>
          <w:color w:val="000000"/>
          <w:sz w:val="22"/>
          <w:szCs w:val="22"/>
        </w:rPr>
        <w:t xml:space="preserve"> </w:t>
      </w:r>
      <w:r w:rsidRPr="008C5B53">
        <w:rPr>
          <w:color w:val="000000"/>
          <w:sz w:val="22"/>
          <w:szCs w:val="22"/>
        </w:rPr>
        <w:t xml:space="preserve">a) nařízení Rady (ES) </w:t>
      </w:r>
      <w:r>
        <w:rPr>
          <w:color w:val="000000"/>
          <w:sz w:val="22"/>
          <w:szCs w:val="22"/>
        </w:rPr>
        <w:t xml:space="preserve">č. 1080/2006. </w:t>
      </w:r>
    </w:p>
    <w:p w:rsidR="00A75862" w:rsidRPr="00F46295" w:rsidRDefault="00A75862" w:rsidP="00921C1B">
      <w:pPr>
        <w:tabs>
          <w:tab w:val="num" w:pos="709"/>
        </w:tabs>
        <w:rPr>
          <w:sz w:val="22"/>
          <w:szCs w:val="22"/>
        </w:rPr>
      </w:pPr>
    </w:p>
    <w:p w:rsidR="00196EBA" w:rsidRDefault="00A75862" w:rsidP="00562F6D">
      <w:pPr>
        <w:jc w:val="both"/>
        <w:rPr>
          <w:sz w:val="22"/>
          <w:szCs w:val="22"/>
        </w:rPr>
      </w:pPr>
      <w:r>
        <w:rPr>
          <w:sz w:val="22"/>
          <w:szCs w:val="22"/>
        </w:rPr>
        <w:t>Podrobné informace k IPRM jsou uvedeny v kapitolách 2.6.3 – Integrované plány rozvoje měst a 3.5 – Prioritní osa 5.</w:t>
      </w:r>
    </w:p>
    <w:p w:rsidR="00F07268" w:rsidRDefault="00F07268" w:rsidP="00C92C15">
      <w:bookmarkStart w:id="39" w:name="_Toc382407670"/>
      <w:bookmarkStart w:id="40" w:name="_Toc383084678"/>
    </w:p>
    <w:p w:rsidR="006B3550" w:rsidRPr="006B3550" w:rsidRDefault="004E57EF" w:rsidP="000F2A6C">
      <w:pPr>
        <w:pStyle w:val="Nadpis3"/>
      </w:pPr>
      <w:bookmarkStart w:id="41" w:name="_Toc417024840"/>
      <w:r w:rsidRPr="009026D3">
        <w:t>2. 1. E Vrácená</w:t>
      </w:r>
      <w:r w:rsidR="00A75862" w:rsidRPr="009026D3">
        <w:t xml:space="preserve"> nebo znovu použitá pomoc</w:t>
      </w:r>
      <w:bookmarkEnd w:id="39"/>
      <w:bookmarkEnd w:id="40"/>
      <w:bookmarkEnd w:id="41"/>
    </w:p>
    <w:p w:rsidR="00497FBF" w:rsidRPr="00497FBF" w:rsidRDefault="00497FBF" w:rsidP="00497FBF">
      <w:pPr>
        <w:jc w:val="both"/>
        <w:rPr>
          <w:sz w:val="22"/>
          <w:szCs w:val="22"/>
        </w:rPr>
      </w:pPr>
      <w:bookmarkStart w:id="42" w:name="_Toc382407672"/>
      <w:bookmarkStart w:id="43" w:name="_Toc383084679"/>
      <w:r w:rsidRPr="00497FBF">
        <w:rPr>
          <w:sz w:val="22"/>
          <w:szCs w:val="22"/>
        </w:rPr>
        <w:t>ŘO IOP ve sledovaném období eviduje 98 nových případů podezření na nesrovnalost, celková dotčená / ohrožená částka činí 505 693 071 Kč (19 211 579 EUR). Nesrovnalosti byly zaevidovány ve všech oblastech intervence kromě 3.4 a 6.2, největší počet je evidován v oblasti intervence 2.1.</w:t>
      </w:r>
    </w:p>
    <w:p w:rsidR="00497FBF" w:rsidRPr="00497FBF" w:rsidRDefault="00497FBF" w:rsidP="00497FBF">
      <w:pPr>
        <w:jc w:val="both"/>
        <w:rPr>
          <w:sz w:val="22"/>
          <w:szCs w:val="22"/>
        </w:rPr>
      </w:pPr>
      <w:bookmarkStart w:id="44" w:name="_Toc382407671"/>
      <w:r w:rsidRPr="00497FBF">
        <w:rPr>
          <w:sz w:val="22"/>
          <w:szCs w:val="22"/>
        </w:rPr>
        <w:t>Všechny případy nesrovnalostí byly řešeny v souladu se stanovenými postupy.</w:t>
      </w:r>
      <w:bookmarkEnd w:id="44"/>
      <w:r w:rsidRPr="00497FBF">
        <w:rPr>
          <w:sz w:val="22"/>
          <w:szCs w:val="22"/>
        </w:rPr>
        <w:t xml:space="preserve"> </w:t>
      </w:r>
    </w:p>
    <w:p w:rsidR="00497FBF" w:rsidRDefault="00497FBF" w:rsidP="00497FBF">
      <w:pPr>
        <w:jc w:val="both"/>
        <w:rPr>
          <w:sz w:val="22"/>
          <w:szCs w:val="22"/>
        </w:rPr>
      </w:pPr>
    </w:p>
    <w:p w:rsidR="00497FBF" w:rsidRPr="00497FBF" w:rsidRDefault="00497FBF" w:rsidP="00497FBF">
      <w:pPr>
        <w:jc w:val="both"/>
        <w:rPr>
          <w:sz w:val="22"/>
          <w:szCs w:val="22"/>
        </w:rPr>
      </w:pPr>
      <w:r w:rsidRPr="00497FBF">
        <w:rPr>
          <w:sz w:val="22"/>
          <w:szCs w:val="22"/>
        </w:rPr>
        <w:t>Z celkového počtu nově zaevidovaných podezření na nesrovnalost představuje:</w:t>
      </w:r>
    </w:p>
    <w:p w:rsidR="00497FBF" w:rsidRPr="00497FBF" w:rsidRDefault="00497FBF" w:rsidP="002E608B">
      <w:pPr>
        <w:numPr>
          <w:ilvl w:val="0"/>
          <w:numId w:val="16"/>
        </w:numPr>
        <w:jc w:val="both"/>
        <w:rPr>
          <w:sz w:val="22"/>
          <w:szCs w:val="22"/>
        </w:rPr>
      </w:pPr>
      <w:r w:rsidRPr="00497FBF">
        <w:rPr>
          <w:sz w:val="22"/>
          <w:szCs w:val="22"/>
        </w:rPr>
        <w:t>11 případů opodstatněných nesrovnalostí,</w:t>
      </w:r>
    </w:p>
    <w:p w:rsidR="00497FBF" w:rsidRPr="00497FBF" w:rsidRDefault="00497FBF" w:rsidP="002E608B">
      <w:pPr>
        <w:numPr>
          <w:ilvl w:val="0"/>
          <w:numId w:val="16"/>
        </w:numPr>
        <w:jc w:val="both"/>
        <w:rPr>
          <w:sz w:val="22"/>
          <w:szCs w:val="22"/>
        </w:rPr>
      </w:pPr>
      <w:r w:rsidRPr="00497FBF">
        <w:rPr>
          <w:sz w:val="22"/>
          <w:szCs w:val="22"/>
        </w:rPr>
        <w:t>3 případy neopodstatněných nesrovnalostí,</w:t>
      </w:r>
    </w:p>
    <w:p w:rsidR="00497FBF" w:rsidRPr="00497FBF" w:rsidRDefault="00497FBF" w:rsidP="002E608B">
      <w:pPr>
        <w:numPr>
          <w:ilvl w:val="0"/>
          <w:numId w:val="16"/>
        </w:numPr>
        <w:jc w:val="both"/>
        <w:rPr>
          <w:sz w:val="22"/>
          <w:szCs w:val="22"/>
        </w:rPr>
      </w:pPr>
      <w:r w:rsidRPr="00497FBF">
        <w:rPr>
          <w:sz w:val="22"/>
          <w:szCs w:val="22"/>
        </w:rPr>
        <w:t>80 případů potvrzených nesrovnalostí,</w:t>
      </w:r>
    </w:p>
    <w:p w:rsidR="00497FBF" w:rsidRPr="00497FBF" w:rsidRDefault="00497FBF" w:rsidP="002E608B">
      <w:pPr>
        <w:numPr>
          <w:ilvl w:val="0"/>
          <w:numId w:val="16"/>
        </w:numPr>
        <w:jc w:val="both"/>
        <w:rPr>
          <w:sz w:val="22"/>
          <w:szCs w:val="22"/>
        </w:rPr>
      </w:pPr>
      <w:r w:rsidRPr="00497FBF">
        <w:rPr>
          <w:sz w:val="22"/>
          <w:szCs w:val="22"/>
        </w:rPr>
        <w:t>1 případ nepotvrzených nesrovnalostí,</w:t>
      </w:r>
    </w:p>
    <w:p w:rsidR="00497FBF" w:rsidRPr="00497FBF" w:rsidRDefault="00497FBF" w:rsidP="002E608B">
      <w:pPr>
        <w:numPr>
          <w:ilvl w:val="0"/>
          <w:numId w:val="16"/>
        </w:numPr>
        <w:jc w:val="both"/>
        <w:rPr>
          <w:sz w:val="22"/>
          <w:szCs w:val="22"/>
        </w:rPr>
      </w:pPr>
      <w:r w:rsidRPr="00497FBF">
        <w:rPr>
          <w:sz w:val="22"/>
          <w:szCs w:val="22"/>
        </w:rPr>
        <w:t>3 případy řešení opodstatněnosti.</w:t>
      </w:r>
    </w:p>
    <w:p w:rsidR="00497FBF" w:rsidRPr="00497FBF" w:rsidRDefault="00497FBF" w:rsidP="00497FBF">
      <w:pPr>
        <w:jc w:val="both"/>
        <w:rPr>
          <w:sz w:val="22"/>
          <w:szCs w:val="22"/>
        </w:rPr>
      </w:pPr>
    </w:p>
    <w:p w:rsidR="00B1497E" w:rsidRPr="00497FBF" w:rsidRDefault="00B1497E" w:rsidP="00B1497E">
      <w:pPr>
        <w:jc w:val="both"/>
        <w:rPr>
          <w:color w:val="FF0000"/>
          <w:sz w:val="22"/>
          <w:szCs w:val="22"/>
        </w:rPr>
      </w:pPr>
      <w:r>
        <w:rPr>
          <w:sz w:val="22"/>
          <w:szCs w:val="22"/>
        </w:rPr>
        <w:t>N</w:t>
      </w:r>
      <w:r w:rsidRPr="00497FBF">
        <w:rPr>
          <w:sz w:val="22"/>
          <w:szCs w:val="22"/>
        </w:rPr>
        <w:t xml:space="preserve">eoprávněně použité finanční prostředky </w:t>
      </w:r>
      <w:r>
        <w:rPr>
          <w:sz w:val="22"/>
          <w:szCs w:val="22"/>
        </w:rPr>
        <w:t>byly v</w:t>
      </w:r>
      <w:r w:rsidRPr="00497FBF">
        <w:rPr>
          <w:sz w:val="22"/>
          <w:szCs w:val="22"/>
        </w:rPr>
        <w:t xml:space="preserve"> potvrzených nesrovnalost</w:t>
      </w:r>
      <w:r>
        <w:rPr>
          <w:sz w:val="22"/>
          <w:szCs w:val="22"/>
        </w:rPr>
        <w:t>ech</w:t>
      </w:r>
      <w:r w:rsidRPr="00497FBF">
        <w:rPr>
          <w:sz w:val="22"/>
          <w:szCs w:val="22"/>
        </w:rPr>
        <w:t xml:space="preserve"> vyčísleny </w:t>
      </w:r>
      <w:r>
        <w:rPr>
          <w:sz w:val="22"/>
          <w:szCs w:val="22"/>
        </w:rPr>
        <w:t>na</w:t>
      </w:r>
      <w:r w:rsidRPr="00497FBF">
        <w:rPr>
          <w:sz w:val="22"/>
          <w:szCs w:val="22"/>
        </w:rPr>
        <w:t xml:space="preserve"> </w:t>
      </w:r>
      <w:r w:rsidRPr="00497FBF">
        <w:rPr>
          <w:sz w:val="22"/>
          <w:szCs w:val="22"/>
        </w:rPr>
        <w:br/>
        <w:t>188 518 013 Kč.</w:t>
      </w:r>
    </w:p>
    <w:p w:rsidR="00497FBF" w:rsidRPr="00497FBF" w:rsidRDefault="00497FBF" w:rsidP="00497FBF">
      <w:pPr>
        <w:jc w:val="both"/>
        <w:rPr>
          <w:sz w:val="22"/>
          <w:szCs w:val="22"/>
        </w:rPr>
      </w:pPr>
      <w:r w:rsidRPr="00497FBF">
        <w:rPr>
          <w:sz w:val="22"/>
          <w:szCs w:val="22"/>
        </w:rPr>
        <w:lastRenderedPageBreak/>
        <w:t>Podle evidence MSC2007 vrátili příjemci v roce 2014 v 93 případech neoprávněně použité finanční prostředky ve výši 10</w:t>
      </w:r>
      <w:r w:rsidR="0090182D">
        <w:rPr>
          <w:sz w:val="22"/>
          <w:szCs w:val="22"/>
        </w:rPr>
        <w:t> </w:t>
      </w:r>
      <w:r w:rsidRPr="00497FBF">
        <w:rPr>
          <w:sz w:val="22"/>
          <w:szCs w:val="22"/>
        </w:rPr>
        <w:t>818</w:t>
      </w:r>
      <w:r w:rsidR="0090182D">
        <w:rPr>
          <w:sz w:val="22"/>
          <w:szCs w:val="22"/>
        </w:rPr>
        <w:t xml:space="preserve"> </w:t>
      </w:r>
      <w:r w:rsidRPr="00497FBF">
        <w:rPr>
          <w:sz w:val="22"/>
          <w:szCs w:val="22"/>
        </w:rPr>
        <w:t>454 Kč (426</w:t>
      </w:r>
      <w:r w:rsidR="0090182D">
        <w:rPr>
          <w:sz w:val="22"/>
          <w:szCs w:val="22"/>
        </w:rPr>
        <w:t xml:space="preserve"> </w:t>
      </w:r>
      <w:r w:rsidRPr="00497FBF">
        <w:rPr>
          <w:sz w:val="22"/>
          <w:szCs w:val="22"/>
        </w:rPr>
        <w:t xml:space="preserve">763 EUR). Všechny tyto prostředky byly vráceny na účet Národního fondu a státního rozpočtu. </w:t>
      </w:r>
    </w:p>
    <w:p w:rsidR="00497FBF" w:rsidRPr="00497FBF" w:rsidRDefault="00497FBF" w:rsidP="00497FBF">
      <w:pPr>
        <w:jc w:val="both"/>
        <w:rPr>
          <w:sz w:val="22"/>
          <w:szCs w:val="22"/>
        </w:rPr>
      </w:pPr>
      <w:r w:rsidRPr="00497FBF">
        <w:rPr>
          <w:sz w:val="22"/>
          <w:szCs w:val="22"/>
        </w:rPr>
        <w:t xml:space="preserve">ŘO IOP během roku 2014 uzavřel celkem 105 nesrovnalostí. Za oblast intervence 1.1 bylo uzavřeno </w:t>
      </w:r>
      <w:r>
        <w:rPr>
          <w:sz w:val="22"/>
          <w:szCs w:val="22"/>
        </w:rPr>
        <w:br/>
      </w:r>
      <w:r w:rsidRPr="00497FBF">
        <w:rPr>
          <w:sz w:val="22"/>
          <w:szCs w:val="22"/>
        </w:rPr>
        <w:t xml:space="preserve">5 nesrovnalosti, za OI 2.1 78 nesrovnalostí, za OI 3.2 2 nesrovnalosti, za OI 4.1 6 nesrovnalostí, za </w:t>
      </w:r>
      <w:r>
        <w:rPr>
          <w:sz w:val="22"/>
          <w:szCs w:val="22"/>
        </w:rPr>
        <w:t xml:space="preserve">oblast intervence </w:t>
      </w:r>
      <w:r w:rsidRPr="00497FBF">
        <w:rPr>
          <w:sz w:val="22"/>
          <w:szCs w:val="22"/>
        </w:rPr>
        <w:t xml:space="preserve">5.1 1 nesrovnalost, za </w:t>
      </w:r>
      <w:r>
        <w:rPr>
          <w:sz w:val="22"/>
          <w:szCs w:val="22"/>
        </w:rPr>
        <w:t xml:space="preserve">oblast intervence </w:t>
      </w:r>
      <w:r w:rsidR="00E12E6B">
        <w:rPr>
          <w:sz w:val="22"/>
          <w:szCs w:val="22"/>
        </w:rPr>
        <w:t>5.2 9 nesrovnalostí a za oblast intervence</w:t>
      </w:r>
      <w:r w:rsidRPr="00497FBF">
        <w:rPr>
          <w:sz w:val="22"/>
          <w:szCs w:val="22"/>
        </w:rPr>
        <w:t xml:space="preserve"> 5.3 1 nesrovnalost, za OI 6.1 3 nesrovnalosti.  </w:t>
      </w:r>
    </w:p>
    <w:p w:rsidR="00497FBF" w:rsidRPr="00497FBF" w:rsidRDefault="00497FBF" w:rsidP="00497FBF">
      <w:pPr>
        <w:jc w:val="both"/>
        <w:rPr>
          <w:sz w:val="22"/>
          <w:szCs w:val="22"/>
        </w:rPr>
      </w:pPr>
      <w:r w:rsidRPr="00497FBF">
        <w:rPr>
          <w:sz w:val="22"/>
          <w:szCs w:val="22"/>
        </w:rPr>
        <w:t xml:space="preserve">Zároveň byla na základě Mimořádného auditu zdravotnictví č. AO/2014/SM/05-IOP identifikována </w:t>
      </w:r>
      <w:r w:rsidR="00E12E6B">
        <w:rPr>
          <w:sz w:val="22"/>
          <w:szCs w:val="22"/>
        </w:rPr>
        <w:br/>
      </w:r>
      <w:r w:rsidRPr="00497FBF">
        <w:rPr>
          <w:sz w:val="22"/>
          <w:szCs w:val="22"/>
        </w:rPr>
        <w:t xml:space="preserve">1 systémová nesrovnalost v oblasti intervence 3.2. </w:t>
      </w:r>
    </w:p>
    <w:p w:rsidR="00036F44" w:rsidRDefault="00036F44" w:rsidP="00036F44"/>
    <w:p w:rsidR="00A01A97" w:rsidRDefault="00A01A97" w:rsidP="00A92782">
      <w:pPr>
        <w:pStyle w:val="Tabulkanzev"/>
      </w:pPr>
      <w:bookmarkStart w:id="45" w:name="_Toc416431804"/>
      <w:r>
        <w:t>Nesrovnalosti zaevidované v r. 2014</w:t>
      </w:r>
      <w:r w:rsidRPr="00DB0AD3">
        <w:t xml:space="preserve"> v rozdělení dle OI</w:t>
      </w:r>
      <w:bookmarkEnd w:id="45"/>
    </w:p>
    <w:tbl>
      <w:tblPr>
        <w:tblW w:w="922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
        <w:gridCol w:w="1240"/>
        <w:gridCol w:w="1340"/>
        <w:gridCol w:w="1380"/>
        <w:gridCol w:w="780"/>
        <w:gridCol w:w="781"/>
        <w:gridCol w:w="960"/>
        <w:gridCol w:w="940"/>
        <w:gridCol w:w="1040"/>
      </w:tblGrid>
      <w:tr w:rsidR="001F731F" w:rsidRPr="001F731F" w:rsidTr="00A73384">
        <w:trPr>
          <w:trHeight w:val="1125"/>
        </w:trPr>
        <w:tc>
          <w:tcPr>
            <w:tcW w:w="760" w:type="dxa"/>
            <w:vMerge w:val="restart"/>
            <w:shd w:val="clear" w:color="000000" w:fill="D8E4BC"/>
            <w:vAlign w:val="center"/>
            <w:hideMark/>
          </w:tcPr>
          <w:p w:rsidR="001F731F" w:rsidRPr="001F731F" w:rsidRDefault="001F731F" w:rsidP="001F731F">
            <w:pPr>
              <w:jc w:val="center"/>
              <w:rPr>
                <w:b/>
                <w:bCs/>
                <w:sz w:val="16"/>
                <w:szCs w:val="16"/>
              </w:rPr>
            </w:pPr>
            <w:r w:rsidRPr="001F731F">
              <w:rPr>
                <w:b/>
                <w:bCs/>
                <w:sz w:val="16"/>
                <w:szCs w:val="16"/>
              </w:rPr>
              <w:t>OI</w:t>
            </w:r>
          </w:p>
        </w:tc>
        <w:tc>
          <w:tcPr>
            <w:tcW w:w="1240" w:type="dxa"/>
            <w:vMerge w:val="restart"/>
            <w:shd w:val="clear" w:color="000000" w:fill="D8E4BC"/>
            <w:vAlign w:val="center"/>
            <w:hideMark/>
          </w:tcPr>
          <w:p w:rsidR="001F731F" w:rsidRPr="001F731F" w:rsidRDefault="001F731F" w:rsidP="001F731F">
            <w:pPr>
              <w:jc w:val="center"/>
              <w:rPr>
                <w:b/>
                <w:bCs/>
                <w:sz w:val="16"/>
                <w:szCs w:val="16"/>
              </w:rPr>
            </w:pPr>
            <w:r w:rsidRPr="001F731F">
              <w:rPr>
                <w:b/>
                <w:bCs/>
                <w:sz w:val="16"/>
                <w:szCs w:val="16"/>
              </w:rPr>
              <w:t>Počet nesrovnalostí</w:t>
            </w:r>
          </w:p>
        </w:tc>
        <w:tc>
          <w:tcPr>
            <w:tcW w:w="1340" w:type="dxa"/>
            <w:vMerge w:val="restart"/>
            <w:shd w:val="clear" w:color="000000" w:fill="D8E4BC"/>
            <w:vAlign w:val="center"/>
            <w:hideMark/>
          </w:tcPr>
          <w:p w:rsidR="001F731F" w:rsidRPr="001F731F" w:rsidRDefault="001F731F" w:rsidP="001F731F">
            <w:pPr>
              <w:jc w:val="center"/>
              <w:rPr>
                <w:b/>
                <w:bCs/>
                <w:sz w:val="16"/>
                <w:szCs w:val="16"/>
              </w:rPr>
            </w:pPr>
            <w:r w:rsidRPr="001F731F">
              <w:rPr>
                <w:b/>
                <w:bCs/>
                <w:sz w:val="16"/>
                <w:szCs w:val="16"/>
              </w:rPr>
              <w:t>Výše prostředků dotčených nesrovnalostí v Kč</w:t>
            </w:r>
          </w:p>
        </w:tc>
        <w:tc>
          <w:tcPr>
            <w:tcW w:w="1380" w:type="dxa"/>
            <w:vMerge w:val="restart"/>
            <w:shd w:val="clear" w:color="000000" w:fill="D8E4BC"/>
            <w:vAlign w:val="center"/>
            <w:hideMark/>
          </w:tcPr>
          <w:p w:rsidR="001F731F" w:rsidRPr="001F731F" w:rsidRDefault="001F731F" w:rsidP="001F731F">
            <w:pPr>
              <w:jc w:val="center"/>
              <w:rPr>
                <w:b/>
                <w:bCs/>
                <w:sz w:val="16"/>
                <w:szCs w:val="16"/>
              </w:rPr>
            </w:pPr>
            <w:r w:rsidRPr="001F731F">
              <w:rPr>
                <w:b/>
                <w:bCs/>
                <w:sz w:val="16"/>
                <w:szCs w:val="16"/>
              </w:rPr>
              <w:t xml:space="preserve">Výše prostředků dotčených nesrovnalostí v </w:t>
            </w:r>
            <w:proofErr w:type="gramStart"/>
            <w:r w:rsidRPr="001F731F">
              <w:rPr>
                <w:b/>
                <w:bCs/>
                <w:sz w:val="16"/>
                <w:szCs w:val="16"/>
              </w:rPr>
              <w:t>EUR</w:t>
            </w:r>
            <w:proofErr w:type="gramEnd"/>
          </w:p>
        </w:tc>
        <w:tc>
          <w:tcPr>
            <w:tcW w:w="4501" w:type="dxa"/>
            <w:gridSpan w:val="5"/>
            <w:shd w:val="clear" w:color="000000" w:fill="D8E4BC"/>
            <w:vAlign w:val="center"/>
            <w:hideMark/>
          </w:tcPr>
          <w:p w:rsidR="001F731F" w:rsidRPr="001F731F" w:rsidRDefault="001F731F" w:rsidP="001F731F">
            <w:pPr>
              <w:jc w:val="center"/>
              <w:rPr>
                <w:b/>
                <w:bCs/>
                <w:sz w:val="16"/>
                <w:szCs w:val="16"/>
              </w:rPr>
            </w:pPr>
            <w:r w:rsidRPr="001F731F">
              <w:rPr>
                <w:b/>
                <w:bCs/>
                <w:sz w:val="16"/>
                <w:szCs w:val="16"/>
              </w:rPr>
              <w:t>Fáze řešení nesrovnalosti</w:t>
            </w:r>
          </w:p>
        </w:tc>
      </w:tr>
      <w:tr w:rsidR="001F731F" w:rsidRPr="001F731F" w:rsidTr="00A73384">
        <w:trPr>
          <w:trHeight w:val="1260"/>
        </w:trPr>
        <w:tc>
          <w:tcPr>
            <w:tcW w:w="760" w:type="dxa"/>
            <w:vMerge/>
            <w:vAlign w:val="center"/>
            <w:hideMark/>
          </w:tcPr>
          <w:p w:rsidR="001F731F" w:rsidRPr="001F731F" w:rsidRDefault="001F731F" w:rsidP="001F731F">
            <w:pPr>
              <w:rPr>
                <w:b/>
                <w:bCs/>
                <w:sz w:val="16"/>
                <w:szCs w:val="16"/>
              </w:rPr>
            </w:pPr>
          </w:p>
        </w:tc>
        <w:tc>
          <w:tcPr>
            <w:tcW w:w="1240" w:type="dxa"/>
            <w:vMerge/>
            <w:vAlign w:val="center"/>
            <w:hideMark/>
          </w:tcPr>
          <w:p w:rsidR="001F731F" w:rsidRPr="001F731F" w:rsidRDefault="001F731F" w:rsidP="001F731F">
            <w:pPr>
              <w:rPr>
                <w:b/>
                <w:bCs/>
                <w:sz w:val="16"/>
                <w:szCs w:val="16"/>
              </w:rPr>
            </w:pPr>
          </w:p>
        </w:tc>
        <w:tc>
          <w:tcPr>
            <w:tcW w:w="1340" w:type="dxa"/>
            <w:vMerge/>
            <w:vAlign w:val="center"/>
            <w:hideMark/>
          </w:tcPr>
          <w:p w:rsidR="001F731F" w:rsidRPr="001F731F" w:rsidRDefault="001F731F" w:rsidP="001F731F">
            <w:pPr>
              <w:rPr>
                <w:b/>
                <w:bCs/>
                <w:sz w:val="16"/>
                <w:szCs w:val="16"/>
              </w:rPr>
            </w:pPr>
          </w:p>
        </w:tc>
        <w:tc>
          <w:tcPr>
            <w:tcW w:w="1380" w:type="dxa"/>
            <w:vMerge/>
            <w:vAlign w:val="center"/>
            <w:hideMark/>
          </w:tcPr>
          <w:p w:rsidR="001F731F" w:rsidRPr="001F731F" w:rsidRDefault="001F731F" w:rsidP="001F731F">
            <w:pPr>
              <w:rPr>
                <w:b/>
                <w:bCs/>
                <w:sz w:val="16"/>
                <w:szCs w:val="16"/>
              </w:rPr>
            </w:pPr>
          </w:p>
        </w:tc>
        <w:tc>
          <w:tcPr>
            <w:tcW w:w="780" w:type="dxa"/>
            <w:shd w:val="clear" w:color="000000" w:fill="D8E4BC"/>
            <w:vAlign w:val="center"/>
            <w:hideMark/>
          </w:tcPr>
          <w:p w:rsidR="001F731F" w:rsidRPr="001F731F" w:rsidRDefault="001F731F" w:rsidP="001F731F">
            <w:pPr>
              <w:rPr>
                <w:b/>
                <w:bCs/>
                <w:sz w:val="16"/>
                <w:szCs w:val="16"/>
              </w:rPr>
            </w:pPr>
            <w:r w:rsidRPr="001F731F">
              <w:rPr>
                <w:b/>
                <w:bCs/>
                <w:sz w:val="16"/>
                <w:szCs w:val="16"/>
              </w:rPr>
              <w:t xml:space="preserve">řešení </w:t>
            </w:r>
            <w:proofErr w:type="spellStart"/>
            <w:r w:rsidRPr="001F731F">
              <w:rPr>
                <w:b/>
                <w:bCs/>
                <w:sz w:val="16"/>
                <w:szCs w:val="16"/>
              </w:rPr>
              <w:t>opodstat</w:t>
            </w:r>
            <w:proofErr w:type="spellEnd"/>
            <w:r w:rsidR="003B6799">
              <w:rPr>
                <w:b/>
                <w:bCs/>
                <w:sz w:val="16"/>
                <w:szCs w:val="16"/>
              </w:rPr>
              <w:t xml:space="preserve"> </w:t>
            </w:r>
            <w:r w:rsidRPr="001F731F">
              <w:rPr>
                <w:b/>
                <w:bCs/>
                <w:sz w:val="16"/>
                <w:szCs w:val="16"/>
              </w:rPr>
              <w:t>-</w:t>
            </w:r>
            <w:proofErr w:type="spellStart"/>
            <w:r w:rsidRPr="001F731F">
              <w:rPr>
                <w:b/>
                <w:bCs/>
                <w:sz w:val="16"/>
                <w:szCs w:val="16"/>
              </w:rPr>
              <w:t>něnosti</w:t>
            </w:r>
            <w:proofErr w:type="spellEnd"/>
          </w:p>
        </w:tc>
        <w:tc>
          <w:tcPr>
            <w:tcW w:w="781" w:type="dxa"/>
            <w:shd w:val="clear" w:color="000000" w:fill="D8E4BC"/>
            <w:vAlign w:val="center"/>
            <w:hideMark/>
          </w:tcPr>
          <w:p w:rsidR="001F731F" w:rsidRPr="001F731F" w:rsidRDefault="001F731F" w:rsidP="001F731F">
            <w:pPr>
              <w:jc w:val="center"/>
              <w:rPr>
                <w:b/>
                <w:bCs/>
                <w:sz w:val="16"/>
                <w:szCs w:val="16"/>
              </w:rPr>
            </w:pPr>
            <w:proofErr w:type="spellStart"/>
            <w:r w:rsidRPr="001F731F">
              <w:rPr>
                <w:b/>
                <w:bCs/>
                <w:sz w:val="16"/>
                <w:szCs w:val="16"/>
              </w:rPr>
              <w:t>opodstat-něná</w:t>
            </w:r>
            <w:proofErr w:type="spellEnd"/>
          </w:p>
        </w:tc>
        <w:tc>
          <w:tcPr>
            <w:tcW w:w="960" w:type="dxa"/>
            <w:shd w:val="clear" w:color="000000" w:fill="D8E4BC"/>
            <w:vAlign w:val="center"/>
            <w:hideMark/>
          </w:tcPr>
          <w:p w:rsidR="001F731F" w:rsidRPr="001F731F" w:rsidRDefault="001F731F" w:rsidP="001F731F">
            <w:pPr>
              <w:jc w:val="center"/>
              <w:rPr>
                <w:b/>
                <w:bCs/>
                <w:sz w:val="16"/>
                <w:szCs w:val="16"/>
              </w:rPr>
            </w:pPr>
            <w:proofErr w:type="spellStart"/>
            <w:r w:rsidRPr="001F731F">
              <w:rPr>
                <w:b/>
                <w:bCs/>
                <w:sz w:val="16"/>
                <w:szCs w:val="16"/>
              </w:rPr>
              <w:t>neopodstat-něná</w:t>
            </w:r>
            <w:proofErr w:type="spellEnd"/>
          </w:p>
        </w:tc>
        <w:tc>
          <w:tcPr>
            <w:tcW w:w="940" w:type="dxa"/>
            <w:shd w:val="clear" w:color="000000" w:fill="D8E4BC"/>
            <w:vAlign w:val="center"/>
            <w:hideMark/>
          </w:tcPr>
          <w:p w:rsidR="001F731F" w:rsidRPr="001F731F" w:rsidRDefault="001F731F" w:rsidP="001F731F">
            <w:pPr>
              <w:jc w:val="center"/>
              <w:rPr>
                <w:b/>
                <w:bCs/>
                <w:sz w:val="16"/>
                <w:szCs w:val="16"/>
              </w:rPr>
            </w:pPr>
            <w:r w:rsidRPr="001F731F">
              <w:rPr>
                <w:b/>
                <w:bCs/>
                <w:sz w:val="16"/>
                <w:szCs w:val="16"/>
              </w:rPr>
              <w:t>potvrzená</w:t>
            </w:r>
          </w:p>
        </w:tc>
        <w:tc>
          <w:tcPr>
            <w:tcW w:w="1040" w:type="dxa"/>
            <w:shd w:val="clear" w:color="000000" w:fill="D8E4BC"/>
            <w:vAlign w:val="center"/>
            <w:hideMark/>
          </w:tcPr>
          <w:p w:rsidR="001F731F" w:rsidRPr="001F731F" w:rsidRDefault="001F731F" w:rsidP="001F731F">
            <w:pPr>
              <w:jc w:val="center"/>
              <w:rPr>
                <w:b/>
                <w:bCs/>
                <w:sz w:val="16"/>
                <w:szCs w:val="16"/>
              </w:rPr>
            </w:pPr>
            <w:r w:rsidRPr="001F731F">
              <w:rPr>
                <w:b/>
                <w:bCs/>
                <w:sz w:val="16"/>
                <w:szCs w:val="16"/>
              </w:rPr>
              <w:t>nepotvrzená</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1.1</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7</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258 326 360</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9 393 691</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4</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2.1</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45</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848 156</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33 214</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40</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3.1</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7</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17 044 928</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685 180</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6</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3.2</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18</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89 068 704</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3 604 415</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12</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3.3</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86 502 573</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3 360 367</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3.4</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4.1</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229 770</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8 273</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5.1</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8</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7 582 045</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284 892</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8</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5.2</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7</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45 710 816</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1 826 795</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6</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5.3</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1 000</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40</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6.1</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378 718</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14 712</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2</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6.2</w:t>
            </w:r>
          </w:p>
        </w:tc>
        <w:tc>
          <w:tcPr>
            <w:tcW w:w="12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13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w:t>
            </w:r>
          </w:p>
        </w:tc>
        <w:tc>
          <w:tcPr>
            <w:tcW w:w="13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w:t>
            </w:r>
          </w:p>
        </w:tc>
        <w:tc>
          <w:tcPr>
            <w:tcW w:w="78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781"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6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9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c>
          <w:tcPr>
            <w:tcW w:w="1040" w:type="dxa"/>
            <w:shd w:val="clear" w:color="000000" w:fill="FFFFFF"/>
            <w:noWrap/>
            <w:vAlign w:val="center"/>
            <w:hideMark/>
          </w:tcPr>
          <w:p w:rsidR="001F731F" w:rsidRPr="00E81C8D" w:rsidRDefault="001F731F" w:rsidP="001F731F">
            <w:pPr>
              <w:jc w:val="center"/>
              <w:rPr>
                <w:color w:val="000000"/>
                <w:sz w:val="18"/>
                <w:szCs w:val="18"/>
              </w:rPr>
            </w:pPr>
            <w:r w:rsidRPr="00E81C8D">
              <w:rPr>
                <w:color w:val="000000"/>
                <w:sz w:val="18"/>
                <w:szCs w:val="18"/>
              </w:rPr>
              <w:t>0</w:t>
            </w:r>
          </w:p>
        </w:tc>
      </w:tr>
      <w:tr w:rsidR="001F731F" w:rsidRPr="001F731F" w:rsidTr="00A73384">
        <w:trPr>
          <w:trHeight w:val="300"/>
        </w:trPr>
        <w:tc>
          <w:tcPr>
            <w:tcW w:w="76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Celkem</w:t>
            </w:r>
          </w:p>
        </w:tc>
        <w:tc>
          <w:tcPr>
            <w:tcW w:w="124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98</w:t>
            </w:r>
          </w:p>
        </w:tc>
        <w:tc>
          <w:tcPr>
            <w:tcW w:w="134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505 693 071</w:t>
            </w:r>
          </w:p>
        </w:tc>
        <w:tc>
          <w:tcPr>
            <w:tcW w:w="138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19 211 579</w:t>
            </w:r>
          </w:p>
        </w:tc>
        <w:tc>
          <w:tcPr>
            <w:tcW w:w="78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3</w:t>
            </w:r>
          </w:p>
        </w:tc>
        <w:tc>
          <w:tcPr>
            <w:tcW w:w="781"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11</w:t>
            </w:r>
          </w:p>
        </w:tc>
        <w:tc>
          <w:tcPr>
            <w:tcW w:w="96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3</w:t>
            </w:r>
          </w:p>
        </w:tc>
        <w:tc>
          <w:tcPr>
            <w:tcW w:w="94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80</w:t>
            </w:r>
          </w:p>
        </w:tc>
        <w:tc>
          <w:tcPr>
            <w:tcW w:w="1040" w:type="dxa"/>
            <w:shd w:val="clear" w:color="000000" w:fill="BFBFBF"/>
            <w:noWrap/>
            <w:vAlign w:val="center"/>
            <w:hideMark/>
          </w:tcPr>
          <w:p w:rsidR="001F731F" w:rsidRPr="00E81C8D" w:rsidRDefault="001F731F" w:rsidP="001F731F">
            <w:pPr>
              <w:jc w:val="center"/>
              <w:rPr>
                <w:b/>
                <w:bCs/>
                <w:sz w:val="18"/>
                <w:szCs w:val="18"/>
              </w:rPr>
            </w:pPr>
            <w:r w:rsidRPr="00E81C8D">
              <w:rPr>
                <w:b/>
                <w:bCs/>
                <w:sz w:val="18"/>
                <w:szCs w:val="18"/>
              </w:rPr>
              <w:t>1</w:t>
            </w:r>
          </w:p>
        </w:tc>
      </w:tr>
    </w:tbl>
    <w:p w:rsidR="003B6799" w:rsidRDefault="003B6799" w:rsidP="003B6799">
      <w:pPr>
        <w:jc w:val="both"/>
        <w:rPr>
          <w:i/>
          <w:sz w:val="18"/>
          <w:szCs w:val="18"/>
        </w:rPr>
      </w:pPr>
      <w:r w:rsidRPr="00A646BF">
        <w:rPr>
          <w:i/>
          <w:sz w:val="18"/>
          <w:szCs w:val="18"/>
        </w:rPr>
        <w:t xml:space="preserve">Zdroj: MSC 2007 ke dni </w:t>
      </w:r>
      <w:r>
        <w:rPr>
          <w:i/>
          <w:sz w:val="18"/>
          <w:szCs w:val="18"/>
        </w:rPr>
        <w:t>10. 2. 2015</w:t>
      </w:r>
    </w:p>
    <w:p w:rsidR="001F731F" w:rsidRDefault="001F731F" w:rsidP="001F731F"/>
    <w:p w:rsidR="00DF7B50" w:rsidRDefault="004E57EF" w:rsidP="00B84CA8">
      <w:pPr>
        <w:pStyle w:val="Nadpis3"/>
      </w:pPr>
      <w:bookmarkStart w:id="46" w:name="_Toc417024841"/>
      <w:r w:rsidRPr="009026D3">
        <w:t>2. 1. F Kvalitativní</w:t>
      </w:r>
      <w:r w:rsidR="00A75862" w:rsidRPr="009026D3">
        <w:t xml:space="preserve"> analýza</w:t>
      </w:r>
      <w:bookmarkEnd w:id="42"/>
      <w:bookmarkEnd w:id="43"/>
      <w:bookmarkEnd w:id="46"/>
    </w:p>
    <w:p w:rsidR="00F37AA4" w:rsidRPr="009D3E3A" w:rsidRDefault="00DF7B50" w:rsidP="008C4750">
      <w:pPr>
        <w:jc w:val="both"/>
        <w:rPr>
          <w:sz w:val="22"/>
          <w:szCs w:val="22"/>
        </w:rPr>
      </w:pPr>
      <w:r w:rsidRPr="009D3E3A">
        <w:rPr>
          <w:sz w:val="22"/>
          <w:szCs w:val="22"/>
        </w:rPr>
        <w:t>V roce 201</w:t>
      </w:r>
      <w:r w:rsidR="003727C9" w:rsidRPr="009D3E3A">
        <w:rPr>
          <w:sz w:val="22"/>
          <w:szCs w:val="22"/>
        </w:rPr>
        <w:t>4</w:t>
      </w:r>
      <w:r w:rsidRPr="009D3E3A">
        <w:rPr>
          <w:sz w:val="22"/>
          <w:szCs w:val="22"/>
        </w:rPr>
        <w:t xml:space="preserve"> dosáhly </w:t>
      </w:r>
      <w:r w:rsidR="003727C9" w:rsidRPr="009D3E3A">
        <w:rPr>
          <w:sz w:val="22"/>
          <w:szCs w:val="22"/>
        </w:rPr>
        <w:t>prostředky kryté Rozhodnutím</w:t>
      </w:r>
      <w:r w:rsidRPr="009D3E3A">
        <w:rPr>
          <w:sz w:val="22"/>
          <w:szCs w:val="22"/>
        </w:rPr>
        <w:t xml:space="preserve"> výše </w:t>
      </w:r>
      <w:r w:rsidR="003727C9" w:rsidRPr="009D3E3A">
        <w:rPr>
          <w:sz w:val="22"/>
          <w:szCs w:val="22"/>
        </w:rPr>
        <w:t xml:space="preserve">1 </w:t>
      </w:r>
      <w:r w:rsidR="009D3E3A">
        <w:rPr>
          <w:sz w:val="22"/>
          <w:szCs w:val="22"/>
        </w:rPr>
        <w:t>554</w:t>
      </w:r>
      <w:r w:rsidR="00371FDB" w:rsidRPr="009D3E3A">
        <w:rPr>
          <w:sz w:val="22"/>
          <w:szCs w:val="22"/>
        </w:rPr>
        <w:t xml:space="preserve"> mil. EUR</w:t>
      </w:r>
      <w:r w:rsidRPr="009D3E3A">
        <w:rPr>
          <w:sz w:val="22"/>
          <w:szCs w:val="22"/>
        </w:rPr>
        <w:t xml:space="preserve">, což představuje </w:t>
      </w:r>
      <w:r w:rsidR="009D3E3A">
        <w:rPr>
          <w:sz w:val="22"/>
          <w:szCs w:val="22"/>
        </w:rPr>
        <w:t>96,1</w:t>
      </w:r>
      <w:r w:rsidR="003727C9" w:rsidRPr="009D3E3A">
        <w:rPr>
          <w:sz w:val="22"/>
          <w:szCs w:val="22"/>
        </w:rPr>
        <w:t xml:space="preserve"> </w:t>
      </w:r>
      <w:r w:rsidR="00371FDB" w:rsidRPr="009D3E3A">
        <w:rPr>
          <w:sz w:val="22"/>
          <w:szCs w:val="22"/>
        </w:rPr>
        <w:t>%</w:t>
      </w:r>
      <w:r w:rsidR="00EA0215" w:rsidRPr="009D3E3A">
        <w:rPr>
          <w:sz w:val="22"/>
          <w:szCs w:val="22"/>
        </w:rPr>
        <w:t xml:space="preserve"> </w:t>
      </w:r>
      <w:r w:rsidRPr="009D3E3A">
        <w:rPr>
          <w:sz w:val="22"/>
          <w:szCs w:val="22"/>
        </w:rPr>
        <w:t xml:space="preserve">celkové alokace programu. </w:t>
      </w:r>
      <w:r w:rsidRPr="00363DDF">
        <w:rPr>
          <w:sz w:val="22"/>
          <w:szCs w:val="22"/>
        </w:rPr>
        <w:t>Nejmenší podíl schválených projektů vykazuje oblast intervence 3.</w:t>
      </w:r>
      <w:r w:rsidR="001F168E" w:rsidRPr="00363DDF">
        <w:rPr>
          <w:sz w:val="22"/>
          <w:szCs w:val="22"/>
        </w:rPr>
        <w:t>3</w:t>
      </w:r>
      <w:r w:rsidRPr="00363DDF">
        <w:rPr>
          <w:sz w:val="22"/>
          <w:szCs w:val="22"/>
        </w:rPr>
        <w:t xml:space="preserve"> ve výši </w:t>
      </w:r>
      <w:r w:rsidR="001F168E" w:rsidRPr="00363DDF">
        <w:rPr>
          <w:sz w:val="22"/>
          <w:szCs w:val="22"/>
        </w:rPr>
        <w:t>72,8</w:t>
      </w:r>
      <w:r w:rsidR="00EA0215" w:rsidRPr="00363DDF">
        <w:rPr>
          <w:sz w:val="22"/>
          <w:szCs w:val="22"/>
        </w:rPr>
        <w:t xml:space="preserve"> </w:t>
      </w:r>
      <w:r w:rsidRPr="00363DDF">
        <w:rPr>
          <w:sz w:val="22"/>
          <w:szCs w:val="22"/>
        </w:rPr>
        <w:t>% alokace</w:t>
      </w:r>
      <w:r w:rsidR="001F168E" w:rsidRPr="00363DDF">
        <w:rPr>
          <w:sz w:val="22"/>
          <w:szCs w:val="22"/>
        </w:rPr>
        <w:t xml:space="preserve">. </w:t>
      </w:r>
      <w:r w:rsidRPr="00363DDF">
        <w:rPr>
          <w:sz w:val="22"/>
          <w:szCs w:val="22"/>
        </w:rPr>
        <w:t>Méně než 90</w:t>
      </w:r>
      <w:r w:rsidR="00EA0215" w:rsidRPr="00363DDF">
        <w:rPr>
          <w:sz w:val="22"/>
          <w:szCs w:val="22"/>
        </w:rPr>
        <w:t xml:space="preserve"> </w:t>
      </w:r>
      <w:r w:rsidRPr="00363DDF">
        <w:rPr>
          <w:sz w:val="22"/>
          <w:szCs w:val="22"/>
        </w:rPr>
        <w:t>% alokace je schváleno v oblastech intervence 1.1a, 1.1b (</w:t>
      </w:r>
      <w:r w:rsidR="00D01C9F" w:rsidRPr="00363DDF">
        <w:rPr>
          <w:sz w:val="22"/>
          <w:szCs w:val="22"/>
        </w:rPr>
        <w:t>85,</w:t>
      </w:r>
      <w:r w:rsidR="00363DDF" w:rsidRPr="00363DDF">
        <w:rPr>
          <w:sz w:val="22"/>
          <w:szCs w:val="22"/>
        </w:rPr>
        <w:t xml:space="preserve">5 </w:t>
      </w:r>
      <w:r w:rsidR="00225AEA" w:rsidRPr="00363DDF">
        <w:rPr>
          <w:sz w:val="22"/>
          <w:szCs w:val="22"/>
        </w:rPr>
        <w:t>%</w:t>
      </w:r>
      <w:r w:rsidR="00D01C9F" w:rsidRPr="00363DDF">
        <w:rPr>
          <w:sz w:val="22"/>
          <w:szCs w:val="22"/>
        </w:rPr>
        <w:t>).</w:t>
      </w:r>
      <w:r w:rsidR="00D01C9F" w:rsidRPr="009D3E3A">
        <w:rPr>
          <w:sz w:val="22"/>
          <w:szCs w:val="22"/>
        </w:rPr>
        <w:t xml:space="preserve"> </w:t>
      </w:r>
    </w:p>
    <w:p w:rsidR="00DF7B50" w:rsidRPr="009D3E3A" w:rsidRDefault="00DF7B50" w:rsidP="008C4750">
      <w:pPr>
        <w:jc w:val="both"/>
        <w:rPr>
          <w:sz w:val="22"/>
          <w:szCs w:val="22"/>
        </w:rPr>
      </w:pPr>
    </w:p>
    <w:p w:rsidR="00DF7B50" w:rsidRPr="009D3E3A" w:rsidRDefault="00DF7B50" w:rsidP="008C4750">
      <w:pPr>
        <w:jc w:val="both"/>
        <w:rPr>
          <w:sz w:val="22"/>
          <w:szCs w:val="22"/>
        </w:rPr>
      </w:pPr>
      <w:r w:rsidRPr="00AF7606">
        <w:rPr>
          <w:sz w:val="22"/>
          <w:szCs w:val="22"/>
        </w:rPr>
        <w:t>Příjemci obdrželi 1</w:t>
      </w:r>
      <w:r w:rsidR="00D01C9F" w:rsidRPr="00AF7606">
        <w:rPr>
          <w:sz w:val="22"/>
          <w:szCs w:val="22"/>
        </w:rPr>
        <w:t> </w:t>
      </w:r>
      <w:r w:rsidR="00363DDF" w:rsidRPr="00AF7606">
        <w:rPr>
          <w:sz w:val="22"/>
          <w:szCs w:val="22"/>
        </w:rPr>
        <w:t>019,3</w:t>
      </w:r>
      <w:r w:rsidRPr="00AF7606">
        <w:rPr>
          <w:sz w:val="22"/>
          <w:szCs w:val="22"/>
        </w:rPr>
        <w:t xml:space="preserve"> mil. EUR, tj. </w:t>
      </w:r>
      <w:r w:rsidR="00363DDF" w:rsidRPr="00AF7606">
        <w:rPr>
          <w:sz w:val="22"/>
          <w:szCs w:val="22"/>
        </w:rPr>
        <w:t>63,0</w:t>
      </w:r>
      <w:r w:rsidR="00EA0215" w:rsidRPr="00AF7606">
        <w:rPr>
          <w:sz w:val="22"/>
          <w:szCs w:val="22"/>
        </w:rPr>
        <w:t xml:space="preserve"> </w:t>
      </w:r>
      <w:r w:rsidRPr="00AF7606">
        <w:rPr>
          <w:sz w:val="22"/>
          <w:szCs w:val="22"/>
        </w:rPr>
        <w:t xml:space="preserve">% alokace programu. </w:t>
      </w:r>
      <w:r w:rsidRPr="008B6480">
        <w:rPr>
          <w:sz w:val="22"/>
          <w:szCs w:val="22"/>
        </w:rPr>
        <w:t>Největší podíl proplac</w:t>
      </w:r>
      <w:r w:rsidR="00AF7606" w:rsidRPr="008B6480">
        <w:rPr>
          <w:sz w:val="22"/>
          <w:szCs w:val="22"/>
        </w:rPr>
        <w:t xml:space="preserve">ených prostředků na alokaci má </w:t>
      </w:r>
      <w:r w:rsidR="008B6480" w:rsidRPr="008B6480">
        <w:rPr>
          <w:sz w:val="22"/>
          <w:szCs w:val="22"/>
        </w:rPr>
        <w:t>oblast intervence</w:t>
      </w:r>
      <w:r w:rsidRPr="008B6480">
        <w:rPr>
          <w:sz w:val="22"/>
          <w:szCs w:val="22"/>
        </w:rPr>
        <w:t xml:space="preserve"> 5.3 (</w:t>
      </w:r>
      <w:r w:rsidR="00D01C9F" w:rsidRPr="008B6480">
        <w:rPr>
          <w:sz w:val="22"/>
          <w:szCs w:val="22"/>
        </w:rPr>
        <w:t>100,6</w:t>
      </w:r>
      <w:r w:rsidR="00EA0215" w:rsidRPr="008B6480">
        <w:rPr>
          <w:sz w:val="22"/>
          <w:szCs w:val="22"/>
        </w:rPr>
        <w:t xml:space="preserve"> </w:t>
      </w:r>
      <w:r w:rsidR="00D01C9F" w:rsidRPr="008B6480">
        <w:rPr>
          <w:sz w:val="22"/>
          <w:szCs w:val="22"/>
        </w:rPr>
        <w:t xml:space="preserve">%). </w:t>
      </w:r>
      <w:r w:rsidRPr="008B6480">
        <w:rPr>
          <w:sz w:val="22"/>
          <w:szCs w:val="22"/>
        </w:rPr>
        <w:t>Nejnižší podíl prostředků proplacených příjemc</w:t>
      </w:r>
      <w:r w:rsidR="00BE46EA" w:rsidRPr="008B6480">
        <w:rPr>
          <w:sz w:val="22"/>
          <w:szCs w:val="22"/>
        </w:rPr>
        <w:t>ům je v oblastech intervence 3.4 (37,0</w:t>
      </w:r>
      <w:r w:rsidRPr="008B6480">
        <w:rPr>
          <w:sz w:val="22"/>
          <w:szCs w:val="22"/>
        </w:rPr>
        <w:t xml:space="preserve"> %) a 3.</w:t>
      </w:r>
      <w:r w:rsidR="00BE46EA" w:rsidRPr="008B6480">
        <w:rPr>
          <w:sz w:val="22"/>
          <w:szCs w:val="22"/>
        </w:rPr>
        <w:t>1</w:t>
      </w:r>
      <w:r w:rsidRPr="008B6480">
        <w:rPr>
          <w:sz w:val="22"/>
          <w:szCs w:val="22"/>
        </w:rPr>
        <w:t xml:space="preserve"> (</w:t>
      </w:r>
      <w:r w:rsidR="00BE46EA" w:rsidRPr="008B6480">
        <w:rPr>
          <w:sz w:val="22"/>
          <w:szCs w:val="22"/>
        </w:rPr>
        <w:t>4</w:t>
      </w:r>
      <w:r w:rsidR="008B6480" w:rsidRPr="008B6480">
        <w:rPr>
          <w:sz w:val="22"/>
          <w:szCs w:val="22"/>
        </w:rPr>
        <w:t>7,5</w:t>
      </w:r>
      <w:r w:rsidR="00EA0215" w:rsidRPr="008B6480">
        <w:rPr>
          <w:sz w:val="22"/>
          <w:szCs w:val="22"/>
        </w:rPr>
        <w:t xml:space="preserve"> </w:t>
      </w:r>
      <w:r w:rsidRPr="008B6480">
        <w:rPr>
          <w:sz w:val="22"/>
          <w:szCs w:val="22"/>
        </w:rPr>
        <w:t>%).</w:t>
      </w:r>
      <w:r w:rsidRPr="009D3E3A">
        <w:rPr>
          <w:sz w:val="22"/>
          <w:szCs w:val="22"/>
        </w:rPr>
        <w:t xml:space="preserve">  </w:t>
      </w:r>
    </w:p>
    <w:p w:rsidR="00DF7B50" w:rsidRPr="009D3E3A" w:rsidRDefault="00DF7B50" w:rsidP="008C4750">
      <w:pPr>
        <w:jc w:val="both"/>
        <w:rPr>
          <w:sz w:val="22"/>
          <w:szCs w:val="22"/>
        </w:rPr>
      </w:pPr>
    </w:p>
    <w:p w:rsidR="006A15B9" w:rsidRDefault="00DF7B50" w:rsidP="006A15B9">
      <w:pPr>
        <w:jc w:val="both"/>
        <w:rPr>
          <w:sz w:val="22"/>
          <w:szCs w:val="22"/>
        </w:rPr>
      </w:pPr>
      <w:r w:rsidRPr="009D3E3A">
        <w:rPr>
          <w:sz w:val="22"/>
          <w:szCs w:val="22"/>
        </w:rPr>
        <w:t xml:space="preserve">Certifikované prostředky dosáhly výše </w:t>
      </w:r>
      <w:r w:rsidR="00B84CA8" w:rsidRPr="009D3E3A">
        <w:rPr>
          <w:sz w:val="22"/>
          <w:szCs w:val="22"/>
        </w:rPr>
        <w:t xml:space="preserve">1 </w:t>
      </w:r>
      <w:r w:rsidR="00F70D32">
        <w:rPr>
          <w:sz w:val="22"/>
          <w:szCs w:val="22"/>
        </w:rPr>
        <w:t>003</w:t>
      </w:r>
      <w:r w:rsidRPr="009D3E3A">
        <w:rPr>
          <w:sz w:val="22"/>
          <w:szCs w:val="22"/>
        </w:rPr>
        <w:t xml:space="preserve"> mil. EUR (</w:t>
      </w:r>
      <w:r w:rsidR="00F70D32">
        <w:rPr>
          <w:sz w:val="22"/>
          <w:szCs w:val="22"/>
        </w:rPr>
        <w:t>62,1</w:t>
      </w:r>
      <w:r w:rsidR="006A15B9">
        <w:rPr>
          <w:sz w:val="22"/>
          <w:szCs w:val="22"/>
        </w:rPr>
        <w:t xml:space="preserve"> </w:t>
      </w:r>
      <w:r w:rsidRPr="009D3E3A">
        <w:rPr>
          <w:sz w:val="22"/>
          <w:szCs w:val="22"/>
        </w:rPr>
        <w:t>% alokace). Nejvyšší podíl certifikovaných výdajů je v oblastech intervence s nejvyšším podílem pr</w:t>
      </w:r>
      <w:r w:rsidR="006A15B9">
        <w:rPr>
          <w:sz w:val="22"/>
          <w:szCs w:val="22"/>
        </w:rPr>
        <w:t>ostředků proplacených příjemcům</w:t>
      </w:r>
      <w:r w:rsidRPr="009D3E3A">
        <w:rPr>
          <w:sz w:val="22"/>
          <w:szCs w:val="22"/>
        </w:rPr>
        <w:t xml:space="preserve"> </w:t>
      </w:r>
      <w:r w:rsidR="00EE0C06" w:rsidRPr="009D3E3A">
        <w:rPr>
          <w:sz w:val="22"/>
          <w:szCs w:val="22"/>
        </w:rPr>
        <w:t>5</w:t>
      </w:r>
      <w:r w:rsidR="006A15B9">
        <w:rPr>
          <w:sz w:val="22"/>
          <w:szCs w:val="22"/>
        </w:rPr>
        <w:t xml:space="preserve">.3 (99,6 %) </w:t>
      </w:r>
      <w:r w:rsidR="006A15B9" w:rsidRPr="009D3E3A">
        <w:rPr>
          <w:sz w:val="22"/>
          <w:szCs w:val="22"/>
        </w:rPr>
        <w:t>a 5.2</w:t>
      </w:r>
      <w:r w:rsidR="006A15B9">
        <w:rPr>
          <w:sz w:val="22"/>
          <w:szCs w:val="22"/>
        </w:rPr>
        <w:t xml:space="preserve"> (76,9 %)</w:t>
      </w:r>
      <w:r w:rsidR="00167F16">
        <w:rPr>
          <w:sz w:val="22"/>
          <w:szCs w:val="22"/>
        </w:rPr>
        <w:t xml:space="preserve">. </w:t>
      </w:r>
      <w:r w:rsidR="006A15B9" w:rsidRPr="006A15B9">
        <w:rPr>
          <w:sz w:val="22"/>
          <w:szCs w:val="22"/>
        </w:rPr>
        <w:t xml:space="preserve"> </w:t>
      </w:r>
      <w:r w:rsidR="006A15B9" w:rsidRPr="009D3E3A">
        <w:rPr>
          <w:sz w:val="22"/>
          <w:szCs w:val="22"/>
        </w:rPr>
        <w:t>Nejmenší podíl certifikovaných výdajů je naopak v oblastech intervence s nízkým podílem prostředků proplacených příjemcům: 3.1 (4</w:t>
      </w:r>
      <w:r w:rsidR="00167F16">
        <w:rPr>
          <w:sz w:val="22"/>
          <w:szCs w:val="22"/>
        </w:rPr>
        <w:t>5</w:t>
      </w:r>
      <w:r w:rsidR="006A15B9" w:rsidRPr="009D3E3A">
        <w:rPr>
          <w:sz w:val="22"/>
          <w:szCs w:val="22"/>
        </w:rPr>
        <w:t>,</w:t>
      </w:r>
      <w:r w:rsidR="00167F16">
        <w:rPr>
          <w:sz w:val="22"/>
          <w:szCs w:val="22"/>
        </w:rPr>
        <w:t>6</w:t>
      </w:r>
      <w:r w:rsidR="006A15B9" w:rsidRPr="009D3E3A">
        <w:rPr>
          <w:sz w:val="22"/>
          <w:szCs w:val="22"/>
        </w:rPr>
        <w:t>%) a 3.4 (36,9 %).</w:t>
      </w:r>
    </w:p>
    <w:p w:rsidR="00153E2E" w:rsidRDefault="00153E2E" w:rsidP="00363DDF">
      <w:pPr>
        <w:jc w:val="both"/>
        <w:rPr>
          <w:sz w:val="22"/>
          <w:szCs w:val="22"/>
        </w:rPr>
      </w:pPr>
    </w:p>
    <w:p w:rsidR="00015234" w:rsidRPr="009C5A77" w:rsidRDefault="00015234" w:rsidP="009C5A77">
      <w:pPr>
        <w:jc w:val="both"/>
        <w:rPr>
          <w:sz w:val="22"/>
          <w:szCs w:val="22"/>
        </w:rPr>
      </w:pPr>
    </w:p>
    <w:p w:rsidR="00A75862" w:rsidRDefault="00DE0325" w:rsidP="00A92782">
      <w:pPr>
        <w:pStyle w:val="Tabulkanzev"/>
      </w:pPr>
      <w:bookmarkStart w:id="47" w:name="_Toc416431805"/>
      <w:r>
        <w:lastRenderedPageBreak/>
        <w:t>Finanční</w:t>
      </w:r>
      <w:r w:rsidR="00A75862" w:rsidRPr="009026D3">
        <w:t xml:space="preserve"> stav IOP v roce 201</w:t>
      </w:r>
      <w:r w:rsidR="002F4D9E">
        <w:t>4</w:t>
      </w:r>
      <w:r w:rsidR="00700A84">
        <w:t xml:space="preserve"> (</w:t>
      </w:r>
      <w:r w:rsidR="009D3E3A">
        <w:t>EU)</w:t>
      </w:r>
      <w:bookmarkEnd w:id="47"/>
    </w:p>
    <w:tbl>
      <w:tblPr>
        <w:tblW w:w="5000" w:type="pct"/>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3"/>
        <w:gridCol w:w="781"/>
        <w:gridCol w:w="1169"/>
        <w:gridCol w:w="1308"/>
        <w:gridCol w:w="808"/>
        <w:gridCol w:w="1153"/>
        <w:gridCol w:w="791"/>
        <w:gridCol w:w="1086"/>
        <w:gridCol w:w="1083"/>
      </w:tblGrid>
      <w:tr w:rsidR="009D3E3A" w:rsidRPr="009D4CE6" w:rsidTr="007C3920">
        <w:trPr>
          <w:trHeight w:val="1095"/>
        </w:trPr>
        <w:tc>
          <w:tcPr>
            <w:tcW w:w="571" w:type="pct"/>
            <w:vMerge w:val="restart"/>
            <w:shd w:val="clear" w:color="000000" w:fill="C4D79B"/>
            <w:vAlign w:val="center"/>
            <w:hideMark/>
          </w:tcPr>
          <w:p w:rsidR="009D3E3A" w:rsidRPr="009D4CE6" w:rsidRDefault="009D3E3A" w:rsidP="007C3920">
            <w:pPr>
              <w:jc w:val="center"/>
              <w:rPr>
                <w:b/>
                <w:bCs/>
                <w:color w:val="000000"/>
                <w:sz w:val="16"/>
                <w:szCs w:val="16"/>
              </w:rPr>
            </w:pPr>
            <w:r w:rsidRPr="009D4CE6">
              <w:rPr>
                <w:b/>
                <w:bCs/>
                <w:color w:val="000000"/>
                <w:sz w:val="16"/>
                <w:szCs w:val="16"/>
              </w:rPr>
              <w:t>Prioritní osy</w:t>
            </w:r>
          </w:p>
        </w:tc>
        <w:tc>
          <w:tcPr>
            <w:tcW w:w="434" w:type="pct"/>
            <w:vMerge w:val="restart"/>
            <w:shd w:val="clear" w:color="000000" w:fill="C4D79B"/>
            <w:vAlign w:val="center"/>
            <w:hideMark/>
          </w:tcPr>
          <w:p w:rsidR="009D3E3A" w:rsidRPr="009D4CE6" w:rsidRDefault="009D3E3A" w:rsidP="007C3920">
            <w:pPr>
              <w:jc w:val="center"/>
              <w:rPr>
                <w:b/>
                <w:bCs/>
                <w:color w:val="000000"/>
                <w:sz w:val="16"/>
                <w:szCs w:val="16"/>
              </w:rPr>
            </w:pPr>
            <w:r w:rsidRPr="009D4CE6">
              <w:rPr>
                <w:b/>
                <w:bCs/>
                <w:color w:val="000000"/>
                <w:sz w:val="16"/>
                <w:szCs w:val="16"/>
              </w:rPr>
              <w:t>Oblast podpory</w:t>
            </w:r>
          </w:p>
        </w:tc>
        <w:tc>
          <w:tcPr>
            <w:tcW w:w="645"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Alokace podpory 2007-2013</w:t>
            </w:r>
          </w:p>
        </w:tc>
        <w:tc>
          <w:tcPr>
            <w:tcW w:w="1169" w:type="pct"/>
            <w:gridSpan w:val="2"/>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Prostředky kryté Rozhodnutím / Smlouvou (dodatkem)</w:t>
            </w:r>
          </w:p>
        </w:tc>
        <w:tc>
          <w:tcPr>
            <w:tcW w:w="1075" w:type="pct"/>
            <w:gridSpan w:val="2"/>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Proplacené prostředky příjemcům (vyúčtované prostředky)</w:t>
            </w:r>
          </w:p>
        </w:tc>
        <w:tc>
          <w:tcPr>
            <w:tcW w:w="599"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Certifikované výdaje (včetně vratek)</w:t>
            </w:r>
          </w:p>
        </w:tc>
        <w:tc>
          <w:tcPr>
            <w:tcW w:w="507" w:type="pct"/>
            <w:shd w:val="clear" w:color="000000" w:fill="C4D79B"/>
            <w:vAlign w:val="bottom"/>
            <w:hideMark/>
          </w:tcPr>
          <w:p w:rsidR="009D3E3A" w:rsidRPr="009D4CE6" w:rsidRDefault="009D3E3A" w:rsidP="003611E5">
            <w:pPr>
              <w:jc w:val="center"/>
              <w:rPr>
                <w:b/>
                <w:bCs/>
                <w:color w:val="000000"/>
                <w:sz w:val="16"/>
                <w:szCs w:val="16"/>
              </w:rPr>
            </w:pPr>
            <w:r w:rsidRPr="009D4CE6">
              <w:rPr>
                <w:b/>
                <w:bCs/>
                <w:color w:val="000000"/>
                <w:sz w:val="16"/>
                <w:szCs w:val="16"/>
              </w:rPr>
              <w:t>Certifikované prostředky (včetně vratek)</w:t>
            </w:r>
          </w:p>
        </w:tc>
      </w:tr>
      <w:tr w:rsidR="009D3E3A" w:rsidRPr="009D4CE6" w:rsidTr="007C3920">
        <w:trPr>
          <w:trHeight w:val="300"/>
        </w:trPr>
        <w:tc>
          <w:tcPr>
            <w:tcW w:w="571" w:type="pct"/>
            <w:vMerge/>
            <w:vAlign w:val="center"/>
            <w:hideMark/>
          </w:tcPr>
          <w:p w:rsidR="009D3E3A" w:rsidRPr="009D4CE6" w:rsidRDefault="009D3E3A" w:rsidP="007C3920">
            <w:pPr>
              <w:rPr>
                <w:b/>
                <w:bCs/>
                <w:color w:val="000000"/>
                <w:sz w:val="16"/>
                <w:szCs w:val="16"/>
              </w:rPr>
            </w:pPr>
          </w:p>
        </w:tc>
        <w:tc>
          <w:tcPr>
            <w:tcW w:w="434" w:type="pct"/>
            <w:vMerge/>
            <w:vAlign w:val="center"/>
            <w:hideMark/>
          </w:tcPr>
          <w:p w:rsidR="009D3E3A" w:rsidRPr="009D4CE6" w:rsidRDefault="009D3E3A" w:rsidP="007C3920">
            <w:pPr>
              <w:rPr>
                <w:b/>
                <w:bCs/>
                <w:color w:val="000000"/>
                <w:sz w:val="16"/>
                <w:szCs w:val="16"/>
              </w:rPr>
            </w:pPr>
          </w:p>
        </w:tc>
        <w:tc>
          <w:tcPr>
            <w:tcW w:w="645"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EUR</w:t>
            </w:r>
          </w:p>
        </w:tc>
        <w:tc>
          <w:tcPr>
            <w:tcW w:w="720"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EUR</w:t>
            </w:r>
          </w:p>
        </w:tc>
        <w:tc>
          <w:tcPr>
            <w:tcW w:w="449"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w:t>
            </w:r>
          </w:p>
        </w:tc>
        <w:tc>
          <w:tcPr>
            <w:tcW w:w="636"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EUR</w:t>
            </w:r>
          </w:p>
        </w:tc>
        <w:tc>
          <w:tcPr>
            <w:tcW w:w="439"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w:t>
            </w:r>
          </w:p>
        </w:tc>
        <w:tc>
          <w:tcPr>
            <w:tcW w:w="599"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EUR</w:t>
            </w:r>
          </w:p>
        </w:tc>
        <w:tc>
          <w:tcPr>
            <w:tcW w:w="507"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w:t>
            </w:r>
          </w:p>
        </w:tc>
      </w:tr>
      <w:tr w:rsidR="009D3E3A" w:rsidRPr="009D4CE6" w:rsidTr="007C3920">
        <w:trPr>
          <w:trHeight w:val="300"/>
        </w:trPr>
        <w:tc>
          <w:tcPr>
            <w:tcW w:w="571" w:type="pct"/>
            <w:vMerge/>
            <w:vAlign w:val="center"/>
            <w:hideMark/>
          </w:tcPr>
          <w:p w:rsidR="009D3E3A" w:rsidRPr="009D4CE6" w:rsidRDefault="009D3E3A" w:rsidP="007C3920">
            <w:pPr>
              <w:rPr>
                <w:b/>
                <w:bCs/>
                <w:color w:val="000000"/>
                <w:sz w:val="16"/>
                <w:szCs w:val="16"/>
              </w:rPr>
            </w:pPr>
          </w:p>
        </w:tc>
        <w:tc>
          <w:tcPr>
            <w:tcW w:w="434" w:type="pct"/>
            <w:vMerge/>
            <w:vAlign w:val="center"/>
            <w:hideMark/>
          </w:tcPr>
          <w:p w:rsidR="009D3E3A" w:rsidRPr="009D4CE6" w:rsidRDefault="009D3E3A" w:rsidP="007C3920">
            <w:pPr>
              <w:rPr>
                <w:b/>
                <w:bCs/>
                <w:color w:val="000000"/>
                <w:sz w:val="16"/>
                <w:szCs w:val="16"/>
              </w:rPr>
            </w:pPr>
          </w:p>
        </w:tc>
        <w:tc>
          <w:tcPr>
            <w:tcW w:w="645"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 xml:space="preserve">a </w:t>
            </w:r>
          </w:p>
        </w:tc>
        <w:tc>
          <w:tcPr>
            <w:tcW w:w="720"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 xml:space="preserve">b </w:t>
            </w:r>
          </w:p>
        </w:tc>
        <w:tc>
          <w:tcPr>
            <w:tcW w:w="449"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 xml:space="preserve">b/a </w:t>
            </w:r>
          </w:p>
        </w:tc>
        <w:tc>
          <w:tcPr>
            <w:tcW w:w="636"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 xml:space="preserve">c </w:t>
            </w:r>
          </w:p>
        </w:tc>
        <w:tc>
          <w:tcPr>
            <w:tcW w:w="439"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 xml:space="preserve">c/a </w:t>
            </w:r>
          </w:p>
        </w:tc>
        <w:tc>
          <w:tcPr>
            <w:tcW w:w="599"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 xml:space="preserve">d </w:t>
            </w:r>
          </w:p>
        </w:tc>
        <w:tc>
          <w:tcPr>
            <w:tcW w:w="507" w:type="pct"/>
            <w:shd w:val="clear" w:color="000000" w:fill="C4D79B"/>
            <w:vAlign w:val="bottom"/>
            <w:hideMark/>
          </w:tcPr>
          <w:p w:rsidR="009D3E3A" w:rsidRPr="009D4CE6" w:rsidRDefault="009D3E3A" w:rsidP="007C3920">
            <w:pPr>
              <w:jc w:val="center"/>
              <w:rPr>
                <w:b/>
                <w:bCs/>
                <w:color w:val="000000"/>
                <w:sz w:val="16"/>
                <w:szCs w:val="16"/>
              </w:rPr>
            </w:pPr>
            <w:r w:rsidRPr="009D4CE6">
              <w:rPr>
                <w:b/>
                <w:bCs/>
                <w:color w:val="000000"/>
                <w:sz w:val="16"/>
                <w:szCs w:val="16"/>
              </w:rPr>
              <w:t xml:space="preserve">d/a </w:t>
            </w:r>
          </w:p>
        </w:tc>
      </w:tr>
      <w:tr w:rsidR="009D3E3A" w:rsidRPr="009D4CE6" w:rsidTr="007C3920">
        <w:trPr>
          <w:trHeight w:val="300"/>
        </w:trPr>
        <w:tc>
          <w:tcPr>
            <w:tcW w:w="571"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1a</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1.1a</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290 942 083</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248 816 949</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85,5%</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190 007 908</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65,3%</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185 668 351</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63,8%</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1a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290 942 083</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248 816 949</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85,5%</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190 007 908</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65,3%</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185 668 351</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63,8%</w:t>
            </w:r>
          </w:p>
        </w:tc>
      </w:tr>
      <w:tr w:rsidR="009D3E3A" w:rsidRPr="009D4CE6" w:rsidTr="007C3920">
        <w:trPr>
          <w:trHeight w:val="300"/>
        </w:trPr>
        <w:tc>
          <w:tcPr>
            <w:tcW w:w="571"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1b</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1.1b</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22 380 161</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19 139 766</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85,5%</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14 615 891</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65,3%</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14 282 181</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63,8%</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1b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22 380 161</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19 139 766</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85,5%</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14 615 891</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65,3%</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14 282 181</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63,8%</w:t>
            </w:r>
          </w:p>
        </w:tc>
      </w:tr>
      <w:tr w:rsidR="009D3E3A" w:rsidRPr="009D4CE6" w:rsidTr="007C3920">
        <w:trPr>
          <w:trHeight w:val="300"/>
        </w:trPr>
        <w:tc>
          <w:tcPr>
            <w:tcW w:w="571"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2</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2.1</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148 510 867</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155 964 076</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105,0%</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93 841 502</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63,2%</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93 595 972</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63,0%</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2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148 510 867</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155 964 076</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105,0%</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93 841 502</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63,2%</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93 595 972</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63,0%</w:t>
            </w:r>
          </w:p>
        </w:tc>
      </w:tr>
      <w:tr w:rsidR="009D3E3A" w:rsidRPr="009D4CE6" w:rsidTr="007C3920">
        <w:trPr>
          <w:trHeight w:val="300"/>
        </w:trPr>
        <w:tc>
          <w:tcPr>
            <w:tcW w:w="571" w:type="pct"/>
            <w:vMerge w:val="restar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3</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3.1</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54 643 234</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50 275 563</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92,0%</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25 939 530</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47,5%</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24 909 164</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45,6%</w:t>
            </w:r>
          </w:p>
        </w:tc>
      </w:tr>
      <w:tr w:rsidR="009D3E3A" w:rsidRPr="009D4CE6" w:rsidTr="007C3920">
        <w:trPr>
          <w:trHeight w:val="300"/>
        </w:trPr>
        <w:tc>
          <w:tcPr>
            <w:tcW w:w="571" w:type="pct"/>
            <w:vMerge/>
            <w:vAlign w:val="center"/>
            <w:hideMark/>
          </w:tcPr>
          <w:p w:rsidR="009D3E3A" w:rsidRPr="009D4CE6" w:rsidRDefault="009D3E3A" w:rsidP="007C3920">
            <w:pPr>
              <w:jc w:val="center"/>
              <w:rPr>
                <w:color w:val="000000"/>
                <w:sz w:val="16"/>
                <w:szCs w:val="16"/>
              </w:rPr>
            </w:pP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3.2</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248 481 706</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234 739 988</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94,5%</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185 141 766</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74,5%</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178 699 090</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71,9%</w:t>
            </w:r>
          </w:p>
        </w:tc>
      </w:tr>
      <w:tr w:rsidR="009D3E3A" w:rsidRPr="009D4CE6" w:rsidTr="007C3920">
        <w:trPr>
          <w:trHeight w:val="300"/>
        </w:trPr>
        <w:tc>
          <w:tcPr>
            <w:tcW w:w="571" w:type="pct"/>
            <w:vMerge/>
            <w:vAlign w:val="center"/>
            <w:hideMark/>
          </w:tcPr>
          <w:p w:rsidR="009D3E3A" w:rsidRPr="009D4CE6" w:rsidRDefault="009D3E3A" w:rsidP="007C3920">
            <w:pPr>
              <w:jc w:val="center"/>
              <w:rPr>
                <w:color w:val="000000"/>
                <w:sz w:val="16"/>
                <w:szCs w:val="16"/>
              </w:rPr>
            </w:pP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3.3</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40 206 551</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29 278 406</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72,8%</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20 724 148</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51,5%</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20 724 148</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51,5%</w:t>
            </w:r>
          </w:p>
        </w:tc>
      </w:tr>
      <w:tr w:rsidR="009D3E3A" w:rsidRPr="009D4CE6" w:rsidTr="007C3920">
        <w:trPr>
          <w:trHeight w:val="300"/>
        </w:trPr>
        <w:tc>
          <w:tcPr>
            <w:tcW w:w="571" w:type="pct"/>
            <w:vMerge/>
            <w:vAlign w:val="center"/>
            <w:hideMark/>
          </w:tcPr>
          <w:p w:rsidR="009D3E3A" w:rsidRPr="009D4CE6" w:rsidRDefault="009D3E3A" w:rsidP="007C3920">
            <w:pPr>
              <w:jc w:val="center"/>
              <w:rPr>
                <w:color w:val="000000"/>
                <w:sz w:val="16"/>
                <w:szCs w:val="16"/>
              </w:rPr>
            </w:pP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3.4</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271 286 569</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272 739 157</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100,5%</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100 241 681</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37,0%</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100 236 623</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36,9%</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3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614 618 060</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587 033 114</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95,5%</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332 047 125</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54,0%</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324 569 025</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52,8%</w:t>
            </w:r>
          </w:p>
        </w:tc>
      </w:tr>
      <w:tr w:rsidR="009D3E3A" w:rsidRPr="009D4CE6" w:rsidTr="007C3920">
        <w:trPr>
          <w:trHeight w:val="300"/>
        </w:trPr>
        <w:tc>
          <w:tcPr>
            <w:tcW w:w="571"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4a</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4.1a</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60 567 416</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58 493 535</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96,6%</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39 339 685</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65,0%</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39 084 850</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64,5%</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4a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60 567 416</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58 493 535</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96,6%</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39 339 685</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65,0%</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39 084 850</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64,5%</w:t>
            </w:r>
          </w:p>
        </w:tc>
      </w:tr>
      <w:tr w:rsidR="009D3E3A" w:rsidRPr="009D4CE6" w:rsidTr="007C3920">
        <w:trPr>
          <w:trHeight w:val="300"/>
        </w:trPr>
        <w:tc>
          <w:tcPr>
            <w:tcW w:w="571"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4b</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4.1b</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3 100 775</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4 527 402</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146,0%</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3 026 018</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97,6%</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3 006 419</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97,0%</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4b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3 100 775</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4 527 402</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146,0%</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3 026 018</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97,6%</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3 006 419</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97,0%</w:t>
            </w:r>
          </w:p>
        </w:tc>
      </w:tr>
      <w:tr w:rsidR="009D3E3A" w:rsidRPr="009D4CE6" w:rsidTr="007C3920">
        <w:trPr>
          <w:trHeight w:val="300"/>
        </w:trPr>
        <w:tc>
          <w:tcPr>
            <w:tcW w:w="571" w:type="pct"/>
            <w:vMerge w:val="restar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5</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5.1</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213 735 411</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213 976 932</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100,1%</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140 175 543</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65,6%</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139 329 506</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65,2%</w:t>
            </w:r>
          </w:p>
        </w:tc>
      </w:tr>
      <w:tr w:rsidR="009D3E3A" w:rsidRPr="009D4CE6" w:rsidTr="007C3920">
        <w:trPr>
          <w:trHeight w:val="300"/>
        </w:trPr>
        <w:tc>
          <w:tcPr>
            <w:tcW w:w="571" w:type="pct"/>
            <w:vMerge/>
            <w:vAlign w:val="center"/>
            <w:hideMark/>
          </w:tcPr>
          <w:p w:rsidR="009D3E3A" w:rsidRPr="009D4CE6" w:rsidRDefault="009D3E3A" w:rsidP="007C3920">
            <w:pPr>
              <w:jc w:val="center"/>
              <w:rPr>
                <w:color w:val="000000"/>
                <w:sz w:val="16"/>
                <w:szCs w:val="16"/>
              </w:rPr>
            </w:pP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5.2</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213 377 956</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214 304 155</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100,4%</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164 783 694</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77,2%</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164 091 810</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76,9%</w:t>
            </w:r>
          </w:p>
        </w:tc>
      </w:tr>
      <w:tr w:rsidR="009D3E3A" w:rsidRPr="009D4CE6" w:rsidTr="007C3920">
        <w:trPr>
          <w:trHeight w:val="300"/>
        </w:trPr>
        <w:tc>
          <w:tcPr>
            <w:tcW w:w="571" w:type="pct"/>
            <w:vMerge/>
            <w:vAlign w:val="center"/>
            <w:hideMark/>
          </w:tcPr>
          <w:p w:rsidR="009D3E3A" w:rsidRPr="009D4CE6" w:rsidRDefault="009D3E3A" w:rsidP="007C3920">
            <w:pPr>
              <w:jc w:val="center"/>
              <w:rPr>
                <w:color w:val="000000"/>
                <w:sz w:val="16"/>
                <w:szCs w:val="16"/>
              </w:rPr>
            </w:pP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5.3</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15 530 107</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15 694 152</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101,1%</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15 621 840</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100,6%</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15 472 304</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99,6%</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5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442 643 474</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443 975 239</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100,3%</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320 581 077</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72,4%</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318 893 620</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72,0%</w:t>
            </w:r>
          </w:p>
        </w:tc>
      </w:tr>
      <w:tr w:rsidR="009D3E3A" w:rsidRPr="009D4CE6" w:rsidTr="007C3920">
        <w:trPr>
          <w:trHeight w:val="300"/>
        </w:trPr>
        <w:tc>
          <w:tcPr>
            <w:tcW w:w="571" w:type="pct"/>
            <w:vMerge w:val="restar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6a</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6.1a</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27 177 687</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28 781 894</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105,9%</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21 474 152</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79,0%</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20 369 911</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75,0%</w:t>
            </w:r>
          </w:p>
        </w:tc>
      </w:tr>
      <w:tr w:rsidR="009D3E3A" w:rsidRPr="009D4CE6" w:rsidTr="007C3920">
        <w:trPr>
          <w:trHeight w:val="300"/>
        </w:trPr>
        <w:tc>
          <w:tcPr>
            <w:tcW w:w="571" w:type="pct"/>
            <w:vMerge/>
            <w:vAlign w:val="center"/>
            <w:hideMark/>
          </w:tcPr>
          <w:p w:rsidR="009D3E3A" w:rsidRPr="009D4CE6" w:rsidRDefault="009D3E3A" w:rsidP="007C3920">
            <w:pPr>
              <w:jc w:val="center"/>
              <w:rPr>
                <w:color w:val="000000"/>
                <w:sz w:val="16"/>
                <w:szCs w:val="16"/>
              </w:rPr>
            </w:pP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6.2a</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6 897 100</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7 040 213</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102,1%</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3 901 724</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56,6%</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3 838 911</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55,7%</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6a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34 074 787</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35 822 107</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105,1%</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25 375 875</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74,5%</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24 208 822</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71,0%</w:t>
            </w:r>
          </w:p>
        </w:tc>
      </w:tr>
      <w:tr w:rsidR="009D3E3A" w:rsidRPr="009D4CE6" w:rsidTr="007C3920">
        <w:trPr>
          <w:trHeight w:val="300"/>
        </w:trPr>
        <w:tc>
          <w:tcPr>
            <w:tcW w:w="571" w:type="pct"/>
            <w:vMerge w:val="restar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6b</w:t>
            </w: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6.1b</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499 612</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529 149</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105,9%</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394 894</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79,0%</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374 592</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75,0%</w:t>
            </w:r>
          </w:p>
        </w:tc>
      </w:tr>
      <w:tr w:rsidR="009D3E3A" w:rsidRPr="009D4CE6" w:rsidTr="007C3920">
        <w:trPr>
          <w:trHeight w:val="300"/>
        </w:trPr>
        <w:tc>
          <w:tcPr>
            <w:tcW w:w="571" w:type="pct"/>
            <w:vMerge/>
            <w:vAlign w:val="center"/>
            <w:hideMark/>
          </w:tcPr>
          <w:p w:rsidR="009D3E3A" w:rsidRPr="009D4CE6" w:rsidRDefault="009D3E3A" w:rsidP="007C3920">
            <w:pPr>
              <w:jc w:val="center"/>
              <w:rPr>
                <w:color w:val="000000"/>
                <w:sz w:val="16"/>
                <w:szCs w:val="16"/>
              </w:rPr>
            </w:pPr>
          </w:p>
        </w:tc>
        <w:tc>
          <w:tcPr>
            <w:tcW w:w="434" w:type="pct"/>
            <w:shd w:val="clear" w:color="000000" w:fill="FFFFFF"/>
            <w:vAlign w:val="center"/>
            <w:hideMark/>
          </w:tcPr>
          <w:p w:rsidR="009D3E3A" w:rsidRPr="009D4CE6" w:rsidRDefault="009D3E3A" w:rsidP="007C3920">
            <w:pPr>
              <w:jc w:val="center"/>
              <w:rPr>
                <w:color w:val="000000"/>
                <w:sz w:val="16"/>
                <w:szCs w:val="16"/>
              </w:rPr>
            </w:pPr>
            <w:r w:rsidRPr="009D4CE6">
              <w:rPr>
                <w:color w:val="000000"/>
                <w:sz w:val="16"/>
                <w:szCs w:val="16"/>
              </w:rPr>
              <w:t>6.2b</w:t>
            </w:r>
          </w:p>
        </w:tc>
        <w:tc>
          <w:tcPr>
            <w:tcW w:w="645"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126 816</w:t>
            </w:r>
          </w:p>
        </w:tc>
        <w:tc>
          <w:tcPr>
            <w:tcW w:w="720"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129 433</w:t>
            </w:r>
          </w:p>
        </w:tc>
        <w:tc>
          <w:tcPr>
            <w:tcW w:w="44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102,1%</w:t>
            </w:r>
          </w:p>
        </w:tc>
        <w:tc>
          <w:tcPr>
            <w:tcW w:w="636"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71 763</w:t>
            </w:r>
          </w:p>
        </w:tc>
        <w:tc>
          <w:tcPr>
            <w:tcW w:w="43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56,6%</w:t>
            </w:r>
          </w:p>
        </w:tc>
        <w:tc>
          <w:tcPr>
            <w:tcW w:w="599"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70 600</w:t>
            </w:r>
          </w:p>
        </w:tc>
        <w:tc>
          <w:tcPr>
            <w:tcW w:w="507" w:type="pct"/>
            <w:shd w:val="clear" w:color="000000" w:fill="FFFFFF"/>
            <w:noWrap/>
            <w:vAlign w:val="center"/>
            <w:hideMark/>
          </w:tcPr>
          <w:p w:rsidR="009D3E3A" w:rsidRPr="009D4CE6" w:rsidRDefault="009D3E3A" w:rsidP="007C3920">
            <w:pPr>
              <w:jc w:val="center"/>
              <w:rPr>
                <w:color w:val="000000"/>
                <w:sz w:val="16"/>
                <w:szCs w:val="16"/>
              </w:rPr>
            </w:pPr>
            <w:r w:rsidRPr="009D4CE6">
              <w:rPr>
                <w:color w:val="000000"/>
                <w:sz w:val="16"/>
                <w:szCs w:val="16"/>
              </w:rPr>
              <w:t>55,7%</w:t>
            </w:r>
          </w:p>
        </w:tc>
      </w:tr>
      <w:tr w:rsidR="009D3E3A" w:rsidRPr="009D4CE6" w:rsidTr="007C3920">
        <w:trPr>
          <w:trHeight w:val="315"/>
        </w:trPr>
        <w:tc>
          <w:tcPr>
            <w:tcW w:w="571" w:type="pct"/>
            <w:shd w:val="clear" w:color="000000" w:fill="D8E4BC"/>
            <w:vAlign w:val="center"/>
            <w:hideMark/>
          </w:tcPr>
          <w:p w:rsidR="009D3E3A" w:rsidRPr="009D4CE6" w:rsidRDefault="009D3E3A" w:rsidP="007C3920">
            <w:pPr>
              <w:jc w:val="center"/>
              <w:rPr>
                <w:b/>
                <w:bCs/>
                <w:color w:val="000000"/>
                <w:sz w:val="16"/>
                <w:szCs w:val="16"/>
              </w:rPr>
            </w:pPr>
            <w:r w:rsidRPr="009D4CE6">
              <w:rPr>
                <w:b/>
                <w:bCs/>
                <w:color w:val="000000"/>
                <w:sz w:val="16"/>
                <w:szCs w:val="16"/>
              </w:rPr>
              <w:t>6b Celkem</w:t>
            </w:r>
          </w:p>
        </w:tc>
        <w:tc>
          <w:tcPr>
            <w:tcW w:w="434" w:type="pct"/>
            <w:shd w:val="clear" w:color="000000" w:fill="D8E4BC"/>
            <w:vAlign w:val="center"/>
            <w:hideMark/>
          </w:tcPr>
          <w:p w:rsidR="009D3E3A" w:rsidRPr="009D4CE6" w:rsidRDefault="009D3E3A" w:rsidP="007C3920">
            <w:pPr>
              <w:jc w:val="center"/>
              <w:rPr>
                <w:b/>
                <w:bCs/>
                <w:color w:val="000000"/>
                <w:sz w:val="16"/>
                <w:szCs w:val="16"/>
              </w:rPr>
            </w:pPr>
          </w:p>
        </w:tc>
        <w:tc>
          <w:tcPr>
            <w:tcW w:w="645"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626 428</w:t>
            </w:r>
          </w:p>
        </w:tc>
        <w:tc>
          <w:tcPr>
            <w:tcW w:w="720"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658 583</w:t>
            </w:r>
          </w:p>
        </w:tc>
        <w:tc>
          <w:tcPr>
            <w:tcW w:w="44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105,1%</w:t>
            </w:r>
          </w:p>
        </w:tc>
        <w:tc>
          <w:tcPr>
            <w:tcW w:w="636"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466 657</w:t>
            </w:r>
          </w:p>
        </w:tc>
        <w:tc>
          <w:tcPr>
            <w:tcW w:w="43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74,5%</w:t>
            </w:r>
          </w:p>
        </w:tc>
        <w:tc>
          <w:tcPr>
            <w:tcW w:w="599"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445 192</w:t>
            </w:r>
          </w:p>
        </w:tc>
        <w:tc>
          <w:tcPr>
            <w:tcW w:w="507" w:type="pct"/>
            <w:shd w:val="clear" w:color="000000" w:fill="D8E4BC"/>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71,1%</w:t>
            </w:r>
          </w:p>
        </w:tc>
      </w:tr>
      <w:tr w:rsidR="009D3E3A" w:rsidRPr="009D4CE6" w:rsidTr="007C3920">
        <w:trPr>
          <w:trHeight w:val="315"/>
        </w:trPr>
        <w:tc>
          <w:tcPr>
            <w:tcW w:w="571" w:type="pct"/>
            <w:shd w:val="clear" w:color="000000" w:fill="FFFFFF"/>
            <w:vAlign w:val="center"/>
            <w:hideMark/>
          </w:tcPr>
          <w:p w:rsidR="009D3E3A" w:rsidRPr="009D4CE6" w:rsidRDefault="009D3E3A" w:rsidP="007C3920">
            <w:pPr>
              <w:jc w:val="center"/>
              <w:rPr>
                <w:b/>
                <w:bCs/>
                <w:color w:val="000000"/>
                <w:sz w:val="16"/>
                <w:szCs w:val="16"/>
              </w:rPr>
            </w:pPr>
            <w:r w:rsidRPr="009D4CE6">
              <w:rPr>
                <w:b/>
                <w:bCs/>
                <w:color w:val="000000"/>
                <w:sz w:val="16"/>
                <w:szCs w:val="16"/>
              </w:rPr>
              <w:t>Celkem za IOP</w:t>
            </w:r>
          </w:p>
        </w:tc>
        <w:tc>
          <w:tcPr>
            <w:tcW w:w="434" w:type="pct"/>
            <w:shd w:val="clear" w:color="000000" w:fill="FFFFFF"/>
            <w:vAlign w:val="center"/>
            <w:hideMark/>
          </w:tcPr>
          <w:p w:rsidR="009D3E3A" w:rsidRPr="009D4CE6" w:rsidRDefault="009D3E3A" w:rsidP="007C3920">
            <w:pPr>
              <w:jc w:val="center"/>
              <w:rPr>
                <w:b/>
                <w:bCs/>
                <w:color w:val="000000"/>
                <w:sz w:val="16"/>
                <w:szCs w:val="16"/>
              </w:rPr>
            </w:pPr>
          </w:p>
        </w:tc>
        <w:tc>
          <w:tcPr>
            <w:tcW w:w="645" w:type="pct"/>
            <w:shd w:val="clear" w:color="000000" w:fill="FFFFFF"/>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1 617 464 051</w:t>
            </w:r>
          </w:p>
        </w:tc>
        <w:tc>
          <w:tcPr>
            <w:tcW w:w="720" w:type="pct"/>
            <w:shd w:val="clear" w:color="000000" w:fill="FFFFFF"/>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1 554 430 771</w:t>
            </w:r>
          </w:p>
        </w:tc>
        <w:tc>
          <w:tcPr>
            <w:tcW w:w="449" w:type="pct"/>
            <w:shd w:val="clear" w:color="000000" w:fill="FFFFFF"/>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96,1%</w:t>
            </w:r>
          </w:p>
        </w:tc>
        <w:tc>
          <w:tcPr>
            <w:tcW w:w="636" w:type="pct"/>
            <w:shd w:val="clear" w:color="000000" w:fill="FFFFFF"/>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1 019 301 739</w:t>
            </w:r>
          </w:p>
        </w:tc>
        <w:tc>
          <w:tcPr>
            <w:tcW w:w="439" w:type="pct"/>
            <w:shd w:val="clear" w:color="000000" w:fill="FFFFFF"/>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63,0%</w:t>
            </w:r>
          </w:p>
        </w:tc>
        <w:tc>
          <w:tcPr>
            <w:tcW w:w="599" w:type="pct"/>
            <w:shd w:val="clear" w:color="000000" w:fill="FFFFFF"/>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1 003 754 432</w:t>
            </w:r>
          </w:p>
        </w:tc>
        <w:tc>
          <w:tcPr>
            <w:tcW w:w="507" w:type="pct"/>
            <w:shd w:val="clear" w:color="000000" w:fill="FFFFFF"/>
            <w:noWrap/>
            <w:vAlign w:val="center"/>
            <w:hideMark/>
          </w:tcPr>
          <w:p w:rsidR="009D3E3A" w:rsidRPr="009D4CE6" w:rsidRDefault="009D3E3A" w:rsidP="007C3920">
            <w:pPr>
              <w:jc w:val="center"/>
              <w:rPr>
                <w:b/>
                <w:bCs/>
                <w:color w:val="000000"/>
                <w:sz w:val="16"/>
                <w:szCs w:val="16"/>
              </w:rPr>
            </w:pPr>
            <w:r w:rsidRPr="009D4CE6">
              <w:rPr>
                <w:b/>
                <w:bCs/>
                <w:color w:val="000000"/>
                <w:sz w:val="16"/>
                <w:szCs w:val="16"/>
              </w:rPr>
              <w:t>62,1%</w:t>
            </w:r>
          </w:p>
        </w:tc>
      </w:tr>
    </w:tbl>
    <w:p w:rsidR="002F4D9E" w:rsidRDefault="00A75862" w:rsidP="00706017">
      <w:pPr>
        <w:jc w:val="both"/>
        <w:rPr>
          <w:i/>
          <w:color w:val="000000"/>
          <w:sz w:val="18"/>
          <w:szCs w:val="18"/>
        </w:rPr>
      </w:pPr>
      <w:r w:rsidRPr="000435AC">
        <w:rPr>
          <w:i/>
          <w:color w:val="000000"/>
          <w:sz w:val="18"/>
          <w:szCs w:val="18"/>
        </w:rPr>
        <w:t xml:space="preserve">Zdroj MSC2007  ke dni </w:t>
      </w:r>
      <w:r w:rsidR="00EE20BF" w:rsidRPr="000435AC">
        <w:rPr>
          <w:i/>
          <w:color w:val="000000"/>
          <w:sz w:val="18"/>
          <w:szCs w:val="18"/>
        </w:rPr>
        <w:t>31. 12. 2014</w:t>
      </w:r>
      <w:r w:rsidR="002F4D9E">
        <w:rPr>
          <w:i/>
          <w:color w:val="000000"/>
          <w:sz w:val="18"/>
          <w:szCs w:val="18"/>
        </w:rPr>
        <w:t>; kurz CZK/EUR: 27,728</w:t>
      </w:r>
      <w:r w:rsidRPr="000435AC">
        <w:rPr>
          <w:i/>
          <w:color w:val="000000"/>
          <w:sz w:val="18"/>
          <w:szCs w:val="18"/>
        </w:rPr>
        <w:t xml:space="preserve">; </w:t>
      </w:r>
    </w:p>
    <w:p w:rsidR="0060143E" w:rsidRDefault="003F4DB5" w:rsidP="002F4D9E">
      <w:pPr>
        <w:jc w:val="both"/>
        <w:rPr>
          <w:sz w:val="22"/>
          <w:szCs w:val="22"/>
        </w:rPr>
      </w:pPr>
      <w:r>
        <w:rPr>
          <w:i/>
          <w:color w:val="000000"/>
          <w:sz w:val="18"/>
          <w:szCs w:val="18"/>
        </w:rPr>
        <w:t>z</w:t>
      </w:r>
      <w:r w:rsidR="00A75862" w:rsidRPr="000435AC">
        <w:rPr>
          <w:i/>
          <w:color w:val="000000"/>
          <w:sz w:val="18"/>
          <w:szCs w:val="18"/>
        </w:rPr>
        <w:t xml:space="preserve">droj financování: </w:t>
      </w:r>
      <w:r>
        <w:rPr>
          <w:i/>
          <w:color w:val="000000"/>
          <w:sz w:val="18"/>
          <w:szCs w:val="18"/>
        </w:rPr>
        <w:t>p</w:t>
      </w:r>
      <w:r w:rsidR="00A75862" w:rsidRPr="000435AC">
        <w:rPr>
          <w:i/>
          <w:color w:val="000000"/>
          <w:sz w:val="18"/>
          <w:szCs w:val="18"/>
        </w:rPr>
        <w:t>odíl EU</w:t>
      </w:r>
    </w:p>
    <w:p w:rsidR="00C92C15" w:rsidRDefault="00C92C15" w:rsidP="008C4750">
      <w:pPr>
        <w:spacing w:after="240"/>
        <w:jc w:val="both"/>
        <w:rPr>
          <w:sz w:val="22"/>
          <w:szCs w:val="22"/>
        </w:rPr>
      </w:pPr>
    </w:p>
    <w:p w:rsidR="003624E9" w:rsidRDefault="007673DF" w:rsidP="008C4750">
      <w:pPr>
        <w:spacing w:after="240"/>
        <w:jc w:val="both"/>
        <w:rPr>
          <w:sz w:val="22"/>
          <w:szCs w:val="22"/>
        </w:rPr>
      </w:pPr>
      <w:r w:rsidRPr="003A297F">
        <w:rPr>
          <w:sz w:val="22"/>
          <w:szCs w:val="22"/>
        </w:rPr>
        <w:t>Zhodnocení vývoje v jednotlivých oblastech intervence v roce 201</w:t>
      </w:r>
      <w:r w:rsidR="003A297F" w:rsidRPr="003A297F">
        <w:rPr>
          <w:sz w:val="22"/>
          <w:szCs w:val="22"/>
        </w:rPr>
        <w:t>4</w:t>
      </w:r>
      <w:r w:rsidRPr="003A297F">
        <w:rPr>
          <w:sz w:val="22"/>
          <w:szCs w:val="22"/>
        </w:rPr>
        <w:t xml:space="preserve"> je uvedeno v kapitole 3 Provádění programu podle prioritních os.</w:t>
      </w:r>
    </w:p>
    <w:p w:rsidR="00015234" w:rsidRDefault="00015234" w:rsidP="00015234">
      <w:pPr>
        <w:jc w:val="both"/>
        <w:rPr>
          <w:sz w:val="22"/>
          <w:szCs w:val="22"/>
        </w:rPr>
      </w:pPr>
    </w:p>
    <w:p w:rsidR="00015234" w:rsidRDefault="00015234" w:rsidP="00015234">
      <w:pPr>
        <w:jc w:val="both"/>
        <w:rPr>
          <w:sz w:val="22"/>
          <w:szCs w:val="22"/>
        </w:rPr>
      </w:pPr>
    </w:p>
    <w:p w:rsidR="00015234" w:rsidRDefault="00015234" w:rsidP="00015234">
      <w:pPr>
        <w:jc w:val="both"/>
        <w:rPr>
          <w:sz w:val="22"/>
          <w:szCs w:val="22"/>
        </w:rPr>
      </w:pPr>
    </w:p>
    <w:p w:rsidR="00015234" w:rsidRDefault="00015234" w:rsidP="00015234">
      <w:pPr>
        <w:jc w:val="both"/>
        <w:rPr>
          <w:sz w:val="22"/>
          <w:szCs w:val="22"/>
        </w:rPr>
      </w:pPr>
    </w:p>
    <w:p w:rsidR="00015234" w:rsidRDefault="00015234" w:rsidP="00015234">
      <w:pPr>
        <w:jc w:val="both"/>
        <w:rPr>
          <w:sz w:val="22"/>
          <w:szCs w:val="22"/>
        </w:rPr>
      </w:pPr>
    </w:p>
    <w:p w:rsidR="00015234" w:rsidRDefault="00015234" w:rsidP="00015234">
      <w:pPr>
        <w:jc w:val="both"/>
        <w:rPr>
          <w:sz w:val="22"/>
          <w:szCs w:val="22"/>
        </w:rPr>
      </w:pPr>
    </w:p>
    <w:p w:rsidR="00015234" w:rsidRDefault="00015234" w:rsidP="00015234">
      <w:pPr>
        <w:jc w:val="both"/>
        <w:rPr>
          <w:sz w:val="22"/>
          <w:szCs w:val="22"/>
        </w:rPr>
      </w:pPr>
    </w:p>
    <w:p w:rsidR="00015234" w:rsidRDefault="00015234" w:rsidP="00015234">
      <w:pPr>
        <w:jc w:val="both"/>
        <w:rPr>
          <w:sz w:val="22"/>
          <w:szCs w:val="22"/>
        </w:rPr>
      </w:pPr>
    </w:p>
    <w:p w:rsidR="00015234" w:rsidRDefault="00015234" w:rsidP="00015234">
      <w:pPr>
        <w:jc w:val="both"/>
        <w:rPr>
          <w:sz w:val="22"/>
          <w:szCs w:val="22"/>
        </w:rPr>
      </w:pPr>
      <w:r>
        <w:rPr>
          <w:sz w:val="22"/>
          <w:szCs w:val="22"/>
        </w:rPr>
        <w:lastRenderedPageBreak/>
        <w:t xml:space="preserve">Následující doplňková tabulka ukazuje finanční stav IOP v roce 2014 za celkové způsobilé výdaje. </w:t>
      </w:r>
      <w:r w:rsidR="00DF452A">
        <w:rPr>
          <w:sz w:val="22"/>
          <w:szCs w:val="22"/>
        </w:rPr>
        <w:t xml:space="preserve"> </w:t>
      </w:r>
      <w:r w:rsidR="00DF452A">
        <w:rPr>
          <w:sz w:val="22"/>
          <w:szCs w:val="22"/>
        </w:rPr>
        <w:br/>
        <w:t>U oblasti intervence 5.2 je podíl certi</w:t>
      </w:r>
      <w:r w:rsidR="00247745">
        <w:rPr>
          <w:sz w:val="22"/>
          <w:szCs w:val="22"/>
        </w:rPr>
        <w:t>fi</w:t>
      </w:r>
      <w:r w:rsidR="00DF452A">
        <w:rPr>
          <w:sz w:val="22"/>
          <w:szCs w:val="22"/>
        </w:rPr>
        <w:t>kovaných výdajů vyšší než alokace, konkrétně o 16,5 %. Tento stav je způsoben skutečností, že do celkových způsobilých výdajů jso</w:t>
      </w:r>
      <w:r w:rsidR="00D51420">
        <w:rPr>
          <w:sz w:val="22"/>
          <w:szCs w:val="22"/>
        </w:rPr>
        <w:t xml:space="preserve">u započítány i soukromé výdaje. </w:t>
      </w:r>
    </w:p>
    <w:p w:rsidR="00D51420" w:rsidRPr="000B4AE7" w:rsidRDefault="00D51420" w:rsidP="000B4AE7">
      <w:pPr>
        <w:jc w:val="both"/>
        <w:rPr>
          <w:sz w:val="22"/>
          <w:szCs w:val="22"/>
        </w:rPr>
      </w:pPr>
      <w:r>
        <w:rPr>
          <w:sz w:val="22"/>
          <w:szCs w:val="22"/>
        </w:rPr>
        <w:t xml:space="preserve">Tato změna ve vykazování výdajů byla součástí revize programového dokumentu IOP v roce 2013. Na základě této revize programového dokumentu je </w:t>
      </w:r>
      <w:r w:rsidRPr="000B4AE7">
        <w:rPr>
          <w:sz w:val="22"/>
          <w:szCs w:val="22"/>
        </w:rPr>
        <w:t xml:space="preserve">příspěvek EU v žádosti o platbu počítán jako % podíl z celkových způsobilých výdajů (tedy celkové veřejné + soukromé) na úrovni prioritní osy, přičemž ale v souladu s čl. 77, Nařízení 1083/2006, příspěvek EU nepřekročí výši celkových veřejných výdajů vykázaných ve výkazu výdajů na úrovni dané prioritní osy. </w:t>
      </w:r>
    </w:p>
    <w:p w:rsidR="00D51420" w:rsidRDefault="00D51420" w:rsidP="00015234">
      <w:pPr>
        <w:jc w:val="both"/>
        <w:rPr>
          <w:sz w:val="22"/>
          <w:szCs w:val="22"/>
        </w:rPr>
      </w:pPr>
    </w:p>
    <w:p w:rsidR="00015234" w:rsidRDefault="00015234" w:rsidP="00015234">
      <w:pPr>
        <w:jc w:val="both"/>
        <w:rPr>
          <w:sz w:val="22"/>
          <w:szCs w:val="22"/>
        </w:rPr>
      </w:pPr>
    </w:p>
    <w:p w:rsidR="009D3E3A" w:rsidRDefault="00DB0AD3" w:rsidP="00A92782">
      <w:pPr>
        <w:pStyle w:val="Tabulkanzev"/>
      </w:pPr>
      <w:bookmarkStart w:id="48" w:name="_Toc416431806"/>
      <w:r w:rsidRPr="00544C8C">
        <w:t xml:space="preserve">Finanční </w:t>
      </w:r>
      <w:r w:rsidR="00700A84">
        <w:t>stav</w:t>
      </w:r>
      <w:r w:rsidRPr="00544C8C">
        <w:t xml:space="preserve"> IOP</w:t>
      </w:r>
      <w:r w:rsidR="009D4CE6">
        <w:t xml:space="preserve"> v roce 2014</w:t>
      </w:r>
      <w:r w:rsidR="00700A84">
        <w:t xml:space="preserve"> (podíl</w:t>
      </w:r>
      <w:r w:rsidR="009D3E3A">
        <w:t xml:space="preserve"> CZV</w:t>
      </w:r>
      <w:r w:rsidR="00700A84">
        <w:t>)</w:t>
      </w:r>
      <w:bookmarkEnd w:id="48"/>
    </w:p>
    <w:tbl>
      <w:tblPr>
        <w:tblW w:w="5000" w:type="pct"/>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3"/>
        <w:gridCol w:w="1336"/>
        <w:gridCol w:w="1060"/>
        <w:gridCol w:w="1060"/>
        <w:gridCol w:w="660"/>
        <w:gridCol w:w="1060"/>
        <w:gridCol w:w="705"/>
        <w:gridCol w:w="1083"/>
        <w:gridCol w:w="1175"/>
      </w:tblGrid>
      <w:tr w:rsidR="009D3E3A" w:rsidRPr="006426F8" w:rsidTr="007C3920">
        <w:trPr>
          <w:trHeight w:val="675"/>
        </w:trPr>
        <w:tc>
          <w:tcPr>
            <w:tcW w:w="610" w:type="pct"/>
            <w:vMerge w:val="restart"/>
            <w:shd w:val="clear" w:color="000000" w:fill="C4D79B"/>
            <w:vAlign w:val="center"/>
            <w:hideMark/>
          </w:tcPr>
          <w:p w:rsidR="009D3E3A" w:rsidRPr="006426F8" w:rsidRDefault="009D3E3A" w:rsidP="007C3920">
            <w:pPr>
              <w:jc w:val="center"/>
              <w:rPr>
                <w:b/>
                <w:bCs/>
                <w:color w:val="000000"/>
                <w:sz w:val="16"/>
                <w:szCs w:val="16"/>
              </w:rPr>
            </w:pPr>
            <w:r w:rsidRPr="006426F8">
              <w:rPr>
                <w:b/>
                <w:bCs/>
                <w:color w:val="000000"/>
                <w:sz w:val="16"/>
                <w:szCs w:val="16"/>
              </w:rPr>
              <w:t>Prioritní osy</w:t>
            </w:r>
          </w:p>
        </w:tc>
        <w:tc>
          <w:tcPr>
            <w:tcW w:w="753" w:type="pct"/>
            <w:vMerge w:val="restart"/>
            <w:shd w:val="clear" w:color="000000" w:fill="C4D79B"/>
            <w:vAlign w:val="center"/>
            <w:hideMark/>
          </w:tcPr>
          <w:p w:rsidR="009D3E3A" w:rsidRPr="006426F8" w:rsidRDefault="009D3E3A" w:rsidP="007C3920">
            <w:pPr>
              <w:jc w:val="center"/>
              <w:rPr>
                <w:b/>
                <w:bCs/>
                <w:color w:val="000000"/>
                <w:sz w:val="16"/>
                <w:szCs w:val="16"/>
              </w:rPr>
            </w:pPr>
            <w:r w:rsidRPr="006426F8">
              <w:rPr>
                <w:b/>
                <w:bCs/>
                <w:color w:val="000000"/>
                <w:sz w:val="16"/>
                <w:szCs w:val="16"/>
              </w:rPr>
              <w:t>Oblast podpory</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Alokace podpory 2007-2013</w:t>
            </w:r>
          </w:p>
        </w:tc>
        <w:tc>
          <w:tcPr>
            <w:tcW w:w="893" w:type="pct"/>
            <w:gridSpan w:val="2"/>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Prostředky kryté Rozhodnutím / Smlouvou (dodatkem)</w:t>
            </w:r>
          </w:p>
        </w:tc>
        <w:tc>
          <w:tcPr>
            <w:tcW w:w="966" w:type="pct"/>
            <w:gridSpan w:val="2"/>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Proplacené prostředky příjemcům (vyúčtované prostředky)</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Certifikované výdaje (včetně vratek)</w:t>
            </w:r>
          </w:p>
        </w:tc>
        <w:tc>
          <w:tcPr>
            <w:tcW w:w="667" w:type="pct"/>
            <w:shd w:val="clear" w:color="000000" w:fill="C4D79B"/>
            <w:vAlign w:val="bottom"/>
            <w:hideMark/>
          </w:tcPr>
          <w:p w:rsidR="009D3E3A" w:rsidRPr="006426F8" w:rsidRDefault="009D3E3A" w:rsidP="007C3920">
            <w:pPr>
              <w:rPr>
                <w:b/>
                <w:bCs/>
                <w:color w:val="000000"/>
                <w:sz w:val="16"/>
                <w:szCs w:val="16"/>
              </w:rPr>
            </w:pPr>
            <w:r w:rsidRPr="006426F8">
              <w:rPr>
                <w:b/>
                <w:bCs/>
                <w:color w:val="000000"/>
                <w:sz w:val="16"/>
                <w:szCs w:val="16"/>
              </w:rPr>
              <w:t>Certifikované prostředky (včetně vratek)</w:t>
            </w:r>
          </w:p>
        </w:tc>
      </w:tr>
      <w:tr w:rsidR="009D3E3A" w:rsidRPr="006426F8" w:rsidTr="007C3920">
        <w:trPr>
          <w:trHeight w:val="315"/>
        </w:trPr>
        <w:tc>
          <w:tcPr>
            <w:tcW w:w="610" w:type="pct"/>
            <w:vMerge/>
            <w:vAlign w:val="center"/>
            <w:hideMark/>
          </w:tcPr>
          <w:p w:rsidR="009D3E3A" w:rsidRPr="006426F8" w:rsidRDefault="009D3E3A" w:rsidP="007C3920">
            <w:pPr>
              <w:rPr>
                <w:b/>
                <w:bCs/>
                <w:color w:val="000000"/>
                <w:sz w:val="16"/>
                <w:szCs w:val="16"/>
              </w:rPr>
            </w:pPr>
          </w:p>
        </w:tc>
        <w:tc>
          <w:tcPr>
            <w:tcW w:w="753" w:type="pct"/>
            <w:vMerge/>
            <w:vAlign w:val="center"/>
            <w:hideMark/>
          </w:tcPr>
          <w:p w:rsidR="009D3E3A" w:rsidRPr="006426F8" w:rsidRDefault="009D3E3A" w:rsidP="007C3920">
            <w:pPr>
              <w:rPr>
                <w:b/>
                <w:bCs/>
                <w:color w:val="000000"/>
                <w:sz w:val="16"/>
                <w:szCs w:val="16"/>
              </w:rPr>
            </w:pP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EUR</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EUR</w:t>
            </w:r>
          </w:p>
        </w:tc>
        <w:tc>
          <w:tcPr>
            <w:tcW w:w="338"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EUR</w:t>
            </w:r>
          </w:p>
        </w:tc>
        <w:tc>
          <w:tcPr>
            <w:tcW w:w="410"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EUR</w:t>
            </w:r>
          </w:p>
        </w:tc>
        <w:tc>
          <w:tcPr>
            <w:tcW w:w="667"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w:t>
            </w:r>
          </w:p>
        </w:tc>
      </w:tr>
      <w:tr w:rsidR="009D3E3A" w:rsidRPr="006426F8" w:rsidTr="007C3920">
        <w:trPr>
          <w:trHeight w:val="300"/>
        </w:trPr>
        <w:tc>
          <w:tcPr>
            <w:tcW w:w="610" w:type="pct"/>
            <w:vMerge/>
            <w:vAlign w:val="center"/>
            <w:hideMark/>
          </w:tcPr>
          <w:p w:rsidR="009D3E3A" w:rsidRPr="006426F8" w:rsidRDefault="009D3E3A" w:rsidP="007C3920">
            <w:pPr>
              <w:rPr>
                <w:b/>
                <w:bCs/>
                <w:color w:val="000000"/>
                <w:sz w:val="16"/>
                <w:szCs w:val="16"/>
              </w:rPr>
            </w:pPr>
          </w:p>
        </w:tc>
        <w:tc>
          <w:tcPr>
            <w:tcW w:w="753" w:type="pct"/>
            <w:vMerge/>
            <w:vAlign w:val="center"/>
            <w:hideMark/>
          </w:tcPr>
          <w:p w:rsidR="009D3E3A" w:rsidRPr="006426F8" w:rsidRDefault="009D3E3A" w:rsidP="007C3920">
            <w:pPr>
              <w:rPr>
                <w:b/>
                <w:bCs/>
                <w:color w:val="000000"/>
                <w:sz w:val="16"/>
                <w:szCs w:val="16"/>
              </w:rPr>
            </w:pP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 xml:space="preserve">a </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 xml:space="preserve">b </w:t>
            </w:r>
          </w:p>
        </w:tc>
        <w:tc>
          <w:tcPr>
            <w:tcW w:w="338"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 xml:space="preserve">b/a </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 xml:space="preserve">c </w:t>
            </w:r>
          </w:p>
        </w:tc>
        <w:tc>
          <w:tcPr>
            <w:tcW w:w="410"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 xml:space="preserve">c/a </w:t>
            </w:r>
          </w:p>
        </w:tc>
        <w:tc>
          <w:tcPr>
            <w:tcW w:w="556"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 xml:space="preserve">d </w:t>
            </w:r>
          </w:p>
        </w:tc>
        <w:tc>
          <w:tcPr>
            <w:tcW w:w="667" w:type="pct"/>
            <w:shd w:val="clear" w:color="000000" w:fill="C4D79B"/>
            <w:vAlign w:val="bottom"/>
            <w:hideMark/>
          </w:tcPr>
          <w:p w:rsidR="009D3E3A" w:rsidRPr="006426F8" w:rsidRDefault="009D3E3A" w:rsidP="007C3920">
            <w:pPr>
              <w:jc w:val="center"/>
              <w:rPr>
                <w:b/>
                <w:bCs/>
                <w:color w:val="000000"/>
                <w:sz w:val="16"/>
                <w:szCs w:val="16"/>
              </w:rPr>
            </w:pPr>
            <w:r w:rsidRPr="006426F8">
              <w:rPr>
                <w:b/>
                <w:bCs/>
                <w:color w:val="000000"/>
                <w:sz w:val="16"/>
                <w:szCs w:val="16"/>
              </w:rPr>
              <w:t xml:space="preserve">d/a </w:t>
            </w:r>
          </w:p>
        </w:tc>
      </w:tr>
      <w:tr w:rsidR="009D3E3A" w:rsidRPr="006426F8" w:rsidTr="007C3920">
        <w:trPr>
          <w:trHeight w:val="300"/>
        </w:trPr>
        <w:tc>
          <w:tcPr>
            <w:tcW w:w="610"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1a</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1.1a</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342 284 804</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292 853 447</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85,6%</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223 937 475</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65,4%</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218 761 323</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63,9%</w:t>
            </w:r>
          </w:p>
        </w:tc>
      </w:tr>
      <w:tr w:rsidR="009D3E3A" w:rsidRPr="006426F8" w:rsidTr="007C3920">
        <w:trPr>
          <w:trHeight w:val="300"/>
        </w:trPr>
        <w:tc>
          <w:tcPr>
            <w:tcW w:w="610" w:type="pct"/>
            <w:shd w:val="clear" w:color="000000" w:fill="D8E4BC"/>
            <w:vAlign w:val="center"/>
            <w:hideMark/>
          </w:tcPr>
          <w:p w:rsidR="009D3E3A" w:rsidRPr="00C23BE4" w:rsidRDefault="009D3E3A" w:rsidP="007C3920">
            <w:pPr>
              <w:jc w:val="center"/>
              <w:rPr>
                <w:b/>
                <w:bCs/>
                <w:color w:val="000000"/>
                <w:sz w:val="16"/>
                <w:szCs w:val="16"/>
              </w:rPr>
            </w:pPr>
            <w:r w:rsidRPr="00C23BE4">
              <w:rPr>
                <w:b/>
                <w:bCs/>
                <w:color w:val="000000"/>
                <w:sz w:val="16"/>
                <w:szCs w:val="16"/>
              </w:rPr>
              <w:t>1a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342 284 804</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292 853 447</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85,6%</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223 937 475</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65,4%</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218 761 323</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63,9%</w:t>
            </w:r>
          </w:p>
        </w:tc>
      </w:tr>
      <w:tr w:rsidR="009D3E3A" w:rsidRPr="006426F8" w:rsidTr="007C3920">
        <w:trPr>
          <w:trHeight w:val="300"/>
        </w:trPr>
        <w:tc>
          <w:tcPr>
            <w:tcW w:w="610"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1b</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1.1b</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26 329 602</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22 527 189</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85,6%</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17 225 858</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65,4%</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16 827 795</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63,9%</w:t>
            </w:r>
          </w:p>
        </w:tc>
      </w:tr>
      <w:tr w:rsidR="009D3E3A" w:rsidRPr="006426F8" w:rsidTr="007C3920">
        <w:trPr>
          <w:trHeight w:val="300"/>
        </w:trPr>
        <w:tc>
          <w:tcPr>
            <w:tcW w:w="610" w:type="pct"/>
            <w:shd w:val="clear" w:color="000000" w:fill="D8E4BC"/>
            <w:vAlign w:val="center"/>
            <w:hideMark/>
          </w:tcPr>
          <w:p w:rsidR="009D3E3A" w:rsidRPr="00C23BE4" w:rsidRDefault="009D3E3A" w:rsidP="007C3920">
            <w:pPr>
              <w:jc w:val="center"/>
              <w:rPr>
                <w:b/>
                <w:bCs/>
                <w:color w:val="000000"/>
                <w:sz w:val="16"/>
                <w:szCs w:val="16"/>
              </w:rPr>
            </w:pPr>
            <w:r w:rsidRPr="00C23BE4">
              <w:rPr>
                <w:b/>
                <w:bCs/>
                <w:color w:val="000000"/>
                <w:sz w:val="16"/>
                <w:szCs w:val="16"/>
              </w:rPr>
              <w:t>1b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26 329 602</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22 527 189</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85,6%</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17 225 858</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65,4%</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16 827 795</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63,9%</w:t>
            </w:r>
          </w:p>
        </w:tc>
      </w:tr>
      <w:tr w:rsidR="009D3E3A" w:rsidRPr="006426F8" w:rsidTr="007C3920">
        <w:trPr>
          <w:trHeight w:val="300"/>
        </w:trPr>
        <w:tc>
          <w:tcPr>
            <w:tcW w:w="610"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2</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2.1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174 718 668</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183 487 309</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105,0%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110 426 999</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63,2%</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110 113 061</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63,0%</w:t>
            </w:r>
          </w:p>
        </w:tc>
      </w:tr>
      <w:tr w:rsidR="009D3E3A" w:rsidRPr="006426F8" w:rsidTr="007C3920">
        <w:trPr>
          <w:trHeight w:val="300"/>
        </w:trPr>
        <w:tc>
          <w:tcPr>
            <w:tcW w:w="610" w:type="pct"/>
            <w:shd w:val="clear" w:color="000000" w:fill="D8E4BC"/>
            <w:vAlign w:val="center"/>
            <w:hideMark/>
          </w:tcPr>
          <w:p w:rsidR="009D3E3A" w:rsidRPr="00C23BE4" w:rsidRDefault="009D3E3A" w:rsidP="007C3920">
            <w:pPr>
              <w:jc w:val="center"/>
              <w:rPr>
                <w:b/>
                <w:bCs/>
                <w:color w:val="000000"/>
                <w:sz w:val="16"/>
                <w:szCs w:val="16"/>
              </w:rPr>
            </w:pPr>
            <w:r w:rsidRPr="00C23BE4">
              <w:rPr>
                <w:b/>
                <w:bCs/>
                <w:color w:val="000000"/>
                <w:sz w:val="16"/>
                <w:szCs w:val="16"/>
              </w:rPr>
              <w:t>2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174 718 668</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183 487 309</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105,0%</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110 426 999</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63,2%</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110 113 061</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63,0%</w:t>
            </w:r>
          </w:p>
        </w:tc>
      </w:tr>
      <w:tr w:rsidR="009D3E3A" w:rsidRPr="006426F8" w:rsidTr="007C3920">
        <w:trPr>
          <w:trHeight w:val="300"/>
        </w:trPr>
        <w:tc>
          <w:tcPr>
            <w:tcW w:w="610" w:type="pct"/>
            <w:vMerge w:val="restar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3</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3.1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64 286 158</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60 033 137</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93,4%</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31 290 425</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48,7%</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30 051 378</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46,7%</w:t>
            </w:r>
          </w:p>
        </w:tc>
      </w:tr>
      <w:tr w:rsidR="009D3E3A" w:rsidRPr="006426F8" w:rsidTr="007C3920">
        <w:trPr>
          <w:trHeight w:val="300"/>
        </w:trPr>
        <w:tc>
          <w:tcPr>
            <w:tcW w:w="610" w:type="pct"/>
            <w:vMerge/>
            <w:vAlign w:val="center"/>
            <w:hideMark/>
          </w:tcPr>
          <w:p w:rsidR="009D3E3A" w:rsidRPr="00C23BE4" w:rsidRDefault="009D3E3A" w:rsidP="007C3920">
            <w:pPr>
              <w:jc w:val="center"/>
              <w:rPr>
                <w:color w:val="000000"/>
                <w:sz w:val="16"/>
                <w:szCs w:val="16"/>
              </w:rPr>
            </w:pP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3.2</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292 331 419</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278 347 235</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95,2%</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219 237 187</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75,0%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211 834 008</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72,5%</w:t>
            </w:r>
          </w:p>
        </w:tc>
      </w:tr>
      <w:tr w:rsidR="009D3E3A" w:rsidRPr="006426F8" w:rsidTr="007C3920">
        <w:trPr>
          <w:trHeight w:val="300"/>
        </w:trPr>
        <w:tc>
          <w:tcPr>
            <w:tcW w:w="610" w:type="pct"/>
            <w:vMerge/>
            <w:vAlign w:val="center"/>
            <w:hideMark/>
          </w:tcPr>
          <w:p w:rsidR="009D3E3A" w:rsidRPr="00C23BE4" w:rsidRDefault="009D3E3A" w:rsidP="007C3920">
            <w:pPr>
              <w:jc w:val="center"/>
              <w:rPr>
                <w:color w:val="000000"/>
                <w:sz w:val="16"/>
                <w:szCs w:val="16"/>
              </w:rPr>
            </w:pP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3.3</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47 301 825</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34 445 296</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72,8%</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24 381 356</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51,5%</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24 381 356</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51,5%</w:t>
            </w:r>
          </w:p>
        </w:tc>
      </w:tr>
      <w:tr w:rsidR="009D3E3A" w:rsidRPr="006426F8" w:rsidTr="007C3920">
        <w:trPr>
          <w:trHeight w:val="300"/>
        </w:trPr>
        <w:tc>
          <w:tcPr>
            <w:tcW w:w="610" w:type="pct"/>
            <w:vMerge/>
            <w:vAlign w:val="center"/>
            <w:hideMark/>
          </w:tcPr>
          <w:p w:rsidR="009D3E3A" w:rsidRPr="00C23BE4" w:rsidRDefault="009D3E3A" w:rsidP="007C3920">
            <w:pPr>
              <w:jc w:val="center"/>
              <w:rPr>
                <w:color w:val="000000"/>
                <w:sz w:val="16"/>
                <w:szCs w:val="16"/>
              </w:rPr>
            </w:pP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3.4</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319 160 670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320 869 615</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100,5%</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117 931 394</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37,0%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117 925 444</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36,9%</w:t>
            </w:r>
          </w:p>
        </w:tc>
      </w:tr>
      <w:tr w:rsidR="009D3E3A" w:rsidRPr="006426F8" w:rsidTr="007C3920">
        <w:trPr>
          <w:trHeight w:val="300"/>
        </w:trPr>
        <w:tc>
          <w:tcPr>
            <w:tcW w:w="610" w:type="pct"/>
            <w:shd w:val="clear" w:color="000000" w:fill="D8E4BC"/>
            <w:vAlign w:val="center"/>
            <w:hideMark/>
          </w:tcPr>
          <w:p w:rsidR="009D3E3A" w:rsidRPr="00C23BE4" w:rsidRDefault="009D3E3A" w:rsidP="007C3920">
            <w:pPr>
              <w:jc w:val="center"/>
              <w:rPr>
                <w:b/>
                <w:bCs/>
                <w:color w:val="000000"/>
                <w:sz w:val="16"/>
                <w:szCs w:val="16"/>
              </w:rPr>
            </w:pPr>
            <w:r w:rsidRPr="00C23BE4">
              <w:rPr>
                <w:b/>
                <w:bCs/>
                <w:color w:val="000000"/>
                <w:sz w:val="16"/>
                <w:szCs w:val="16"/>
              </w:rPr>
              <w:t>3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723 080 072</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693 695 283</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95,9%</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392 840 361</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54,3%</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384 192 185</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53,1%</w:t>
            </w:r>
          </w:p>
        </w:tc>
      </w:tr>
      <w:tr w:rsidR="009D3E3A" w:rsidRPr="006426F8" w:rsidTr="007C3920">
        <w:trPr>
          <w:trHeight w:val="300"/>
        </w:trPr>
        <w:tc>
          <w:tcPr>
            <w:tcW w:w="610"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4a</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4.1a</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71 255 784</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68 922 211</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96,7%</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46 384 360</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65,1%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46 084 553</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64,7%</w:t>
            </w:r>
          </w:p>
        </w:tc>
      </w:tr>
      <w:tr w:rsidR="009D3E3A" w:rsidRPr="006426F8" w:rsidTr="007C3920">
        <w:trPr>
          <w:trHeight w:val="300"/>
        </w:trPr>
        <w:tc>
          <w:tcPr>
            <w:tcW w:w="610" w:type="pct"/>
            <w:shd w:val="clear" w:color="000000" w:fill="D8E4BC"/>
            <w:vAlign w:val="center"/>
            <w:hideMark/>
          </w:tcPr>
          <w:p w:rsidR="009D3E3A" w:rsidRPr="00C23BE4" w:rsidRDefault="009D3E3A" w:rsidP="007C3920">
            <w:pPr>
              <w:jc w:val="center"/>
              <w:rPr>
                <w:b/>
                <w:bCs/>
                <w:color w:val="000000"/>
                <w:sz w:val="16"/>
                <w:szCs w:val="16"/>
              </w:rPr>
            </w:pPr>
            <w:r w:rsidRPr="00C23BE4">
              <w:rPr>
                <w:b/>
                <w:bCs/>
                <w:color w:val="000000"/>
                <w:sz w:val="16"/>
                <w:szCs w:val="16"/>
              </w:rPr>
              <w:t>4a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71 255 784</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68 922 211</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96,7%</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46 384 360</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65,1%</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46 084 553</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64,7%</w:t>
            </w:r>
          </w:p>
        </w:tc>
      </w:tr>
      <w:tr w:rsidR="009D3E3A" w:rsidRPr="006426F8" w:rsidTr="007C3920">
        <w:trPr>
          <w:trHeight w:val="300"/>
        </w:trPr>
        <w:tc>
          <w:tcPr>
            <w:tcW w:w="610"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4b</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4.1b</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3 647 971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5 334 532</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146,2%</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3 567 901</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97,8%</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3 544 843</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97,2%</w:t>
            </w:r>
          </w:p>
        </w:tc>
      </w:tr>
      <w:tr w:rsidR="009D3E3A" w:rsidRPr="006426F8" w:rsidTr="007C3920">
        <w:trPr>
          <w:trHeight w:val="300"/>
        </w:trPr>
        <w:tc>
          <w:tcPr>
            <w:tcW w:w="610" w:type="pct"/>
            <w:shd w:val="clear" w:color="000000" w:fill="D8E4BC"/>
            <w:vAlign w:val="center"/>
            <w:hideMark/>
          </w:tcPr>
          <w:p w:rsidR="009D3E3A" w:rsidRPr="00C23BE4" w:rsidRDefault="009D3E3A" w:rsidP="007C3920">
            <w:pPr>
              <w:jc w:val="center"/>
              <w:rPr>
                <w:b/>
                <w:bCs/>
                <w:color w:val="000000"/>
                <w:sz w:val="16"/>
                <w:szCs w:val="16"/>
              </w:rPr>
            </w:pPr>
            <w:r w:rsidRPr="00C23BE4">
              <w:rPr>
                <w:b/>
                <w:bCs/>
                <w:color w:val="000000"/>
                <w:sz w:val="16"/>
                <w:szCs w:val="16"/>
              </w:rPr>
              <w:t>4b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3 647 971</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5 334 532</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146,2%</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3 567 901</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97,8%</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3 544 843</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97,2%</w:t>
            </w:r>
          </w:p>
        </w:tc>
      </w:tr>
      <w:tr w:rsidR="009D3E3A" w:rsidRPr="006426F8" w:rsidTr="007C3920">
        <w:trPr>
          <w:trHeight w:val="300"/>
        </w:trPr>
        <w:tc>
          <w:tcPr>
            <w:tcW w:w="610" w:type="pct"/>
            <w:vMerge w:val="restar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5</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5.1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251 453 425</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251 737 569</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100,1%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164 912 409</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65,6%</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163 917 071</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65,2%</w:t>
            </w:r>
          </w:p>
        </w:tc>
      </w:tr>
      <w:tr w:rsidR="009D3E3A" w:rsidRPr="006426F8" w:rsidTr="007C3920">
        <w:trPr>
          <w:trHeight w:val="300"/>
        </w:trPr>
        <w:tc>
          <w:tcPr>
            <w:tcW w:w="610" w:type="pct"/>
            <w:vMerge/>
            <w:vAlign w:val="center"/>
            <w:hideMark/>
          </w:tcPr>
          <w:p w:rsidR="009D3E3A" w:rsidRPr="00C23BE4" w:rsidRDefault="009D3E3A" w:rsidP="007C3920">
            <w:pPr>
              <w:jc w:val="center"/>
              <w:rPr>
                <w:color w:val="000000"/>
                <w:sz w:val="16"/>
                <w:szCs w:val="16"/>
              </w:rPr>
            </w:pP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5.2</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251 032 890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375 738 729</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149,7%</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293 809 934</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117,0%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292 368 592</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116,5%</w:t>
            </w:r>
          </w:p>
        </w:tc>
      </w:tr>
      <w:tr w:rsidR="009D3E3A" w:rsidRPr="006426F8" w:rsidTr="007C3920">
        <w:trPr>
          <w:trHeight w:val="300"/>
        </w:trPr>
        <w:tc>
          <w:tcPr>
            <w:tcW w:w="610" w:type="pct"/>
            <w:vMerge/>
            <w:vAlign w:val="center"/>
            <w:hideMark/>
          </w:tcPr>
          <w:p w:rsidR="009D3E3A" w:rsidRPr="006426F8" w:rsidRDefault="009D3E3A" w:rsidP="007C3920">
            <w:pPr>
              <w:jc w:val="center"/>
              <w:rPr>
                <w:color w:val="000000"/>
                <w:sz w:val="16"/>
                <w:szCs w:val="16"/>
              </w:rPr>
            </w:pP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5.3</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18 270 715</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18 463 709</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101,1%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18 378 638</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100,6%</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18 202 713</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99,6%</w:t>
            </w:r>
          </w:p>
        </w:tc>
      </w:tr>
      <w:tr w:rsidR="009D3E3A" w:rsidRPr="006426F8" w:rsidTr="007C3920">
        <w:trPr>
          <w:trHeight w:val="300"/>
        </w:trPr>
        <w:tc>
          <w:tcPr>
            <w:tcW w:w="610" w:type="pct"/>
            <w:shd w:val="clear" w:color="000000" w:fill="D8E4BC"/>
            <w:vAlign w:val="center"/>
            <w:hideMark/>
          </w:tcPr>
          <w:p w:rsidR="009D3E3A" w:rsidRPr="006426F8" w:rsidRDefault="009D3E3A" w:rsidP="007C3920">
            <w:pPr>
              <w:jc w:val="center"/>
              <w:rPr>
                <w:b/>
                <w:bCs/>
                <w:color w:val="000000"/>
                <w:sz w:val="16"/>
                <w:szCs w:val="16"/>
              </w:rPr>
            </w:pPr>
            <w:r w:rsidRPr="006426F8">
              <w:rPr>
                <w:b/>
                <w:bCs/>
                <w:color w:val="000000"/>
                <w:sz w:val="16"/>
                <w:szCs w:val="16"/>
              </w:rPr>
              <w:t>5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520 757 030</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645 940 007</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124,0%</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477 100 980</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91,6%</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474 488 375</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91,1%</w:t>
            </w:r>
          </w:p>
        </w:tc>
      </w:tr>
      <w:tr w:rsidR="009D3E3A" w:rsidRPr="006426F8" w:rsidTr="007C3920">
        <w:trPr>
          <w:trHeight w:val="300"/>
        </w:trPr>
        <w:tc>
          <w:tcPr>
            <w:tcW w:w="610" w:type="pct"/>
            <w:vMerge w:val="restart"/>
            <w:shd w:val="clear" w:color="000000" w:fill="FFFFFF"/>
            <w:vAlign w:val="center"/>
            <w:hideMark/>
          </w:tcPr>
          <w:p w:rsidR="009D3E3A" w:rsidRPr="006426F8" w:rsidRDefault="009D3E3A" w:rsidP="007C3920">
            <w:pPr>
              <w:jc w:val="center"/>
              <w:rPr>
                <w:color w:val="000000"/>
                <w:sz w:val="16"/>
                <w:szCs w:val="16"/>
              </w:rPr>
            </w:pPr>
            <w:r w:rsidRPr="006426F8">
              <w:rPr>
                <w:color w:val="000000"/>
                <w:sz w:val="16"/>
                <w:szCs w:val="16"/>
              </w:rPr>
              <w:t>6a</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6.1a</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31 973 750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33 890 240</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106,0%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25 263 713</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79,0%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23 964 606</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75,0%</w:t>
            </w:r>
          </w:p>
        </w:tc>
      </w:tr>
      <w:tr w:rsidR="009D3E3A" w:rsidRPr="006426F8" w:rsidTr="007C3920">
        <w:trPr>
          <w:trHeight w:val="300"/>
        </w:trPr>
        <w:tc>
          <w:tcPr>
            <w:tcW w:w="610" w:type="pct"/>
            <w:vMerge/>
            <w:vAlign w:val="center"/>
            <w:hideMark/>
          </w:tcPr>
          <w:p w:rsidR="009D3E3A" w:rsidRPr="006426F8" w:rsidRDefault="009D3E3A" w:rsidP="007C3920">
            <w:pPr>
              <w:jc w:val="center"/>
              <w:rPr>
                <w:color w:val="000000"/>
                <w:sz w:val="16"/>
                <w:szCs w:val="16"/>
              </w:rPr>
            </w:pP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6.2a</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8 114 236</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8 282 604</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102,1%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4 590 268</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56,6%</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4 516 369</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55,7%</w:t>
            </w:r>
          </w:p>
        </w:tc>
      </w:tr>
      <w:tr w:rsidR="009D3E3A" w:rsidRPr="006426F8" w:rsidTr="007C3920">
        <w:trPr>
          <w:trHeight w:val="300"/>
        </w:trPr>
        <w:tc>
          <w:tcPr>
            <w:tcW w:w="610" w:type="pct"/>
            <w:shd w:val="clear" w:color="000000" w:fill="D8E4BC"/>
            <w:vAlign w:val="center"/>
            <w:hideMark/>
          </w:tcPr>
          <w:p w:rsidR="009D3E3A" w:rsidRPr="006426F8" w:rsidRDefault="009D3E3A" w:rsidP="007C3920">
            <w:pPr>
              <w:jc w:val="center"/>
              <w:rPr>
                <w:b/>
                <w:bCs/>
                <w:color w:val="000000"/>
                <w:sz w:val="16"/>
                <w:szCs w:val="16"/>
              </w:rPr>
            </w:pPr>
            <w:r w:rsidRPr="006426F8">
              <w:rPr>
                <w:b/>
                <w:bCs/>
                <w:color w:val="000000"/>
                <w:sz w:val="16"/>
                <w:szCs w:val="16"/>
              </w:rPr>
              <w:t>6a</w:t>
            </w:r>
            <w:r>
              <w:rPr>
                <w:b/>
                <w:bCs/>
                <w:color w:val="000000"/>
                <w:sz w:val="16"/>
                <w:szCs w:val="16"/>
              </w:rPr>
              <w:t xml:space="preserve"> 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40 087 986</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42 172 844</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105,2%</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29 853 980</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74,5%</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28 480 975</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71,0%</w:t>
            </w:r>
          </w:p>
        </w:tc>
      </w:tr>
      <w:tr w:rsidR="009D3E3A" w:rsidRPr="006426F8" w:rsidTr="007C3920">
        <w:trPr>
          <w:trHeight w:val="300"/>
        </w:trPr>
        <w:tc>
          <w:tcPr>
            <w:tcW w:w="610" w:type="pct"/>
            <w:vMerge w:val="restart"/>
            <w:shd w:val="clear" w:color="000000" w:fill="FFFFFF"/>
            <w:vAlign w:val="center"/>
            <w:hideMark/>
          </w:tcPr>
          <w:p w:rsidR="009D3E3A" w:rsidRPr="006426F8" w:rsidRDefault="009D3E3A" w:rsidP="007C3920">
            <w:pPr>
              <w:jc w:val="center"/>
              <w:rPr>
                <w:color w:val="000000"/>
                <w:sz w:val="16"/>
                <w:szCs w:val="16"/>
              </w:rPr>
            </w:pPr>
            <w:r w:rsidRPr="006426F8">
              <w:rPr>
                <w:color w:val="000000"/>
                <w:sz w:val="16"/>
                <w:szCs w:val="16"/>
              </w:rPr>
              <w:t>6b</w:t>
            </w: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6.1b</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587 779</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623 065</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106,0%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464 581</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79,0%</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440 696</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75,0%</w:t>
            </w:r>
          </w:p>
        </w:tc>
      </w:tr>
      <w:tr w:rsidR="009D3E3A" w:rsidRPr="006426F8" w:rsidTr="007C3920">
        <w:trPr>
          <w:trHeight w:val="300"/>
        </w:trPr>
        <w:tc>
          <w:tcPr>
            <w:tcW w:w="610" w:type="pct"/>
            <w:vMerge/>
            <w:vAlign w:val="center"/>
            <w:hideMark/>
          </w:tcPr>
          <w:p w:rsidR="009D3E3A" w:rsidRPr="006426F8" w:rsidRDefault="009D3E3A" w:rsidP="007C3920">
            <w:pPr>
              <w:jc w:val="center"/>
              <w:rPr>
                <w:color w:val="000000"/>
                <w:sz w:val="16"/>
                <w:szCs w:val="16"/>
              </w:rPr>
            </w:pPr>
          </w:p>
        </w:tc>
        <w:tc>
          <w:tcPr>
            <w:tcW w:w="753" w:type="pct"/>
            <w:shd w:val="clear" w:color="000000" w:fill="FFFFFF"/>
            <w:vAlign w:val="center"/>
            <w:hideMark/>
          </w:tcPr>
          <w:p w:rsidR="009D3E3A" w:rsidRPr="00C23BE4" w:rsidRDefault="009D3E3A" w:rsidP="007C3920">
            <w:pPr>
              <w:jc w:val="center"/>
              <w:rPr>
                <w:color w:val="000000"/>
                <w:sz w:val="16"/>
                <w:szCs w:val="16"/>
              </w:rPr>
            </w:pPr>
            <w:r w:rsidRPr="00C23BE4">
              <w:rPr>
                <w:color w:val="000000"/>
                <w:sz w:val="16"/>
                <w:szCs w:val="16"/>
              </w:rPr>
              <w:t>6.2b</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149 197</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152 274</w:t>
            </w:r>
          </w:p>
        </w:tc>
        <w:tc>
          <w:tcPr>
            <w:tcW w:w="338"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102,1%</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84 426</w:t>
            </w:r>
          </w:p>
        </w:tc>
        <w:tc>
          <w:tcPr>
            <w:tcW w:w="410"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56,6%</w:t>
            </w:r>
          </w:p>
        </w:tc>
        <w:tc>
          <w:tcPr>
            <w:tcW w:w="556" w:type="pct"/>
            <w:shd w:val="clear" w:color="000000" w:fill="FFFFFF"/>
            <w:noWrap/>
            <w:vAlign w:val="center"/>
            <w:hideMark/>
          </w:tcPr>
          <w:p w:rsidR="009D3E3A" w:rsidRPr="00C23BE4" w:rsidRDefault="009D3E3A" w:rsidP="007C3920">
            <w:pPr>
              <w:rPr>
                <w:color w:val="000000"/>
                <w:sz w:val="16"/>
                <w:szCs w:val="16"/>
              </w:rPr>
            </w:pPr>
            <w:r w:rsidRPr="00C23BE4">
              <w:rPr>
                <w:color w:val="000000"/>
                <w:sz w:val="16"/>
                <w:szCs w:val="16"/>
              </w:rPr>
              <w:t>83 059</w:t>
            </w:r>
          </w:p>
        </w:tc>
        <w:tc>
          <w:tcPr>
            <w:tcW w:w="667" w:type="pct"/>
            <w:shd w:val="clear" w:color="000000" w:fill="FFFFFF"/>
            <w:noWrap/>
            <w:vAlign w:val="center"/>
            <w:hideMark/>
          </w:tcPr>
          <w:p w:rsidR="009D3E3A" w:rsidRPr="00C23BE4" w:rsidRDefault="009D3E3A" w:rsidP="007C3920">
            <w:pPr>
              <w:jc w:val="center"/>
              <w:rPr>
                <w:color w:val="000000"/>
                <w:sz w:val="16"/>
                <w:szCs w:val="16"/>
              </w:rPr>
            </w:pPr>
            <w:r w:rsidRPr="00C23BE4">
              <w:rPr>
                <w:color w:val="000000"/>
                <w:sz w:val="16"/>
                <w:szCs w:val="16"/>
              </w:rPr>
              <w:t>55,7%</w:t>
            </w:r>
          </w:p>
        </w:tc>
      </w:tr>
      <w:tr w:rsidR="009D3E3A" w:rsidRPr="006426F8" w:rsidTr="007C3920">
        <w:trPr>
          <w:trHeight w:val="300"/>
        </w:trPr>
        <w:tc>
          <w:tcPr>
            <w:tcW w:w="610" w:type="pct"/>
            <w:shd w:val="clear" w:color="000000" w:fill="D8E4BC"/>
            <w:vAlign w:val="center"/>
            <w:hideMark/>
          </w:tcPr>
          <w:p w:rsidR="009D3E3A" w:rsidRPr="006426F8" w:rsidRDefault="009D3E3A" w:rsidP="007C3920">
            <w:pPr>
              <w:jc w:val="center"/>
              <w:rPr>
                <w:b/>
                <w:bCs/>
                <w:color w:val="000000"/>
                <w:sz w:val="16"/>
                <w:szCs w:val="16"/>
              </w:rPr>
            </w:pPr>
            <w:r w:rsidRPr="006426F8">
              <w:rPr>
                <w:b/>
                <w:bCs/>
                <w:color w:val="000000"/>
                <w:sz w:val="16"/>
                <w:szCs w:val="16"/>
              </w:rPr>
              <w:t xml:space="preserve">6b </w:t>
            </w:r>
            <w:r>
              <w:rPr>
                <w:b/>
                <w:bCs/>
                <w:color w:val="000000"/>
                <w:sz w:val="16"/>
                <w:szCs w:val="16"/>
              </w:rPr>
              <w:t>Celkem</w:t>
            </w:r>
          </w:p>
        </w:tc>
        <w:tc>
          <w:tcPr>
            <w:tcW w:w="753" w:type="pct"/>
            <w:shd w:val="clear" w:color="000000" w:fill="D8E4BC"/>
            <w:vAlign w:val="center"/>
            <w:hideMark/>
          </w:tcPr>
          <w:p w:rsidR="009D3E3A" w:rsidRPr="00C23BE4" w:rsidRDefault="009D3E3A" w:rsidP="007C3920">
            <w:pPr>
              <w:jc w:val="center"/>
              <w:rPr>
                <w:b/>
                <w:bCs/>
                <w:color w:val="000000"/>
                <w:sz w:val="16"/>
                <w:szCs w:val="16"/>
              </w:rPr>
            </w:pP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736 976</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775 340</w:t>
            </w:r>
          </w:p>
        </w:tc>
        <w:tc>
          <w:tcPr>
            <w:tcW w:w="338"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105,2%</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549 007</w:t>
            </w:r>
          </w:p>
        </w:tc>
        <w:tc>
          <w:tcPr>
            <w:tcW w:w="410"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74,5%</w:t>
            </w:r>
          </w:p>
        </w:tc>
        <w:tc>
          <w:tcPr>
            <w:tcW w:w="556" w:type="pct"/>
            <w:shd w:val="clear" w:color="000000" w:fill="D8E4BC"/>
            <w:noWrap/>
            <w:vAlign w:val="center"/>
            <w:hideMark/>
          </w:tcPr>
          <w:p w:rsidR="009D3E3A" w:rsidRPr="00C23BE4" w:rsidRDefault="009D3E3A" w:rsidP="007C3920">
            <w:pPr>
              <w:rPr>
                <w:b/>
                <w:bCs/>
                <w:color w:val="000000"/>
                <w:sz w:val="16"/>
                <w:szCs w:val="16"/>
              </w:rPr>
            </w:pPr>
            <w:r w:rsidRPr="00C23BE4">
              <w:rPr>
                <w:b/>
                <w:bCs/>
                <w:color w:val="000000"/>
                <w:sz w:val="16"/>
                <w:szCs w:val="16"/>
              </w:rPr>
              <w:t>523 755</w:t>
            </w:r>
          </w:p>
        </w:tc>
        <w:tc>
          <w:tcPr>
            <w:tcW w:w="667" w:type="pct"/>
            <w:shd w:val="clear" w:color="000000" w:fill="D8E4BC"/>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71,1%</w:t>
            </w:r>
          </w:p>
        </w:tc>
      </w:tr>
      <w:tr w:rsidR="009D3E3A" w:rsidRPr="006426F8" w:rsidTr="007C3920">
        <w:trPr>
          <w:trHeight w:val="300"/>
        </w:trPr>
        <w:tc>
          <w:tcPr>
            <w:tcW w:w="610" w:type="pct"/>
            <w:shd w:val="clear" w:color="000000" w:fill="FFFFFF"/>
            <w:hideMark/>
          </w:tcPr>
          <w:p w:rsidR="009D3E3A" w:rsidRPr="006426F8" w:rsidRDefault="009D3E3A" w:rsidP="007C3920">
            <w:pPr>
              <w:jc w:val="center"/>
              <w:rPr>
                <w:b/>
                <w:bCs/>
                <w:color w:val="000000"/>
                <w:sz w:val="16"/>
                <w:szCs w:val="16"/>
              </w:rPr>
            </w:pPr>
            <w:r w:rsidRPr="006426F8">
              <w:rPr>
                <w:b/>
                <w:bCs/>
                <w:color w:val="000000"/>
                <w:sz w:val="16"/>
                <w:szCs w:val="16"/>
              </w:rPr>
              <w:t>Celkem za IOP</w:t>
            </w:r>
          </w:p>
        </w:tc>
        <w:tc>
          <w:tcPr>
            <w:tcW w:w="753" w:type="pct"/>
            <w:shd w:val="clear" w:color="000000" w:fill="FFFFFF"/>
            <w:vAlign w:val="center"/>
            <w:hideMark/>
          </w:tcPr>
          <w:p w:rsidR="009D3E3A" w:rsidRPr="00C23BE4" w:rsidRDefault="009D3E3A" w:rsidP="007C3920">
            <w:pPr>
              <w:jc w:val="center"/>
              <w:rPr>
                <w:b/>
                <w:bCs/>
                <w:color w:val="000000"/>
                <w:sz w:val="16"/>
                <w:szCs w:val="16"/>
              </w:rPr>
            </w:pPr>
          </w:p>
        </w:tc>
        <w:tc>
          <w:tcPr>
            <w:tcW w:w="556" w:type="pct"/>
            <w:shd w:val="clear" w:color="000000" w:fill="FFFFFF"/>
            <w:noWrap/>
            <w:vAlign w:val="center"/>
            <w:hideMark/>
          </w:tcPr>
          <w:p w:rsidR="009D3E3A" w:rsidRPr="00C23BE4" w:rsidRDefault="009D3E3A" w:rsidP="007C3920">
            <w:pPr>
              <w:rPr>
                <w:b/>
                <w:bCs/>
                <w:color w:val="000000"/>
                <w:sz w:val="16"/>
                <w:szCs w:val="16"/>
              </w:rPr>
            </w:pPr>
            <w:r w:rsidRPr="00C23BE4">
              <w:rPr>
                <w:b/>
                <w:bCs/>
                <w:color w:val="000000"/>
                <w:sz w:val="16"/>
                <w:szCs w:val="16"/>
              </w:rPr>
              <w:t>1 902 898 893</w:t>
            </w:r>
          </w:p>
        </w:tc>
        <w:tc>
          <w:tcPr>
            <w:tcW w:w="556" w:type="pct"/>
            <w:shd w:val="clear" w:color="000000" w:fill="FFFFFF"/>
            <w:noWrap/>
            <w:vAlign w:val="center"/>
            <w:hideMark/>
          </w:tcPr>
          <w:p w:rsidR="009D3E3A" w:rsidRPr="00C23BE4" w:rsidRDefault="009D3E3A" w:rsidP="007C3920">
            <w:pPr>
              <w:rPr>
                <w:b/>
                <w:bCs/>
                <w:color w:val="000000"/>
                <w:sz w:val="16"/>
                <w:szCs w:val="16"/>
              </w:rPr>
            </w:pPr>
            <w:r w:rsidRPr="00C23BE4">
              <w:rPr>
                <w:b/>
                <w:bCs/>
                <w:color w:val="000000"/>
                <w:sz w:val="16"/>
                <w:szCs w:val="16"/>
              </w:rPr>
              <w:t>1 955 708 161</w:t>
            </w:r>
          </w:p>
        </w:tc>
        <w:tc>
          <w:tcPr>
            <w:tcW w:w="338" w:type="pct"/>
            <w:shd w:val="clear" w:color="000000" w:fill="FFFFFF"/>
            <w:noWrap/>
            <w:vAlign w:val="center"/>
            <w:hideMark/>
          </w:tcPr>
          <w:p w:rsidR="009D3E3A" w:rsidRPr="00C23BE4" w:rsidRDefault="009D3E3A" w:rsidP="007C3920">
            <w:pPr>
              <w:rPr>
                <w:b/>
                <w:bCs/>
                <w:color w:val="000000"/>
                <w:sz w:val="16"/>
                <w:szCs w:val="16"/>
              </w:rPr>
            </w:pPr>
            <w:r w:rsidRPr="00C23BE4">
              <w:rPr>
                <w:b/>
                <w:bCs/>
                <w:color w:val="000000"/>
                <w:sz w:val="16"/>
                <w:szCs w:val="16"/>
              </w:rPr>
              <w:t>102,8%</w:t>
            </w:r>
          </w:p>
        </w:tc>
        <w:tc>
          <w:tcPr>
            <w:tcW w:w="556" w:type="pct"/>
            <w:shd w:val="clear" w:color="000000" w:fill="FFFFFF"/>
            <w:noWrap/>
            <w:vAlign w:val="center"/>
            <w:hideMark/>
          </w:tcPr>
          <w:p w:rsidR="009D3E3A" w:rsidRPr="00C23BE4" w:rsidRDefault="009D3E3A" w:rsidP="007C3920">
            <w:pPr>
              <w:rPr>
                <w:b/>
                <w:bCs/>
                <w:color w:val="000000"/>
                <w:sz w:val="16"/>
                <w:szCs w:val="16"/>
              </w:rPr>
            </w:pPr>
            <w:r w:rsidRPr="00C23BE4">
              <w:rPr>
                <w:b/>
                <w:bCs/>
                <w:color w:val="000000"/>
                <w:sz w:val="16"/>
                <w:szCs w:val="16"/>
              </w:rPr>
              <w:t>1 301 886 921</w:t>
            </w:r>
          </w:p>
        </w:tc>
        <w:tc>
          <w:tcPr>
            <w:tcW w:w="410" w:type="pct"/>
            <w:shd w:val="clear" w:color="000000" w:fill="FFFFFF"/>
            <w:noWrap/>
            <w:vAlign w:val="center"/>
            <w:hideMark/>
          </w:tcPr>
          <w:p w:rsidR="009D3E3A" w:rsidRPr="00C23BE4" w:rsidRDefault="009D3E3A" w:rsidP="007C3920">
            <w:pPr>
              <w:rPr>
                <w:b/>
                <w:bCs/>
                <w:color w:val="000000"/>
                <w:sz w:val="16"/>
                <w:szCs w:val="16"/>
              </w:rPr>
            </w:pPr>
            <w:r w:rsidRPr="00C23BE4">
              <w:rPr>
                <w:b/>
                <w:bCs/>
                <w:color w:val="000000"/>
                <w:sz w:val="16"/>
                <w:szCs w:val="16"/>
              </w:rPr>
              <w:t>68,4%</w:t>
            </w:r>
          </w:p>
        </w:tc>
        <w:tc>
          <w:tcPr>
            <w:tcW w:w="556" w:type="pct"/>
            <w:shd w:val="clear" w:color="000000" w:fill="FFFFFF"/>
            <w:noWrap/>
            <w:vAlign w:val="center"/>
            <w:hideMark/>
          </w:tcPr>
          <w:p w:rsidR="009D3E3A" w:rsidRPr="00C23BE4" w:rsidRDefault="009D3E3A" w:rsidP="007C3920">
            <w:pPr>
              <w:rPr>
                <w:b/>
                <w:bCs/>
                <w:color w:val="000000"/>
                <w:sz w:val="16"/>
                <w:szCs w:val="16"/>
              </w:rPr>
            </w:pPr>
            <w:r w:rsidRPr="00C23BE4">
              <w:rPr>
                <w:b/>
                <w:bCs/>
                <w:color w:val="000000"/>
                <w:sz w:val="16"/>
                <w:szCs w:val="16"/>
              </w:rPr>
              <w:t>1 283 016 867</w:t>
            </w:r>
          </w:p>
        </w:tc>
        <w:tc>
          <w:tcPr>
            <w:tcW w:w="667" w:type="pct"/>
            <w:shd w:val="clear" w:color="000000" w:fill="FFFFFF"/>
            <w:noWrap/>
            <w:vAlign w:val="center"/>
            <w:hideMark/>
          </w:tcPr>
          <w:p w:rsidR="009D3E3A" w:rsidRPr="00C23BE4" w:rsidRDefault="009D3E3A" w:rsidP="007C3920">
            <w:pPr>
              <w:jc w:val="center"/>
              <w:rPr>
                <w:b/>
                <w:bCs/>
                <w:color w:val="000000"/>
                <w:sz w:val="16"/>
                <w:szCs w:val="16"/>
              </w:rPr>
            </w:pPr>
            <w:r w:rsidRPr="00C23BE4">
              <w:rPr>
                <w:b/>
                <w:bCs/>
                <w:color w:val="000000"/>
                <w:sz w:val="16"/>
                <w:szCs w:val="16"/>
              </w:rPr>
              <w:t>67,4%</w:t>
            </w:r>
          </w:p>
        </w:tc>
      </w:tr>
    </w:tbl>
    <w:p w:rsidR="00C92C15" w:rsidRDefault="00A75862" w:rsidP="008C4750">
      <w:pPr>
        <w:rPr>
          <w:i/>
          <w:color w:val="000000"/>
          <w:sz w:val="18"/>
          <w:szCs w:val="18"/>
        </w:rPr>
      </w:pPr>
      <w:r w:rsidRPr="000435AC">
        <w:rPr>
          <w:i/>
          <w:color w:val="000000"/>
          <w:sz w:val="18"/>
          <w:szCs w:val="18"/>
        </w:rPr>
        <w:t xml:space="preserve">Zdroj MSC2007  ke dni </w:t>
      </w:r>
      <w:r w:rsidR="00EE20BF" w:rsidRPr="000435AC">
        <w:rPr>
          <w:i/>
          <w:color w:val="000000"/>
          <w:sz w:val="18"/>
          <w:szCs w:val="18"/>
        </w:rPr>
        <w:t>31. 12. 2014</w:t>
      </w:r>
      <w:r w:rsidRPr="000435AC">
        <w:rPr>
          <w:i/>
          <w:color w:val="000000"/>
          <w:sz w:val="18"/>
          <w:szCs w:val="18"/>
        </w:rPr>
        <w:t xml:space="preserve">; </w:t>
      </w:r>
    </w:p>
    <w:p w:rsidR="009D4CE6" w:rsidRDefault="00A75862" w:rsidP="008C4750">
      <w:pPr>
        <w:rPr>
          <w:i/>
          <w:color w:val="000000"/>
          <w:sz w:val="18"/>
          <w:szCs w:val="18"/>
        </w:rPr>
      </w:pPr>
      <w:r w:rsidRPr="000435AC">
        <w:rPr>
          <w:i/>
          <w:color w:val="000000"/>
          <w:sz w:val="18"/>
          <w:szCs w:val="18"/>
        </w:rPr>
        <w:t>kurz CZK/EU</w:t>
      </w:r>
      <w:r w:rsidR="009D4CE6">
        <w:rPr>
          <w:i/>
          <w:color w:val="000000"/>
          <w:sz w:val="18"/>
          <w:szCs w:val="18"/>
        </w:rPr>
        <w:t>R: 27,728</w:t>
      </w:r>
      <w:r w:rsidRPr="000435AC">
        <w:rPr>
          <w:i/>
          <w:color w:val="000000"/>
          <w:sz w:val="18"/>
          <w:szCs w:val="18"/>
        </w:rPr>
        <w:t xml:space="preserve">; </w:t>
      </w:r>
    </w:p>
    <w:p w:rsidR="000C5269" w:rsidRDefault="003F4DB5" w:rsidP="008C4750">
      <w:pPr>
        <w:rPr>
          <w:i/>
          <w:color w:val="000000"/>
          <w:sz w:val="18"/>
          <w:szCs w:val="18"/>
        </w:rPr>
      </w:pPr>
      <w:r>
        <w:rPr>
          <w:i/>
          <w:color w:val="000000"/>
          <w:sz w:val="18"/>
          <w:szCs w:val="18"/>
        </w:rPr>
        <w:t>z</w:t>
      </w:r>
      <w:r w:rsidR="00A75862" w:rsidRPr="000435AC">
        <w:rPr>
          <w:i/>
          <w:color w:val="000000"/>
          <w:sz w:val="18"/>
          <w:szCs w:val="18"/>
        </w:rPr>
        <w:t xml:space="preserve">droj financování: </w:t>
      </w:r>
      <w:r>
        <w:rPr>
          <w:i/>
          <w:color w:val="000000"/>
          <w:sz w:val="18"/>
          <w:szCs w:val="18"/>
        </w:rPr>
        <w:t>p</w:t>
      </w:r>
      <w:r w:rsidR="009D3E3A">
        <w:rPr>
          <w:i/>
          <w:color w:val="000000"/>
          <w:sz w:val="18"/>
          <w:szCs w:val="18"/>
        </w:rPr>
        <w:t>odíl EU</w:t>
      </w:r>
      <w:r w:rsidR="00B06248">
        <w:rPr>
          <w:i/>
          <w:color w:val="000000"/>
          <w:sz w:val="18"/>
          <w:szCs w:val="18"/>
        </w:rPr>
        <w:t xml:space="preserve"> </w:t>
      </w:r>
      <w:r w:rsidR="009D3E3A">
        <w:rPr>
          <w:i/>
          <w:color w:val="000000"/>
          <w:sz w:val="18"/>
          <w:szCs w:val="18"/>
        </w:rPr>
        <w:t>+</w:t>
      </w:r>
      <w:r w:rsidR="00B06248">
        <w:rPr>
          <w:i/>
          <w:color w:val="000000"/>
          <w:sz w:val="18"/>
          <w:szCs w:val="18"/>
        </w:rPr>
        <w:t xml:space="preserve"> </w:t>
      </w:r>
      <w:r w:rsidR="009D3E3A">
        <w:rPr>
          <w:i/>
          <w:color w:val="000000"/>
          <w:sz w:val="18"/>
          <w:szCs w:val="18"/>
        </w:rPr>
        <w:t>národní veřejné zdroje</w:t>
      </w:r>
      <w:r w:rsidR="00B06248">
        <w:rPr>
          <w:i/>
          <w:color w:val="000000"/>
          <w:sz w:val="18"/>
          <w:szCs w:val="18"/>
        </w:rPr>
        <w:t xml:space="preserve"> </w:t>
      </w:r>
      <w:r w:rsidR="009D3E3A">
        <w:rPr>
          <w:i/>
          <w:color w:val="000000"/>
          <w:sz w:val="18"/>
          <w:szCs w:val="18"/>
        </w:rPr>
        <w:t>+</w:t>
      </w:r>
      <w:r w:rsidR="00B06248">
        <w:rPr>
          <w:i/>
          <w:color w:val="000000"/>
          <w:sz w:val="18"/>
          <w:szCs w:val="18"/>
        </w:rPr>
        <w:t xml:space="preserve"> </w:t>
      </w:r>
      <w:r w:rsidR="009D3E3A">
        <w:rPr>
          <w:i/>
          <w:color w:val="000000"/>
          <w:sz w:val="18"/>
          <w:szCs w:val="18"/>
        </w:rPr>
        <w:t>soukromé výdaje</w:t>
      </w:r>
    </w:p>
    <w:p w:rsidR="00D34911" w:rsidRDefault="00D34911" w:rsidP="008C4750">
      <w:pPr>
        <w:spacing w:after="240"/>
      </w:pPr>
    </w:p>
    <w:p w:rsidR="008E6669" w:rsidRDefault="008E6669" w:rsidP="00837A5B">
      <w:pPr>
        <w:rPr>
          <w:b/>
          <w:sz w:val="22"/>
          <w:szCs w:val="22"/>
        </w:rPr>
      </w:pPr>
    </w:p>
    <w:p w:rsidR="008E6669" w:rsidRDefault="008E6669" w:rsidP="00837A5B">
      <w:pPr>
        <w:rPr>
          <w:b/>
          <w:sz w:val="22"/>
          <w:szCs w:val="22"/>
        </w:rPr>
      </w:pPr>
    </w:p>
    <w:p w:rsidR="00457E7F" w:rsidRPr="00837A5B" w:rsidRDefault="00457E7F" w:rsidP="00837A5B">
      <w:pPr>
        <w:rPr>
          <w:b/>
          <w:sz w:val="22"/>
          <w:szCs w:val="22"/>
        </w:rPr>
      </w:pPr>
      <w:r w:rsidRPr="00837A5B">
        <w:rPr>
          <w:b/>
          <w:sz w:val="22"/>
          <w:szCs w:val="22"/>
        </w:rPr>
        <w:lastRenderedPageBreak/>
        <w:t>Podané žádosti</w:t>
      </w:r>
    </w:p>
    <w:p w:rsidR="00457E7F" w:rsidRDefault="00457E7F" w:rsidP="00457E7F">
      <w:pPr>
        <w:jc w:val="both"/>
        <w:rPr>
          <w:sz w:val="22"/>
          <w:szCs w:val="22"/>
        </w:rPr>
      </w:pPr>
      <w:r w:rsidRPr="00BB619E">
        <w:rPr>
          <w:sz w:val="22"/>
          <w:szCs w:val="22"/>
        </w:rPr>
        <w:t xml:space="preserve">V roce 2014 bylo předloženo celkem 438 nových projektových žádostí s objemem veřejných způsobilých výdajů ve výši </w:t>
      </w:r>
      <w:r w:rsidRPr="00BB619E">
        <w:rPr>
          <w:bCs/>
          <w:sz w:val="22"/>
          <w:szCs w:val="22"/>
        </w:rPr>
        <w:t>10, 614</w:t>
      </w:r>
      <w:r w:rsidRPr="00BB619E">
        <w:rPr>
          <w:b/>
          <w:bCs/>
          <w:sz w:val="22"/>
          <w:szCs w:val="22"/>
        </w:rPr>
        <w:t xml:space="preserve"> </w:t>
      </w:r>
      <w:r w:rsidRPr="00BB619E">
        <w:rPr>
          <w:sz w:val="22"/>
          <w:szCs w:val="22"/>
        </w:rPr>
        <w:t xml:space="preserve">mld. Kč (382,8 mil. </w:t>
      </w:r>
      <w:r w:rsidR="00837A5B">
        <w:rPr>
          <w:sz w:val="22"/>
          <w:szCs w:val="22"/>
        </w:rPr>
        <w:t>EUR</w:t>
      </w:r>
      <w:r w:rsidRPr="00BB619E">
        <w:rPr>
          <w:sz w:val="22"/>
          <w:szCs w:val="22"/>
        </w:rPr>
        <w:t xml:space="preserve">). Požadovaný objem prostředků EU představuje 9,08 mld. Kč (327,8 mil. </w:t>
      </w:r>
      <w:r w:rsidR="00837A5B">
        <w:rPr>
          <w:sz w:val="22"/>
          <w:szCs w:val="22"/>
        </w:rPr>
        <w:t>EUR</w:t>
      </w:r>
      <w:r w:rsidRPr="00BB619E">
        <w:rPr>
          <w:sz w:val="22"/>
          <w:szCs w:val="22"/>
        </w:rPr>
        <w:t xml:space="preserve">). </w:t>
      </w:r>
    </w:p>
    <w:p w:rsidR="00B1497E" w:rsidRPr="00BB619E" w:rsidRDefault="00B1497E" w:rsidP="00457E7F">
      <w:pPr>
        <w:jc w:val="both"/>
        <w:rPr>
          <w:b/>
          <w:bCs/>
          <w:sz w:val="22"/>
          <w:szCs w:val="22"/>
        </w:rPr>
      </w:pPr>
    </w:p>
    <w:p w:rsidR="00163840" w:rsidRDefault="00163840" w:rsidP="00163840">
      <w:pPr>
        <w:jc w:val="both"/>
        <w:rPr>
          <w:sz w:val="22"/>
          <w:szCs w:val="22"/>
        </w:rPr>
      </w:pPr>
      <w:r w:rsidRPr="00B1497E">
        <w:rPr>
          <w:sz w:val="22"/>
          <w:szCs w:val="22"/>
        </w:rPr>
        <w:t>Od zahájení implementace IOP bylo v celém programu předloženo celkem 9 721 projektových žádostí s objemem veřejných způsobilých výdajů ve výši 87,56 mld. Kč (3,15 mld. EUR). V podaných žádost</w:t>
      </w:r>
      <w:r>
        <w:rPr>
          <w:sz w:val="22"/>
          <w:szCs w:val="22"/>
        </w:rPr>
        <w:t>ech</w:t>
      </w:r>
      <w:r w:rsidRPr="00B1497E">
        <w:rPr>
          <w:sz w:val="22"/>
          <w:szCs w:val="22"/>
        </w:rPr>
        <w:t xml:space="preserve"> bylo celkem požadováno spolufinancování z prostředků EU ve výši 71,3 mld. Kč (2,5 mld. EUR), což představuje cca 159 %  dotace EU přidělené Integrovanému operačnímu programu.  </w:t>
      </w:r>
    </w:p>
    <w:p w:rsidR="00274D65" w:rsidRPr="00B1497E" w:rsidRDefault="00274D65" w:rsidP="00163840">
      <w:pPr>
        <w:jc w:val="both"/>
        <w:rPr>
          <w:sz w:val="22"/>
          <w:szCs w:val="22"/>
        </w:rPr>
      </w:pPr>
    </w:p>
    <w:p w:rsidR="00457E7F" w:rsidRDefault="00457E7F" w:rsidP="00DF342F">
      <w:pPr>
        <w:pStyle w:val="Graf"/>
        <w:rPr>
          <w:noProof/>
        </w:rPr>
      </w:pPr>
      <w:bookmarkStart w:id="49" w:name="_Toc414865568"/>
      <w:r>
        <w:t xml:space="preserve">Podíl požadované dotace EU na alokaci prioritních os </w:t>
      </w:r>
      <w:r>
        <w:rPr>
          <w:noProof/>
        </w:rPr>
        <w:drawing>
          <wp:anchor distT="0" distB="0" distL="114300" distR="114300" simplePos="0" relativeHeight="251667456" behindDoc="0" locked="0" layoutInCell="1" allowOverlap="1" wp14:anchorId="7864C2B0" wp14:editId="4C8DCD54">
            <wp:simplePos x="0" y="0"/>
            <wp:positionH relativeFrom="margin">
              <wp:align>left</wp:align>
            </wp:positionH>
            <wp:positionV relativeFrom="paragraph">
              <wp:posOffset>147320</wp:posOffset>
            </wp:positionV>
            <wp:extent cx="5760000" cy="2401200"/>
            <wp:effectExtent l="0" t="0" r="12700" b="18415"/>
            <wp:wrapTopAndBottom/>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bookmarkEnd w:id="49"/>
    </w:p>
    <w:p w:rsidR="00C86105" w:rsidRDefault="00457E7F" w:rsidP="00457E7F">
      <w:pPr>
        <w:pStyle w:val="poznmka"/>
        <w:rPr>
          <w:rFonts w:ascii="Times New Roman" w:hAnsi="Times New Roman"/>
          <w:sz w:val="18"/>
          <w:szCs w:val="18"/>
        </w:rPr>
      </w:pPr>
      <w:r w:rsidRPr="00E15735">
        <w:rPr>
          <w:rFonts w:ascii="Times New Roman" w:hAnsi="Times New Roman"/>
          <w:sz w:val="18"/>
          <w:szCs w:val="18"/>
        </w:rPr>
        <w:t xml:space="preserve">Zdroj dat: ŘO IOP, k 31. 12. 2014. </w:t>
      </w:r>
    </w:p>
    <w:p w:rsidR="00457E7F" w:rsidRPr="00E15735" w:rsidRDefault="00457E7F" w:rsidP="00457E7F">
      <w:pPr>
        <w:pStyle w:val="poznmka"/>
        <w:rPr>
          <w:rFonts w:ascii="Times New Roman" w:hAnsi="Times New Roman"/>
          <w:sz w:val="18"/>
          <w:szCs w:val="18"/>
        </w:rPr>
      </w:pPr>
      <w:r w:rsidRPr="00E15735">
        <w:rPr>
          <w:rFonts w:ascii="Times New Roman" w:hAnsi="Times New Roman"/>
          <w:sz w:val="18"/>
          <w:szCs w:val="18"/>
        </w:rPr>
        <w:t>Jedná se o procentuální podíl</w:t>
      </w:r>
      <w:r w:rsidR="00025E65">
        <w:rPr>
          <w:rFonts w:ascii="Times New Roman" w:hAnsi="Times New Roman"/>
          <w:sz w:val="18"/>
          <w:szCs w:val="18"/>
        </w:rPr>
        <w:t xml:space="preserve"> požadované dotace u </w:t>
      </w:r>
      <w:r w:rsidRPr="00E15735">
        <w:rPr>
          <w:rFonts w:ascii="Times New Roman" w:hAnsi="Times New Roman"/>
          <w:sz w:val="18"/>
          <w:szCs w:val="18"/>
        </w:rPr>
        <w:t>podaných žádostí v jednotlivých letech na celkové alokaci (EU podíl, požadovaná dotace EU přepočtena kurzem 27,728 Kč/EUR</w:t>
      </w:r>
      <w:r>
        <w:rPr>
          <w:rFonts w:ascii="Times New Roman" w:hAnsi="Times New Roman"/>
          <w:sz w:val="18"/>
          <w:szCs w:val="18"/>
        </w:rPr>
        <w:t>)</w:t>
      </w:r>
    </w:p>
    <w:p w:rsidR="00457E7F" w:rsidRDefault="00457E7F" w:rsidP="00457E7F">
      <w:pPr>
        <w:pStyle w:val="minikapitolka"/>
      </w:pPr>
    </w:p>
    <w:p w:rsidR="00457E7F" w:rsidRPr="00750620" w:rsidRDefault="00457E7F" w:rsidP="00C92C15">
      <w:pPr>
        <w:pStyle w:val="minikapitolka"/>
        <w:spacing w:before="0" w:after="0"/>
        <w:rPr>
          <w:rFonts w:ascii="Times New Roman" w:hAnsi="Times New Roman"/>
        </w:rPr>
      </w:pPr>
      <w:r w:rsidRPr="00750620">
        <w:rPr>
          <w:rFonts w:ascii="Times New Roman" w:hAnsi="Times New Roman"/>
        </w:rPr>
        <w:t>Projekty s vydaným Rozhodnutím/podepsanou Smlouvou</w:t>
      </w:r>
    </w:p>
    <w:p w:rsidR="00457E7F" w:rsidRPr="001701A3" w:rsidRDefault="00457E7F" w:rsidP="00C92C15">
      <w:pPr>
        <w:pStyle w:val="text"/>
        <w:spacing w:before="0" w:after="0"/>
        <w:rPr>
          <w:rFonts w:ascii="Times New Roman" w:hAnsi="Times New Roman"/>
        </w:rPr>
      </w:pPr>
      <w:r w:rsidRPr="001701A3">
        <w:rPr>
          <w:rFonts w:ascii="Times New Roman" w:hAnsi="Times New Roman"/>
        </w:rPr>
        <w:t xml:space="preserve">V roce 2014 Řídicí orgán IOP vydal Rozhodnutí pro dalších 228 projektů s objemem veřejných výdajů ve </w:t>
      </w:r>
      <w:r w:rsidR="00837A5B" w:rsidRPr="001701A3">
        <w:rPr>
          <w:rFonts w:ascii="Times New Roman" w:hAnsi="Times New Roman"/>
        </w:rPr>
        <w:t>výši 5,68 mld. Kč (204,99 mil. EUR</w:t>
      </w:r>
      <w:r w:rsidRPr="001701A3">
        <w:rPr>
          <w:rFonts w:ascii="Times New Roman" w:hAnsi="Times New Roman"/>
        </w:rPr>
        <w:t>) a EU podílu ve výši 4,19 mld. Kč (177,3 mil. </w:t>
      </w:r>
      <w:r w:rsidR="00837A5B" w:rsidRPr="001701A3">
        <w:rPr>
          <w:rFonts w:ascii="Times New Roman" w:hAnsi="Times New Roman"/>
        </w:rPr>
        <w:t>EUR</w:t>
      </w:r>
      <w:r w:rsidRPr="001701A3">
        <w:rPr>
          <w:rFonts w:ascii="Times New Roman" w:hAnsi="Times New Roman"/>
        </w:rPr>
        <w:t xml:space="preserve">). </w:t>
      </w:r>
    </w:p>
    <w:p w:rsidR="00163840" w:rsidRPr="001701A3" w:rsidRDefault="00163840" w:rsidP="001701A3">
      <w:pPr>
        <w:pStyle w:val="text"/>
        <w:rPr>
          <w:rFonts w:ascii="Times New Roman" w:hAnsi="Times New Roman"/>
        </w:rPr>
      </w:pPr>
      <w:r w:rsidRPr="001701A3">
        <w:rPr>
          <w:rFonts w:ascii="Times New Roman" w:hAnsi="Times New Roman"/>
        </w:rPr>
        <w:t>Celkem k 31. 12. 2014 bylo vydáno 8 547 Rozhodnutí o poskytnutí dotace v celkovém objemu 45,86 mld. Kč (1 654 mil. EUR) podílu EU, tj. 102,28 % z alokace prostředků EU v IOP.</w:t>
      </w:r>
    </w:p>
    <w:p w:rsidR="00E60ABF" w:rsidRPr="001701A3" w:rsidRDefault="00E60ABF" w:rsidP="001701A3">
      <w:pPr>
        <w:pStyle w:val="text"/>
        <w:rPr>
          <w:rFonts w:ascii="Times New Roman" w:hAnsi="Times New Roman"/>
        </w:rPr>
      </w:pPr>
    </w:p>
    <w:p w:rsidR="00457E7F" w:rsidRPr="00C763BD" w:rsidRDefault="00E60ABF" w:rsidP="00C92C15">
      <w:pPr>
        <w:pStyle w:val="Tabulkanzev"/>
      </w:pPr>
      <w:bookmarkStart w:id="50" w:name="_Toc416431807"/>
      <w:r>
        <w:t>Přehled objemu vydaných rozhodnutí (EU podíl)</w:t>
      </w:r>
      <w:bookmarkEnd w:id="50"/>
    </w:p>
    <w:tbl>
      <w:tblPr>
        <w:tblW w:w="918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640"/>
        <w:gridCol w:w="822"/>
        <w:gridCol w:w="943"/>
        <w:gridCol w:w="1064"/>
        <w:gridCol w:w="1064"/>
        <w:gridCol w:w="1064"/>
        <w:gridCol w:w="1064"/>
        <w:gridCol w:w="1064"/>
      </w:tblGrid>
      <w:tr w:rsidR="00457E7F" w:rsidTr="00A73384">
        <w:trPr>
          <w:trHeight w:val="456"/>
        </w:trPr>
        <w:tc>
          <w:tcPr>
            <w:tcW w:w="1456"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Rok</w:t>
            </w:r>
          </w:p>
        </w:tc>
        <w:tc>
          <w:tcPr>
            <w:tcW w:w="640"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2007</w:t>
            </w:r>
          </w:p>
        </w:tc>
        <w:tc>
          <w:tcPr>
            <w:tcW w:w="822"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2008</w:t>
            </w:r>
          </w:p>
        </w:tc>
        <w:tc>
          <w:tcPr>
            <w:tcW w:w="943"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2009</w:t>
            </w:r>
          </w:p>
        </w:tc>
        <w:tc>
          <w:tcPr>
            <w:tcW w:w="1064"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2010</w:t>
            </w:r>
          </w:p>
        </w:tc>
        <w:tc>
          <w:tcPr>
            <w:tcW w:w="1064"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2011</w:t>
            </w:r>
          </w:p>
        </w:tc>
        <w:tc>
          <w:tcPr>
            <w:tcW w:w="1064"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2012</w:t>
            </w:r>
          </w:p>
        </w:tc>
        <w:tc>
          <w:tcPr>
            <w:tcW w:w="1064"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2013</w:t>
            </w:r>
          </w:p>
        </w:tc>
        <w:tc>
          <w:tcPr>
            <w:tcW w:w="1064" w:type="dxa"/>
            <w:shd w:val="clear" w:color="000000" w:fill="C4D79B"/>
            <w:noWrap/>
            <w:vAlign w:val="center"/>
            <w:hideMark/>
          </w:tcPr>
          <w:p w:rsidR="00457E7F" w:rsidRDefault="00457E7F" w:rsidP="00767ABB">
            <w:pPr>
              <w:jc w:val="center"/>
              <w:rPr>
                <w:b/>
                <w:bCs/>
                <w:color w:val="000000"/>
                <w:sz w:val="22"/>
                <w:szCs w:val="22"/>
              </w:rPr>
            </w:pPr>
            <w:r>
              <w:rPr>
                <w:b/>
                <w:bCs/>
                <w:color w:val="000000"/>
                <w:sz w:val="22"/>
                <w:szCs w:val="22"/>
              </w:rPr>
              <w:t>2014</w:t>
            </w:r>
          </w:p>
        </w:tc>
      </w:tr>
      <w:tr w:rsidR="00457E7F" w:rsidTr="00A73384">
        <w:trPr>
          <w:trHeight w:val="297"/>
        </w:trPr>
        <w:tc>
          <w:tcPr>
            <w:tcW w:w="1456" w:type="dxa"/>
            <w:shd w:val="clear" w:color="auto" w:fill="auto"/>
            <w:noWrap/>
            <w:vAlign w:val="bottom"/>
            <w:hideMark/>
          </w:tcPr>
          <w:p w:rsidR="00457E7F" w:rsidRDefault="00457E7F" w:rsidP="00457E7F">
            <w:pPr>
              <w:rPr>
                <w:color w:val="000000"/>
                <w:sz w:val="22"/>
                <w:szCs w:val="22"/>
              </w:rPr>
            </w:pPr>
            <w:r>
              <w:rPr>
                <w:color w:val="000000"/>
                <w:sz w:val="22"/>
                <w:szCs w:val="22"/>
              </w:rPr>
              <w:t xml:space="preserve">v mil. Kč </w:t>
            </w:r>
          </w:p>
        </w:tc>
        <w:tc>
          <w:tcPr>
            <w:tcW w:w="640" w:type="dxa"/>
            <w:shd w:val="clear" w:color="auto" w:fill="auto"/>
            <w:noWrap/>
            <w:vAlign w:val="bottom"/>
            <w:hideMark/>
          </w:tcPr>
          <w:p w:rsidR="00457E7F" w:rsidRDefault="00457E7F" w:rsidP="00457E7F">
            <w:pPr>
              <w:jc w:val="right"/>
              <w:rPr>
                <w:color w:val="000000"/>
                <w:sz w:val="22"/>
                <w:szCs w:val="22"/>
              </w:rPr>
            </w:pPr>
            <w:r>
              <w:rPr>
                <w:color w:val="000000"/>
                <w:sz w:val="22"/>
                <w:szCs w:val="22"/>
              </w:rPr>
              <w:t>0</w:t>
            </w:r>
          </w:p>
        </w:tc>
        <w:tc>
          <w:tcPr>
            <w:tcW w:w="822" w:type="dxa"/>
            <w:shd w:val="clear" w:color="auto" w:fill="auto"/>
            <w:noWrap/>
            <w:vAlign w:val="bottom"/>
            <w:hideMark/>
          </w:tcPr>
          <w:p w:rsidR="00457E7F" w:rsidRDefault="00457E7F" w:rsidP="00457E7F">
            <w:pPr>
              <w:jc w:val="right"/>
              <w:rPr>
                <w:color w:val="000000"/>
                <w:sz w:val="22"/>
                <w:szCs w:val="22"/>
              </w:rPr>
            </w:pPr>
            <w:r>
              <w:rPr>
                <w:color w:val="000000"/>
                <w:sz w:val="22"/>
                <w:szCs w:val="22"/>
              </w:rPr>
              <w:t>325,12</w:t>
            </w:r>
          </w:p>
        </w:tc>
        <w:tc>
          <w:tcPr>
            <w:tcW w:w="943" w:type="dxa"/>
            <w:shd w:val="clear" w:color="auto" w:fill="auto"/>
            <w:noWrap/>
            <w:vAlign w:val="bottom"/>
            <w:hideMark/>
          </w:tcPr>
          <w:p w:rsidR="00457E7F" w:rsidRDefault="00457E7F" w:rsidP="00457E7F">
            <w:pPr>
              <w:jc w:val="right"/>
              <w:rPr>
                <w:color w:val="000000"/>
                <w:sz w:val="22"/>
                <w:szCs w:val="22"/>
              </w:rPr>
            </w:pPr>
            <w:r>
              <w:rPr>
                <w:color w:val="000000"/>
                <w:sz w:val="22"/>
                <w:szCs w:val="22"/>
              </w:rPr>
              <w:t>9 924,86</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21 220,81</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29 615,20</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35 041,16</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39 812,25</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45 862,48</w:t>
            </w:r>
          </w:p>
        </w:tc>
      </w:tr>
      <w:tr w:rsidR="00457E7F" w:rsidTr="00A73384">
        <w:trPr>
          <w:trHeight w:val="297"/>
        </w:trPr>
        <w:tc>
          <w:tcPr>
            <w:tcW w:w="1456" w:type="dxa"/>
            <w:shd w:val="clear" w:color="auto" w:fill="auto"/>
            <w:noWrap/>
            <w:vAlign w:val="bottom"/>
            <w:hideMark/>
          </w:tcPr>
          <w:p w:rsidR="00457E7F" w:rsidRDefault="00457E7F" w:rsidP="00457E7F">
            <w:pPr>
              <w:rPr>
                <w:color w:val="000000"/>
                <w:sz w:val="22"/>
                <w:szCs w:val="22"/>
              </w:rPr>
            </w:pPr>
            <w:r>
              <w:rPr>
                <w:color w:val="000000"/>
                <w:sz w:val="22"/>
                <w:szCs w:val="22"/>
              </w:rPr>
              <w:t xml:space="preserve">v mil. EUR </w:t>
            </w:r>
          </w:p>
        </w:tc>
        <w:tc>
          <w:tcPr>
            <w:tcW w:w="640" w:type="dxa"/>
            <w:shd w:val="clear" w:color="auto" w:fill="auto"/>
            <w:noWrap/>
            <w:vAlign w:val="bottom"/>
            <w:hideMark/>
          </w:tcPr>
          <w:p w:rsidR="00457E7F" w:rsidRDefault="00457E7F" w:rsidP="00457E7F">
            <w:pPr>
              <w:jc w:val="right"/>
              <w:rPr>
                <w:color w:val="000000"/>
                <w:sz w:val="22"/>
                <w:szCs w:val="22"/>
              </w:rPr>
            </w:pPr>
            <w:r>
              <w:rPr>
                <w:color w:val="000000"/>
                <w:sz w:val="22"/>
                <w:szCs w:val="22"/>
              </w:rPr>
              <w:t>0</w:t>
            </w:r>
          </w:p>
        </w:tc>
        <w:tc>
          <w:tcPr>
            <w:tcW w:w="822" w:type="dxa"/>
            <w:shd w:val="clear" w:color="auto" w:fill="auto"/>
            <w:noWrap/>
            <w:vAlign w:val="bottom"/>
            <w:hideMark/>
          </w:tcPr>
          <w:p w:rsidR="00457E7F" w:rsidRDefault="00457E7F" w:rsidP="00457E7F">
            <w:pPr>
              <w:jc w:val="right"/>
              <w:rPr>
                <w:color w:val="000000"/>
                <w:sz w:val="22"/>
                <w:szCs w:val="22"/>
              </w:rPr>
            </w:pPr>
            <w:r>
              <w:rPr>
                <w:color w:val="000000"/>
                <w:sz w:val="22"/>
                <w:szCs w:val="22"/>
              </w:rPr>
              <w:t>12,21</w:t>
            </w:r>
          </w:p>
        </w:tc>
        <w:tc>
          <w:tcPr>
            <w:tcW w:w="943" w:type="dxa"/>
            <w:shd w:val="clear" w:color="auto" w:fill="auto"/>
            <w:noWrap/>
            <w:vAlign w:val="bottom"/>
            <w:hideMark/>
          </w:tcPr>
          <w:p w:rsidR="00457E7F" w:rsidRDefault="00457E7F" w:rsidP="00457E7F">
            <w:pPr>
              <w:jc w:val="right"/>
              <w:rPr>
                <w:color w:val="000000"/>
                <w:sz w:val="22"/>
                <w:szCs w:val="22"/>
              </w:rPr>
            </w:pPr>
            <w:r>
              <w:rPr>
                <w:color w:val="000000"/>
                <w:sz w:val="22"/>
                <w:szCs w:val="22"/>
              </w:rPr>
              <w:t>375,94</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840,76</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1 143,00</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1 393,84</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1 448,77</w:t>
            </w:r>
          </w:p>
        </w:tc>
        <w:tc>
          <w:tcPr>
            <w:tcW w:w="1064" w:type="dxa"/>
            <w:shd w:val="clear" w:color="auto" w:fill="auto"/>
            <w:noWrap/>
            <w:vAlign w:val="bottom"/>
            <w:hideMark/>
          </w:tcPr>
          <w:p w:rsidR="00457E7F" w:rsidRDefault="00457E7F" w:rsidP="00457E7F">
            <w:pPr>
              <w:jc w:val="right"/>
              <w:rPr>
                <w:color w:val="000000"/>
                <w:sz w:val="22"/>
                <w:szCs w:val="22"/>
              </w:rPr>
            </w:pPr>
            <w:r>
              <w:rPr>
                <w:color w:val="000000"/>
                <w:sz w:val="22"/>
                <w:szCs w:val="22"/>
              </w:rPr>
              <w:t>1 654,01</w:t>
            </w:r>
          </w:p>
        </w:tc>
      </w:tr>
    </w:tbl>
    <w:p w:rsidR="00457E7F" w:rsidRPr="00C86105" w:rsidRDefault="00E60ABF" w:rsidP="00C86105">
      <w:pPr>
        <w:rPr>
          <w:i/>
          <w:color w:val="000000"/>
          <w:sz w:val="18"/>
          <w:szCs w:val="18"/>
        </w:rPr>
      </w:pPr>
      <w:r w:rsidRPr="00C86105">
        <w:rPr>
          <w:i/>
          <w:color w:val="000000"/>
          <w:sz w:val="18"/>
          <w:szCs w:val="18"/>
        </w:rPr>
        <w:t>Zdroj: ŘO IOP k </w:t>
      </w:r>
      <w:r w:rsidR="00EE20BF" w:rsidRPr="00C86105">
        <w:rPr>
          <w:i/>
          <w:color w:val="000000"/>
          <w:sz w:val="18"/>
          <w:szCs w:val="18"/>
        </w:rPr>
        <w:t>31. 12. 2014</w:t>
      </w:r>
    </w:p>
    <w:p w:rsidR="00E60ABF" w:rsidRPr="001701A3" w:rsidRDefault="00E60ABF" w:rsidP="001701A3">
      <w:pPr>
        <w:pStyle w:val="text"/>
        <w:rPr>
          <w:rFonts w:ascii="Times New Roman" w:hAnsi="Times New Roman"/>
        </w:rPr>
      </w:pPr>
    </w:p>
    <w:p w:rsidR="00457E7F" w:rsidRDefault="00457E7F" w:rsidP="00457E7F">
      <w:pPr>
        <w:pStyle w:val="Graf"/>
      </w:pPr>
      <w:bookmarkStart w:id="51" w:name="_Toc414865569"/>
      <w:r w:rsidRPr="00457E7F">
        <w:lastRenderedPageBreak/>
        <w:t xml:space="preserve">Vývoj schválených projektů s vydaným Rozhodnutím/Smlouvou v období 2007-2014 </w:t>
      </w:r>
      <w:r>
        <w:rPr>
          <w:noProof/>
        </w:rPr>
        <w:drawing>
          <wp:inline distT="0" distB="0" distL="0" distR="0" wp14:anchorId="770ADEDD" wp14:editId="7714ABD5">
            <wp:extent cx="5760720" cy="2495006"/>
            <wp:effectExtent l="0" t="0" r="11430" b="1968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51"/>
    </w:p>
    <w:p w:rsidR="00C86105" w:rsidRDefault="00457E7F" w:rsidP="00044E54">
      <w:pPr>
        <w:pStyle w:val="poznmka"/>
        <w:rPr>
          <w:rFonts w:ascii="Times New Roman" w:hAnsi="Times New Roman"/>
          <w:sz w:val="18"/>
          <w:szCs w:val="18"/>
        </w:rPr>
      </w:pPr>
      <w:r w:rsidRPr="00076E6B">
        <w:rPr>
          <w:rFonts w:ascii="Times New Roman" w:hAnsi="Times New Roman"/>
          <w:sz w:val="18"/>
          <w:szCs w:val="18"/>
        </w:rPr>
        <w:t>Zdroj dat: ŘO IOP, k 31. 12. 2014.</w:t>
      </w:r>
    </w:p>
    <w:p w:rsidR="00457E7F" w:rsidRDefault="00457E7F" w:rsidP="00044E54">
      <w:pPr>
        <w:pStyle w:val="poznmka"/>
        <w:rPr>
          <w:rFonts w:ascii="Times New Roman" w:hAnsi="Times New Roman"/>
          <w:sz w:val="18"/>
          <w:szCs w:val="18"/>
        </w:rPr>
      </w:pPr>
      <w:r w:rsidRPr="00076E6B">
        <w:rPr>
          <w:rFonts w:ascii="Times New Roman" w:hAnsi="Times New Roman"/>
          <w:sz w:val="18"/>
          <w:szCs w:val="18"/>
        </w:rPr>
        <w:t xml:space="preserve">Jedná se o procentuální podíl projektů s vydaným rozhodnutím v jednotlivých letech/celkové </w:t>
      </w:r>
      <w:r w:rsidR="006166CE" w:rsidRPr="00076E6B">
        <w:rPr>
          <w:rFonts w:ascii="Times New Roman" w:hAnsi="Times New Roman"/>
          <w:sz w:val="18"/>
          <w:szCs w:val="18"/>
        </w:rPr>
        <w:t>alokaci (EU</w:t>
      </w:r>
      <w:r w:rsidRPr="00076E6B">
        <w:rPr>
          <w:rFonts w:ascii="Times New Roman" w:hAnsi="Times New Roman"/>
          <w:sz w:val="18"/>
          <w:szCs w:val="18"/>
        </w:rPr>
        <w:t xml:space="preserve"> podíl).</w:t>
      </w:r>
    </w:p>
    <w:p w:rsidR="000977C6" w:rsidRDefault="000977C6" w:rsidP="00044E54">
      <w:pPr>
        <w:pStyle w:val="poznmka"/>
        <w:rPr>
          <w:rFonts w:ascii="Times New Roman" w:hAnsi="Times New Roman"/>
          <w:sz w:val="18"/>
          <w:szCs w:val="18"/>
        </w:rPr>
      </w:pPr>
    </w:p>
    <w:p w:rsidR="00243FD2" w:rsidRDefault="00243FD2" w:rsidP="00044E54">
      <w:pPr>
        <w:pStyle w:val="poznmka"/>
        <w:rPr>
          <w:rFonts w:ascii="Times New Roman" w:hAnsi="Times New Roman"/>
          <w:sz w:val="18"/>
          <w:szCs w:val="18"/>
        </w:rPr>
      </w:pPr>
    </w:p>
    <w:p w:rsidR="00243FD2" w:rsidRPr="00044E54" w:rsidRDefault="00243FD2" w:rsidP="00044E54">
      <w:pPr>
        <w:pStyle w:val="poznmka"/>
        <w:rPr>
          <w:rFonts w:ascii="Times New Roman" w:hAnsi="Times New Roman"/>
          <w:sz w:val="18"/>
          <w:szCs w:val="18"/>
        </w:rPr>
      </w:pPr>
    </w:p>
    <w:p w:rsidR="00457E7F" w:rsidRDefault="00457E7F" w:rsidP="00457E7F">
      <w:pPr>
        <w:pStyle w:val="Graf"/>
        <w:contextualSpacing/>
      </w:pPr>
      <w:bookmarkStart w:id="52" w:name="_Toc414865570"/>
      <w:r>
        <w:t>Podíl schválené dotace ve vydaných rozhodnutích/smlouvách na alokaci prioritních os</w:t>
      </w:r>
      <w:r>
        <w:rPr>
          <w:noProof/>
        </w:rPr>
        <w:drawing>
          <wp:inline distT="0" distB="0" distL="0" distR="0" wp14:anchorId="6F110BA1" wp14:editId="7BF80610">
            <wp:extent cx="5760720" cy="2521132"/>
            <wp:effectExtent l="0" t="0" r="11430" b="1270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52"/>
    </w:p>
    <w:p w:rsidR="00C86105" w:rsidRDefault="00457E7F" w:rsidP="00457E7F">
      <w:pPr>
        <w:pStyle w:val="poznmka"/>
        <w:rPr>
          <w:rFonts w:ascii="Times New Roman" w:hAnsi="Times New Roman"/>
          <w:sz w:val="18"/>
          <w:szCs w:val="18"/>
        </w:rPr>
      </w:pPr>
      <w:r w:rsidRPr="00076E6B">
        <w:rPr>
          <w:rFonts w:ascii="Times New Roman" w:hAnsi="Times New Roman"/>
          <w:sz w:val="18"/>
          <w:szCs w:val="18"/>
        </w:rPr>
        <w:t xml:space="preserve">Zdroj dat: ŘO IOP, k 31. 12. 2014. </w:t>
      </w:r>
    </w:p>
    <w:p w:rsidR="00457E7F" w:rsidRPr="00076E6B" w:rsidRDefault="00457E7F" w:rsidP="00457E7F">
      <w:pPr>
        <w:pStyle w:val="poznmka"/>
        <w:rPr>
          <w:rFonts w:ascii="Times New Roman" w:hAnsi="Times New Roman"/>
          <w:sz w:val="18"/>
          <w:szCs w:val="18"/>
        </w:rPr>
      </w:pPr>
      <w:r w:rsidRPr="00076E6B">
        <w:rPr>
          <w:rFonts w:ascii="Times New Roman" w:hAnsi="Times New Roman"/>
          <w:sz w:val="18"/>
          <w:szCs w:val="18"/>
        </w:rPr>
        <w:t>Jedná se o procentuální podíl projektů s vydaným rozhodnutím/smlouvou v jednotlivých prioritních osách na celkové alokaci (EU podíl, schválená dotace přepočtena kurzem 27,728 Kč/EUR)</w:t>
      </w:r>
    </w:p>
    <w:p w:rsidR="00457E7F" w:rsidRPr="001701A3" w:rsidRDefault="00457E7F" w:rsidP="001701A3">
      <w:pPr>
        <w:pStyle w:val="text"/>
        <w:rPr>
          <w:rFonts w:ascii="Times New Roman" w:hAnsi="Times New Roman"/>
        </w:rPr>
      </w:pPr>
    </w:p>
    <w:p w:rsidR="00457E7F" w:rsidRPr="00BC77FA" w:rsidRDefault="00457E7F" w:rsidP="007918BA">
      <w:pPr>
        <w:pStyle w:val="minikapitolka"/>
        <w:spacing w:before="0" w:after="0"/>
        <w:rPr>
          <w:rFonts w:ascii="Times New Roman" w:hAnsi="Times New Roman"/>
        </w:rPr>
      </w:pPr>
      <w:r w:rsidRPr="00BC77FA">
        <w:rPr>
          <w:rFonts w:ascii="Times New Roman" w:hAnsi="Times New Roman"/>
        </w:rPr>
        <w:t>Proplacené prostředky příjemcům</w:t>
      </w:r>
    </w:p>
    <w:p w:rsidR="007918BA" w:rsidRPr="0033102F" w:rsidRDefault="007918BA" w:rsidP="007918BA">
      <w:pPr>
        <w:pStyle w:val="text1"/>
        <w:spacing w:before="0" w:after="0"/>
        <w:rPr>
          <w:rFonts w:ascii="Times New Roman" w:hAnsi="Times New Roman"/>
          <w:bCs/>
          <w:szCs w:val="22"/>
        </w:rPr>
      </w:pPr>
      <w:r w:rsidRPr="00986E8C">
        <w:rPr>
          <w:rFonts w:ascii="Times New Roman" w:hAnsi="Times New Roman"/>
        </w:rPr>
        <w:t xml:space="preserve">Ke konci roku 2014 bylo proplaceno příjemcům celkem 33 632 mil. Kč (1 212 mil. EUR) </w:t>
      </w:r>
      <w:r w:rsidRPr="00986E8C">
        <w:rPr>
          <w:rFonts w:ascii="Times New Roman" w:hAnsi="Times New Roman"/>
        </w:rPr>
        <w:br/>
        <w:t xml:space="preserve">a </w:t>
      </w:r>
      <w:r w:rsidRPr="00986E8C">
        <w:rPr>
          <w:rFonts w:ascii="Times New Roman" w:hAnsi="Times New Roman"/>
          <w:bCs/>
          <w:szCs w:val="22"/>
        </w:rPr>
        <w:t xml:space="preserve">míra čerpání dosáhla 66,8 % s ohledem na celkové zdroje veřejných prostředků, které jsou v IOP k dispozici. Míra čerpání příspěvku </w:t>
      </w:r>
      <w:r w:rsidR="009E4C23">
        <w:rPr>
          <w:rFonts w:ascii="Times New Roman" w:hAnsi="Times New Roman"/>
          <w:bCs/>
          <w:szCs w:val="22"/>
        </w:rPr>
        <w:t>EU dosáhla 63</w:t>
      </w:r>
      <w:r w:rsidRPr="00986E8C">
        <w:rPr>
          <w:rFonts w:ascii="Times New Roman" w:hAnsi="Times New Roman"/>
          <w:bCs/>
          <w:szCs w:val="22"/>
        </w:rPr>
        <w:t> % - viz graf č. 6.</w:t>
      </w:r>
      <w:r w:rsidRPr="0033102F">
        <w:rPr>
          <w:rFonts w:ascii="Times New Roman" w:hAnsi="Times New Roman"/>
          <w:bCs/>
          <w:szCs w:val="22"/>
        </w:rPr>
        <w:t xml:space="preserve"> </w:t>
      </w:r>
    </w:p>
    <w:p w:rsidR="00457E7F" w:rsidRDefault="00457E7F" w:rsidP="00457E7F">
      <w:pPr>
        <w:pStyle w:val="nazevgrafu"/>
      </w:pPr>
    </w:p>
    <w:p w:rsidR="00457E7F" w:rsidRDefault="00457E7F" w:rsidP="00457E7F">
      <w:pPr>
        <w:pStyle w:val="Graf"/>
        <w:numPr>
          <w:ilvl w:val="0"/>
          <w:numId w:val="48"/>
        </w:numPr>
        <w:rPr>
          <w:noProof/>
        </w:rPr>
      </w:pPr>
      <w:bookmarkStart w:id="53" w:name="_Toc414865571"/>
      <w:r>
        <w:lastRenderedPageBreak/>
        <w:t>Podíl proplacených prostředků EU příjemcům na alokaci prioritních os</w:t>
      </w:r>
      <w:bookmarkEnd w:id="53"/>
    </w:p>
    <w:p w:rsidR="00986E8C" w:rsidRDefault="009E4C23" w:rsidP="00986E8C">
      <w:r>
        <w:rPr>
          <w:noProof/>
        </w:rPr>
        <w:drawing>
          <wp:inline distT="0" distB="0" distL="0" distR="0" wp14:anchorId="750D8746" wp14:editId="230B8530">
            <wp:extent cx="5553075" cy="2686050"/>
            <wp:effectExtent l="0" t="0" r="9525" b="1905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86105" w:rsidRDefault="00457E7F" w:rsidP="00044E54">
      <w:pPr>
        <w:pStyle w:val="poznmka"/>
        <w:rPr>
          <w:rFonts w:ascii="Times New Roman" w:hAnsi="Times New Roman"/>
          <w:sz w:val="18"/>
          <w:szCs w:val="18"/>
        </w:rPr>
      </w:pPr>
      <w:r w:rsidRPr="00436FF1">
        <w:rPr>
          <w:rFonts w:ascii="Times New Roman" w:hAnsi="Times New Roman"/>
          <w:sz w:val="18"/>
          <w:szCs w:val="18"/>
        </w:rPr>
        <w:t xml:space="preserve">Zdroj dat: ŘO IOP, k 31. 12.  2014, uplatněn kurz 27,728 Kč/€. </w:t>
      </w:r>
    </w:p>
    <w:p w:rsidR="00837A5B" w:rsidRPr="00044E54" w:rsidRDefault="00457E7F" w:rsidP="00044E54">
      <w:pPr>
        <w:pStyle w:val="poznmka"/>
        <w:rPr>
          <w:rFonts w:ascii="Times New Roman" w:hAnsi="Times New Roman"/>
          <w:sz w:val="18"/>
          <w:szCs w:val="18"/>
        </w:rPr>
      </w:pPr>
      <w:r w:rsidRPr="00436FF1">
        <w:rPr>
          <w:rFonts w:ascii="Times New Roman" w:hAnsi="Times New Roman"/>
          <w:sz w:val="18"/>
          <w:szCs w:val="18"/>
        </w:rPr>
        <w:t>Jedná se o procentuální podíl proplacených prostředků EU příjemcům na celkové alokaci EU, vyčleněn</w:t>
      </w:r>
      <w:r w:rsidR="00C86105">
        <w:rPr>
          <w:rFonts w:ascii="Times New Roman" w:hAnsi="Times New Roman"/>
          <w:sz w:val="18"/>
          <w:szCs w:val="18"/>
        </w:rPr>
        <w:t>é pro jednotlivé prioritní osy.</w:t>
      </w:r>
    </w:p>
    <w:p w:rsidR="00194D08" w:rsidRDefault="00194D08" w:rsidP="00457E7F">
      <w:pPr>
        <w:pStyle w:val="minikapitolka"/>
        <w:rPr>
          <w:rFonts w:ascii="Times New Roman" w:hAnsi="Times New Roman"/>
        </w:rPr>
      </w:pPr>
    </w:p>
    <w:p w:rsidR="00457E7F" w:rsidRPr="007F462D" w:rsidRDefault="00457E7F" w:rsidP="00243FD2">
      <w:pPr>
        <w:pStyle w:val="minikapitolka"/>
        <w:spacing w:before="0" w:after="0"/>
        <w:rPr>
          <w:rFonts w:ascii="Times New Roman" w:hAnsi="Times New Roman"/>
        </w:rPr>
      </w:pPr>
      <w:r w:rsidRPr="007F462D">
        <w:rPr>
          <w:rFonts w:ascii="Times New Roman" w:hAnsi="Times New Roman"/>
        </w:rPr>
        <w:t>Certifikované výdaje předložené EK</w:t>
      </w:r>
    </w:p>
    <w:p w:rsidR="00457E7F" w:rsidRPr="00837A5B" w:rsidRDefault="00457E7F" w:rsidP="00243FD2">
      <w:pPr>
        <w:rPr>
          <w:sz w:val="22"/>
          <w:szCs w:val="22"/>
        </w:rPr>
      </w:pPr>
      <w:r w:rsidRPr="00837A5B">
        <w:rPr>
          <w:sz w:val="22"/>
          <w:szCs w:val="22"/>
        </w:rPr>
        <w:t>Objem certifikovaných veřejných výdajů představoval 33</w:t>
      </w:r>
      <w:r w:rsidR="00073C70">
        <w:rPr>
          <w:sz w:val="22"/>
          <w:szCs w:val="22"/>
        </w:rPr>
        <w:t>,</w:t>
      </w:r>
      <w:r w:rsidRPr="00837A5B">
        <w:rPr>
          <w:sz w:val="22"/>
          <w:szCs w:val="22"/>
        </w:rPr>
        <w:t>142 mld. Kč (1,283 mld.</w:t>
      </w:r>
      <w:r w:rsidR="00837A5B">
        <w:rPr>
          <w:sz w:val="22"/>
          <w:szCs w:val="22"/>
        </w:rPr>
        <w:t xml:space="preserve"> EUR</w:t>
      </w:r>
      <w:r w:rsidRPr="00837A5B">
        <w:rPr>
          <w:sz w:val="22"/>
          <w:szCs w:val="22"/>
        </w:rPr>
        <w:t>), z toho prostředky EU představovaly 27,477 mld. Kč (1,003 mld.</w:t>
      </w:r>
      <w:r w:rsidR="00837A5B">
        <w:rPr>
          <w:sz w:val="22"/>
          <w:szCs w:val="22"/>
        </w:rPr>
        <w:t xml:space="preserve"> EUR</w:t>
      </w:r>
      <w:r w:rsidRPr="00837A5B">
        <w:rPr>
          <w:sz w:val="22"/>
          <w:szCs w:val="22"/>
        </w:rPr>
        <w:t xml:space="preserve">). </w:t>
      </w:r>
    </w:p>
    <w:p w:rsidR="00457E7F" w:rsidRDefault="00457E7F" w:rsidP="00457E7F">
      <w:pPr>
        <w:pStyle w:val="nazevgrafu"/>
      </w:pPr>
    </w:p>
    <w:p w:rsidR="00457E7F" w:rsidRDefault="00457E7F" w:rsidP="00457E7F">
      <w:pPr>
        <w:pStyle w:val="Graf"/>
      </w:pPr>
      <w:bookmarkStart w:id="54" w:name="_Toc414865572"/>
      <w:r>
        <w:t>Podíl certifikovaných výdajů v jednotlivých prioritních osách na alokaci prioritních os</w:t>
      </w:r>
      <w:r>
        <w:rPr>
          <w:noProof/>
        </w:rPr>
        <w:drawing>
          <wp:inline distT="0" distB="0" distL="0" distR="0" wp14:anchorId="0C01468D" wp14:editId="27FC46F9">
            <wp:extent cx="5867400" cy="2743200"/>
            <wp:effectExtent l="0" t="0" r="19050" b="1905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54"/>
    </w:p>
    <w:p w:rsidR="00C86105" w:rsidRDefault="00457E7F" w:rsidP="00457E7F">
      <w:pPr>
        <w:rPr>
          <w:i/>
          <w:sz w:val="18"/>
          <w:szCs w:val="18"/>
        </w:rPr>
      </w:pPr>
      <w:r w:rsidRPr="00FC46B2">
        <w:rPr>
          <w:i/>
          <w:sz w:val="18"/>
          <w:szCs w:val="18"/>
        </w:rPr>
        <w:t xml:space="preserve">Zdroj dat: ŘO IOP, k 31. 12. 2014.  </w:t>
      </w:r>
    </w:p>
    <w:p w:rsidR="00457E7F" w:rsidRPr="00FC46B2" w:rsidRDefault="00457E7F" w:rsidP="00457E7F">
      <w:pPr>
        <w:rPr>
          <w:i/>
          <w:sz w:val="18"/>
          <w:szCs w:val="18"/>
        </w:rPr>
      </w:pPr>
      <w:r w:rsidRPr="00FC46B2">
        <w:rPr>
          <w:i/>
          <w:sz w:val="18"/>
          <w:szCs w:val="18"/>
        </w:rPr>
        <w:t>Jedná se o procentuální podíl certifikovaných výdajů předložených EK na alokaci  jednotlivých prioritních os.</w:t>
      </w:r>
    </w:p>
    <w:p w:rsidR="00044E54" w:rsidRDefault="00044E54" w:rsidP="00044E54">
      <w:pPr>
        <w:rPr>
          <w:b/>
          <w:sz w:val="24"/>
          <w:szCs w:val="24"/>
        </w:rPr>
      </w:pPr>
    </w:p>
    <w:p w:rsidR="00DD6BAD" w:rsidRDefault="00A75862" w:rsidP="00044E54">
      <w:pPr>
        <w:rPr>
          <w:b/>
          <w:sz w:val="24"/>
          <w:szCs w:val="24"/>
        </w:rPr>
      </w:pPr>
      <w:r>
        <w:rPr>
          <w:b/>
          <w:sz w:val="24"/>
          <w:szCs w:val="24"/>
        </w:rPr>
        <w:t>Informace o vyřazených projektech</w:t>
      </w:r>
    </w:p>
    <w:p w:rsidR="000977C6" w:rsidRDefault="00A75862" w:rsidP="00044E54">
      <w:pPr>
        <w:jc w:val="both"/>
        <w:rPr>
          <w:sz w:val="22"/>
          <w:szCs w:val="22"/>
        </w:rPr>
      </w:pPr>
      <w:r w:rsidRPr="000435AC">
        <w:rPr>
          <w:sz w:val="22"/>
          <w:szCs w:val="22"/>
        </w:rPr>
        <w:t xml:space="preserve">ŘO IOP sleduje statistiky vyřazených projektů podle pozitivních a negativních stavů. Rozlišuje se vyřazení projektu v období do vydání právního aktu (stavy N1.1, N1.2, </w:t>
      </w:r>
      <w:r w:rsidR="004224EF">
        <w:rPr>
          <w:sz w:val="22"/>
          <w:szCs w:val="22"/>
        </w:rPr>
        <w:t>N1.3,</w:t>
      </w:r>
      <w:r w:rsidRPr="000435AC">
        <w:rPr>
          <w:sz w:val="22"/>
          <w:szCs w:val="22"/>
        </w:rPr>
        <w:t xml:space="preserve">N2.1, N2.2, N2.3 a N5) </w:t>
      </w:r>
      <w:r w:rsidR="00AB5C5E">
        <w:rPr>
          <w:sz w:val="22"/>
          <w:szCs w:val="22"/>
        </w:rPr>
        <w:br/>
      </w:r>
      <w:r w:rsidRPr="000435AC">
        <w:rPr>
          <w:sz w:val="22"/>
          <w:szCs w:val="22"/>
        </w:rPr>
        <w:t xml:space="preserve">a v době realizace projektu po vydání právního aktu (stav N7, N8). </w:t>
      </w:r>
    </w:p>
    <w:p w:rsidR="00A75862" w:rsidRDefault="00A75862" w:rsidP="00044E54">
      <w:pPr>
        <w:jc w:val="both"/>
        <w:rPr>
          <w:sz w:val="22"/>
          <w:szCs w:val="22"/>
        </w:rPr>
      </w:pPr>
      <w:r w:rsidRPr="000435AC">
        <w:rPr>
          <w:sz w:val="22"/>
          <w:szCs w:val="22"/>
        </w:rPr>
        <w:t>K vyřazení projektů může dojít na základě rozhodnutí žadatele</w:t>
      </w:r>
      <w:r w:rsidR="00FB04C8">
        <w:rPr>
          <w:sz w:val="22"/>
          <w:szCs w:val="22"/>
        </w:rPr>
        <w:t>,</w:t>
      </w:r>
      <w:r w:rsidRPr="000435AC">
        <w:rPr>
          <w:sz w:val="22"/>
          <w:szCs w:val="22"/>
        </w:rPr>
        <w:t xml:space="preserve"> což odpovídá stavům v IS Monit7+ IOP s označením N5 </w:t>
      </w:r>
      <w:r w:rsidRPr="000435AC">
        <w:rPr>
          <w:iCs/>
          <w:sz w:val="22"/>
          <w:szCs w:val="22"/>
        </w:rPr>
        <w:t>Projektová žádost stažena žadatelem</w:t>
      </w:r>
      <w:r w:rsidRPr="000435AC">
        <w:rPr>
          <w:sz w:val="22"/>
          <w:szCs w:val="22"/>
        </w:rPr>
        <w:t xml:space="preserve"> a N7 </w:t>
      </w:r>
      <w:r w:rsidRPr="000435AC">
        <w:rPr>
          <w:iCs/>
          <w:sz w:val="22"/>
          <w:szCs w:val="22"/>
        </w:rPr>
        <w:t>Projekt nedokončen/stažen</w:t>
      </w:r>
      <w:r w:rsidR="00FB04C8">
        <w:rPr>
          <w:sz w:val="22"/>
          <w:szCs w:val="22"/>
        </w:rPr>
        <w:t>,</w:t>
      </w:r>
      <w:r w:rsidRPr="000435AC">
        <w:rPr>
          <w:sz w:val="22"/>
          <w:szCs w:val="22"/>
        </w:rPr>
        <w:t xml:space="preserve"> nebo na základě rozhodnutí ŘO/ZS (dále zamítnuté projekty).</w:t>
      </w:r>
    </w:p>
    <w:p w:rsidR="00256D1F" w:rsidRDefault="00A75862" w:rsidP="00DD6BAD">
      <w:pPr>
        <w:jc w:val="both"/>
        <w:rPr>
          <w:sz w:val="22"/>
          <w:szCs w:val="22"/>
        </w:rPr>
      </w:pPr>
      <w:r w:rsidRPr="00B24A9F">
        <w:rPr>
          <w:sz w:val="22"/>
          <w:szCs w:val="22"/>
        </w:rPr>
        <w:lastRenderedPageBreak/>
        <w:t>K </w:t>
      </w:r>
      <w:r w:rsidR="00EE20BF" w:rsidRPr="00B24A9F">
        <w:rPr>
          <w:sz w:val="22"/>
          <w:szCs w:val="22"/>
        </w:rPr>
        <w:t>31. 12. 2014</w:t>
      </w:r>
      <w:r w:rsidRPr="00B24A9F">
        <w:rPr>
          <w:sz w:val="22"/>
          <w:szCs w:val="22"/>
        </w:rPr>
        <w:t xml:space="preserve"> bylo z</w:t>
      </w:r>
      <w:r w:rsidR="00073C70">
        <w:rPr>
          <w:sz w:val="22"/>
          <w:szCs w:val="22"/>
        </w:rPr>
        <w:t> </w:t>
      </w:r>
      <w:r w:rsidRPr="00B24A9F">
        <w:rPr>
          <w:sz w:val="22"/>
          <w:szCs w:val="22"/>
        </w:rPr>
        <w:t>9</w:t>
      </w:r>
      <w:r w:rsidR="00073C70">
        <w:rPr>
          <w:sz w:val="22"/>
          <w:szCs w:val="22"/>
        </w:rPr>
        <w:t xml:space="preserve"> </w:t>
      </w:r>
      <w:r w:rsidR="004224EF" w:rsidRPr="00B24A9F">
        <w:rPr>
          <w:sz w:val="22"/>
          <w:szCs w:val="22"/>
        </w:rPr>
        <w:t>721</w:t>
      </w:r>
      <w:r w:rsidRPr="00B24A9F">
        <w:rPr>
          <w:sz w:val="22"/>
          <w:szCs w:val="22"/>
        </w:rPr>
        <w:t xml:space="preserve"> předložených projektových žádostí 1</w:t>
      </w:r>
      <w:r w:rsidR="00FB04C8" w:rsidRPr="00B24A9F">
        <w:rPr>
          <w:sz w:val="22"/>
          <w:szCs w:val="22"/>
        </w:rPr>
        <w:t xml:space="preserve"> </w:t>
      </w:r>
      <w:r w:rsidR="004224EF" w:rsidRPr="00B24A9F">
        <w:rPr>
          <w:sz w:val="22"/>
          <w:szCs w:val="22"/>
        </w:rPr>
        <w:t>171</w:t>
      </w:r>
      <w:r w:rsidRPr="00B24A9F">
        <w:rPr>
          <w:sz w:val="22"/>
          <w:szCs w:val="22"/>
        </w:rPr>
        <w:t xml:space="preserve"> vyřazeno. Ve </w:t>
      </w:r>
      <w:r w:rsidR="00117BC6" w:rsidRPr="00B24A9F">
        <w:rPr>
          <w:sz w:val="22"/>
          <w:szCs w:val="22"/>
        </w:rPr>
        <w:t>333</w:t>
      </w:r>
      <w:r w:rsidRPr="00B24A9F">
        <w:rPr>
          <w:sz w:val="22"/>
          <w:szCs w:val="22"/>
        </w:rPr>
        <w:t xml:space="preserve"> případech byly žádosti staženy žadatelem, což je 29 % ze všech vyřazených. Nejčastějším důvodem zamítnutí projektů bylo nesplnění podmínek hodnocení ve </w:t>
      </w:r>
      <w:r w:rsidR="00117BC6" w:rsidRPr="00B24A9F">
        <w:rPr>
          <w:sz w:val="22"/>
          <w:szCs w:val="22"/>
        </w:rPr>
        <w:t>298</w:t>
      </w:r>
      <w:r w:rsidRPr="00B24A9F">
        <w:rPr>
          <w:sz w:val="22"/>
          <w:szCs w:val="22"/>
        </w:rPr>
        <w:t xml:space="preserve"> případech, představujících 2</w:t>
      </w:r>
      <w:r w:rsidR="00117BC6" w:rsidRPr="00B24A9F">
        <w:rPr>
          <w:sz w:val="22"/>
          <w:szCs w:val="22"/>
        </w:rPr>
        <w:t>6</w:t>
      </w:r>
      <w:r w:rsidRPr="00B24A9F">
        <w:rPr>
          <w:sz w:val="22"/>
          <w:szCs w:val="22"/>
        </w:rPr>
        <w:t xml:space="preserve"> % všech vyřazených projektů, a </w:t>
      </w:r>
      <w:r w:rsidR="00B24A9F" w:rsidRPr="00B24A9F">
        <w:rPr>
          <w:sz w:val="22"/>
          <w:szCs w:val="22"/>
        </w:rPr>
        <w:t>155</w:t>
      </w:r>
      <w:r w:rsidRPr="00B24A9F">
        <w:rPr>
          <w:sz w:val="22"/>
          <w:szCs w:val="22"/>
        </w:rPr>
        <w:t xml:space="preserve"> projektových žádostí nesplnilo alespoň jedno kritérium přijatelnosti, což je </w:t>
      </w:r>
      <w:r w:rsidR="00B24A9F" w:rsidRPr="00B24A9F">
        <w:rPr>
          <w:sz w:val="22"/>
          <w:szCs w:val="22"/>
        </w:rPr>
        <w:t>13</w:t>
      </w:r>
      <w:r w:rsidRPr="00B24A9F">
        <w:rPr>
          <w:sz w:val="22"/>
          <w:szCs w:val="22"/>
        </w:rPr>
        <w:t xml:space="preserve"> %.</w:t>
      </w:r>
    </w:p>
    <w:p w:rsidR="00121057" w:rsidRDefault="00121057" w:rsidP="00036F44">
      <w:pPr>
        <w:jc w:val="both"/>
      </w:pPr>
    </w:p>
    <w:p w:rsidR="00DB0AD3" w:rsidRDefault="00A75862" w:rsidP="00036F44">
      <w:pPr>
        <w:spacing w:after="120"/>
        <w:jc w:val="both"/>
        <w:rPr>
          <w:sz w:val="22"/>
          <w:szCs w:val="22"/>
        </w:rPr>
      </w:pPr>
      <w:r w:rsidRPr="000435AC">
        <w:rPr>
          <w:sz w:val="22"/>
          <w:szCs w:val="22"/>
        </w:rPr>
        <w:t>Následující graf zobrazuje počet a procentní podíl vyřazených projektů v jednotlivých fázích administrace.</w:t>
      </w:r>
    </w:p>
    <w:p w:rsidR="00DB0AD3" w:rsidRDefault="00DB0AD3" w:rsidP="00DF342F">
      <w:pPr>
        <w:pStyle w:val="Graf"/>
      </w:pPr>
      <w:bookmarkStart w:id="55" w:name="_Toc414865573"/>
      <w:r w:rsidRPr="0075699F">
        <w:t>Vyřazené projekty podle jednotlivých stavů</w:t>
      </w:r>
      <w:bookmarkEnd w:id="55"/>
    </w:p>
    <w:p w:rsidR="00A75862" w:rsidRDefault="00160C6B" w:rsidP="00E8795A">
      <w:pPr>
        <w:spacing w:after="120"/>
        <w:jc w:val="center"/>
        <w:rPr>
          <w:b/>
          <w:sz w:val="24"/>
          <w:szCs w:val="24"/>
        </w:rPr>
      </w:pPr>
      <w:r>
        <w:rPr>
          <w:noProof/>
        </w:rPr>
        <w:drawing>
          <wp:inline distT="0" distB="0" distL="0" distR="0" wp14:anchorId="143B7755" wp14:editId="485DA62F">
            <wp:extent cx="5760720" cy="3579780"/>
            <wp:effectExtent l="19050" t="19050" r="0" b="1905"/>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5862" w:rsidRDefault="00362991" w:rsidP="00A53A8A">
      <w:pPr>
        <w:rPr>
          <w:i/>
          <w:sz w:val="18"/>
          <w:szCs w:val="18"/>
        </w:rPr>
      </w:pPr>
      <w:r>
        <w:rPr>
          <w:i/>
          <w:sz w:val="18"/>
          <w:szCs w:val="18"/>
        </w:rPr>
        <w:t xml:space="preserve"> </w:t>
      </w:r>
      <w:r w:rsidR="00160C6B">
        <w:rPr>
          <w:i/>
          <w:sz w:val="18"/>
          <w:szCs w:val="18"/>
        </w:rPr>
        <w:t>Zdroj: IS Monit7+ IOP k </w:t>
      </w:r>
      <w:r w:rsidR="00C86105">
        <w:rPr>
          <w:i/>
          <w:sz w:val="18"/>
          <w:szCs w:val="18"/>
        </w:rPr>
        <w:t>2. 1. 2015</w:t>
      </w:r>
    </w:p>
    <w:p w:rsidR="00567EE2" w:rsidRDefault="00567EE2" w:rsidP="00A53A8A">
      <w:pPr>
        <w:rPr>
          <w:i/>
          <w:sz w:val="18"/>
          <w:szCs w:val="18"/>
        </w:rPr>
      </w:pPr>
    </w:p>
    <w:tbl>
      <w:tblPr>
        <w:tblpPr w:leftFromText="141" w:rightFromText="141" w:vertAnchor="text" w:horzAnchor="margin" w:tblpY="51"/>
        <w:tblW w:w="9142" w:type="dxa"/>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6" w:space="0" w:color="76923C" w:themeColor="accent3" w:themeShade="BF"/>
          <w:insideV w:val="single" w:sz="6" w:space="0" w:color="76923C" w:themeColor="accent3" w:themeShade="BF"/>
        </w:tblBorders>
        <w:shd w:val="clear" w:color="auto" w:fill="9BBB59" w:themeFill="accent3"/>
        <w:tblCellMar>
          <w:left w:w="70" w:type="dxa"/>
          <w:right w:w="70" w:type="dxa"/>
        </w:tblCellMar>
        <w:tblLook w:val="04A0" w:firstRow="1" w:lastRow="0" w:firstColumn="1" w:lastColumn="0" w:noHBand="0" w:noVBand="1"/>
      </w:tblPr>
      <w:tblGrid>
        <w:gridCol w:w="9142"/>
      </w:tblGrid>
      <w:tr w:rsidR="00567EE2" w:rsidRPr="00155DA0" w:rsidTr="002D308A">
        <w:trPr>
          <w:trHeight w:val="242"/>
        </w:trPr>
        <w:tc>
          <w:tcPr>
            <w:tcW w:w="9142" w:type="dxa"/>
            <w:shd w:val="clear" w:color="auto" w:fill="C2D69B" w:themeFill="accent3" w:themeFillTint="99"/>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N1.1 Projektová žádost nesplnila alespoň jedno kritérium přijatelnosti</w:t>
            </w:r>
          </w:p>
        </w:tc>
      </w:tr>
      <w:tr w:rsidR="00567EE2" w:rsidRPr="00155DA0" w:rsidTr="002D308A">
        <w:trPr>
          <w:trHeight w:val="242"/>
        </w:trPr>
        <w:tc>
          <w:tcPr>
            <w:tcW w:w="9142" w:type="dxa"/>
            <w:shd w:val="clear" w:color="auto" w:fill="FFFFFF" w:themeFill="background1"/>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N1.2 Projektová žádost nesplnila formální náležitosti</w:t>
            </w:r>
          </w:p>
        </w:tc>
      </w:tr>
      <w:tr w:rsidR="00567EE2" w:rsidRPr="00155DA0" w:rsidTr="002D308A">
        <w:trPr>
          <w:trHeight w:val="242"/>
        </w:trPr>
        <w:tc>
          <w:tcPr>
            <w:tcW w:w="9142" w:type="dxa"/>
            <w:shd w:val="clear" w:color="auto" w:fill="C2D69B" w:themeFill="accent3" w:themeFillTint="99"/>
            <w:noWrap/>
            <w:vAlign w:val="bottom"/>
          </w:tcPr>
          <w:p w:rsidR="00567EE2" w:rsidRPr="00155DA0" w:rsidRDefault="00567EE2" w:rsidP="00617920">
            <w:pPr>
              <w:rPr>
                <w:rFonts w:ascii="Tahoma" w:hAnsi="Tahoma" w:cs="Tahoma"/>
                <w:b/>
                <w:bCs/>
                <w:i/>
                <w:iCs/>
                <w:sz w:val="16"/>
                <w:szCs w:val="16"/>
              </w:rPr>
            </w:pPr>
            <w:r w:rsidRPr="00FB491E">
              <w:rPr>
                <w:rFonts w:ascii="Tahoma" w:hAnsi="Tahoma" w:cs="Tahoma"/>
                <w:b/>
                <w:bCs/>
                <w:i/>
                <w:iCs/>
                <w:sz w:val="16"/>
                <w:szCs w:val="16"/>
              </w:rPr>
              <w:t>N1.3 Administrace pozastavena kvůli nedostatku fin</w:t>
            </w:r>
            <w:r>
              <w:rPr>
                <w:rFonts w:ascii="Tahoma" w:hAnsi="Tahoma" w:cs="Tahoma"/>
                <w:b/>
                <w:bCs/>
                <w:i/>
                <w:iCs/>
                <w:sz w:val="16"/>
                <w:szCs w:val="16"/>
              </w:rPr>
              <w:t>ančních</w:t>
            </w:r>
            <w:r w:rsidRPr="00FB491E">
              <w:rPr>
                <w:rFonts w:ascii="Tahoma" w:hAnsi="Tahoma" w:cs="Tahoma"/>
                <w:b/>
                <w:bCs/>
                <w:i/>
                <w:iCs/>
                <w:sz w:val="16"/>
                <w:szCs w:val="16"/>
              </w:rPr>
              <w:t xml:space="preserve"> prostředků</w:t>
            </w:r>
          </w:p>
        </w:tc>
      </w:tr>
      <w:tr w:rsidR="00567EE2" w:rsidRPr="00155DA0" w:rsidTr="002D308A">
        <w:trPr>
          <w:trHeight w:val="228"/>
        </w:trPr>
        <w:tc>
          <w:tcPr>
            <w:tcW w:w="9142" w:type="dxa"/>
            <w:shd w:val="clear" w:color="auto" w:fill="FFFFFF" w:themeFill="background1"/>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N2.1 Projekt nesplnil podmínky hodnocení</w:t>
            </w:r>
          </w:p>
        </w:tc>
      </w:tr>
      <w:tr w:rsidR="00567EE2" w:rsidRPr="00155DA0" w:rsidTr="002D308A">
        <w:trPr>
          <w:trHeight w:val="242"/>
        </w:trPr>
        <w:tc>
          <w:tcPr>
            <w:tcW w:w="9142" w:type="dxa"/>
            <w:shd w:val="clear" w:color="auto" w:fill="C2D69B" w:themeFill="accent3" w:themeFillTint="99"/>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N2.2 Odeslán dopis o vyřazení projektové žádosti na základě ex-ante kontroly</w:t>
            </w:r>
          </w:p>
        </w:tc>
      </w:tr>
      <w:tr w:rsidR="00567EE2" w:rsidRPr="00155DA0" w:rsidTr="002D308A">
        <w:trPr>
          <w:trHeight w:val="242"/>
        </w:trPr>
        <w:tc>
          <w:tcPr>
            <w:tcW w:w="9142" w:type="dxa"/>
            <w:shd w:val="clear" w:color="auto" w:fill="FFFFFF" w:themeFill="background1"/>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N2.3 Projekt nedoporučen k financování výběrovou komisí</w:t>
            </w:r>
          </w:p>
        </w:tc>
      </w:tr>
      <w:tr w:rsidR="00567EE2" w:rsidRPr="00155DA0" w:rsidTr="002D308A">
        <w:trPr>
          <w:trHeight w:val="242"/>
        </w:trPr>
        <w:tc>
          <w:tcPr>
            <w:tcW w:w="9142" w:type="dxa"/>
            <w:shd w:val="clear" w:color="auto" w:fill="C2D69B" w:themeFill="accent3" w:themeFillTint="99"/>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N4.1 Vydání rozhodnutí o poskytnutí dotace/stanovení výdajů zamítnuto</w:t>
            </w:r>
          </w:p>
        </w:tc>
      </w:tr>
      <w:tr w:rsidR="00567EE2" w:rsidRPr="00155DA0" w:rsidTr="002D308A">
        <w:trPr>
          <w:trHeight w:val="242"/>
        </w:trPr>
        <w:tc>
          <w:tcPr>
            <w:tcW w:w="9142" w:type="dxa"/>
            <w:shd w:val="clear" w:color="auto" w:fill="FFFFFF" w:themeFill="background1"/>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N5 Projektová žádost stažena žadatelem</w:t>
            </w:r>
          </w:p>
        </w:tc>
      </w:tr>
      <w:tr w:rsidR="00567EE2" w:rsidRPr="00155DA0" w:rsidTr="002D308A">
        <w:trPr>
          <w:trHeight w:val="242"/>
        </w:trPr>
        <w:tc>
          <w:tcPr>
            <w:tcW w:w="9142" w:type="dxa"/>
            <w:shd w:val="clear" w:color="auto" w:fill="C2D69B" w:themeFill="accent3" w:themeFillTint="99"/>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N7 Projekt nedokončen/stažen</w:t>
            </w:r>
          </w:p>
        </w:tc>
      </w:tr>
      <w:tr w:rsidR="00567EE2" w:rsidRPr="00155DA0" w:rsidTr="002D308A">
        <w:trPr>
          <w:trHeight w:val="259"/>
        </w:trPr>
        <w:tc>
          <w:tcPr>
            <w:tcW w:w="9142" w:type="dxa"/>
            <w:shd w:val="clear" w:color="auto" w:fill="FFFFFF" w:themeFill="background1"/>
            <w:noWrap/>
            <w:vAlign w:val="bottom"/>
          </w:tcPr>
          <w:p w:rsidR="00567EE2" w:rsidRPr="00155DA0" w:rsidRDefault="00567EE2" w:rsidP="00617920">
            <w:pPr>
              <w:rPr>
                <w:rFonts w:ascii="Tahoma" w:hAnsi="Tahoma" w:cs="Tahoma"/>
                <w:b/>
                <w:bCs/>
                <w:i/>
                <w:iCs/>
                <w:sz w:val="16"/>
                <w:szCs w:val="16"/>
              </w:rPr>
            </w:pPr>
            <w:r w:rsidRPr="00155DA0">
              <w:rPr>
                <w:rFonts w:ascii="Tahoma" w:hAnsi="Tahoma" w:cs="Tahoma"/>
                <w:b/>
                <w:bCs/>
                <w:i/>
                <w:iCs/>
                <w:sz w:val="16"/>
                <w:szCs w:val="16"/>
              </w:rPr>
              <w:t>N8 Smlouva ukončena ze strany ŘO/ZS</w:t>
            </w:r>
          </w:p>
        </w:tc>
      </w:tr>
    </w:tbl>
    <w:p w:rsidR="00567EE2" w:rsidRDefault="00567EE2" w:rsidP="00A53A8A">
      <w:pPr>
        <w:rPr>
          <w:i/>
          <w:sz w:val="18"/>
          <w:szCs w:val="18"/>
        </w:rPr>
      </w:pPr>
    </w:p>
    <w:p w:rsidR="00371DDE" w:rsidRDefault="00371DDE" w:rsidP="00A53A8A">
      <w:pPr>
        <w:rPr>
          <w:b/>
          <w:sz w:val="24"/>
          <w:szCs w:val="24"/>
        </w:rPr>
      </w:pPr>
    </w:p>
    <w:p w:rsidR="00A75862" w:rsidRDefault="00DB0AD3" w:rsidP="00DF342F">
      <w:pPr>
        <w:pStyle w:val="Graf"/>
      </w:pPr>
      <w:bookmarkStart w:id="56" w:name="_Toc414865574"/>
      <w:r w:rsidRPr="0075699F">
        <w:lastRenderedPageBreak/>
        <w:t>Podíl vyřazených projektů podle oblastí intervence</w:t>
      </w:r>
      <w:bookmarkEnd w:id="56"/>
    </w:p>
    <w:p w:rsidR="00D15DC0" w:rsidRDefault="00214E0B" w:rsidP="00D15DC0">
      <w:r>
        <w:rPr>
          <w:noProof/>
        </w:rPr>
        <w:drawing>
          <wp:inline distT="0" distB="0" distL="0" distR="0" wp14:anchorId="4BBD3CA7" wp14:editId="35CCBBDE">
            <wp:extent cx="5762625" cy="2914457"/>
            <wp:effectExtent l="38100" t="38100" r="9525" b="1968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9017" cy="2917690"/>
                    </a:xfrm>
                    <a:prstGeom prst="rect">
                      <a:avLst/>
                    </a:prstGeom>
                    <a:noFill/>
                    <a:ln w="28575">
                      <a:solidFill>
                        <a:schemeClr val="accent3"/>
                      </a:solidFill>
                    </a:ln>
                  </pic:spPr>
                </pic:pic>
              </a:graphicData>
            </a:graphic>
          </wp:inline>
        </w:drawing>
      </w:r>
    </w:p>
    <w:p w:rsidR="00A75862" w:rsidRPr="009026D3" w:rsidRDefault="00D15DC0" w:rsidP="00AB0221">
      <w:pPr>
        <w:rPr>
          <w:i/>
          <w:sz w:val="18"/>
          <w:szCs w:val="18"/>
        </w:rPr>
      </w:pPr>
      <w:r>
        <w:rPr>
          <w:i/>
          <w:sz w:val="18"/>
          <w:szCs w:val="18"/>
        </w:rPr>
        <w:t>Zdroj: IS Monit7+ IOP k </w:t>
      </w:r>
      <w:r w:rsidR="00EE20BF">
        <w:rPr>
          <w:i/>
          <w:sz w:val="18"/>
          <w:szCs w:val="18"/>
        </w:rPr>
        <w:t>2. 1. 2015</w:t>
      </w:r>
    </w:p>
    <w:p w:rsidR="00A75862" w:rsidRDefault="00A75862" w:rsidP="00A53A8A">
      <w:pPr>
        <w:rPr>
          <w:b/>
          <w:sz w:val="24"/>
          <w:szCs w:val="24"/>
        </w:rPr>
      </w:pPr>
    </w:p>
    <w:p w:rsidR="00163840" w:rsidRDefault="00163840" w:rsidP="00163840">
      <w:pPr>
        <w:jc w:val="both"/>
        <w:rPr>
          <w:sz w:val="22"/>
          <w:szCs w:val="22"/>
        </w:rPr>
      </w:pPr>
      <w:r>
        <w:rPr>
          <w:sz w:val="22"/>
          <w:szCs w:val="22"/>
        </w:rPr>
        <w:t xml:space="preserve">Od počátku vyhlášení výzev </w:t>
      </w:r>
      <w:r w:rsidRPr="00481B3B">
        <w:rPr>
          <w:b/>
          <w:sz w:val="22"/>
          <w:szCs w:val="22"/>
        </w:rPr>
        <w:t>v oblasti intervence 3.1</w:t>
      </w:r>
      <w:r>
        <w:rPr>
          <w:sz w:val="22"/>
          <w:szCs w:val="22"/>
        </w:rPr>
        <w:t xml:space="preserve"> bylo kumulativně vyřazeno 336 z celkem 474 předložených projektových žádostí, což představuje 70,89 % z celkového počtu podaných žádostí. Nejčastějším důvodem vyřazení projektových žádostí je nesplnění podmínek hodnocení projektu (stav N2.1) s podílem vyřazených žádostí 40 %. V roce 2014 se výrazně zvýšil počet projektů ve stavu N. 5, kdy byly žádosti staženy žadatelem. Celkem 21 příjemců v roce 2014 v OI 3.1 odstoupilo od realizace projektu. </w:t>
      </w:r>
    </w:p>
    <w:p w:rsidR="004C11C1" w:rsidRPr="004C11C1" w:rsidRDefault="004C11C1" w:rsidP="004C11C1"/>
    <w:p w:rsidR="004C11C1" w:rsidRDefault="004C11C1" w:rsidP="004C11C1">
      <w:pPr>
        <w:spacing w:after="120"/>
        <w:jc w:val="both"/>
        <w:rPr>
          <w:sz w:val="22"/>
          <w:szCs w:val="22"/>
        </w:rPr>
      </w:pPr>
      <w:r w:rsidRPr="005E170C">
        <w:rPr>
          <w:b/>
          <w:sz w:val="22"/>
          <w:szCs w:val="22"/>
        </w:rPr>
        <w:t>Oblast intervence 4.1</w:t>
      </w:r>
      <w:r w:rsidRPr="00300F3C">
        <w:rPr>
          <w:sz w:val="22"/>
          <w:szCs w:val="22"/>
        </w:rPr>
        <w:t xml:space="preserve"> je po celou dobu realizace programu provázena vysokým podílem </w:t>
      </w:r>
      <w:r>
        <w:rPr>
          <w:sz w:val="22"/>
          <w:szCs w:val="22"/>
        </w:rPr>
        <w:t xml:space="preserve">vyřazených projektů. K 31. 12. 2014 činil 57,27 %, v celém programu dosahuje cca 12 %. Tato oblast </w:t>
      </w:r>
      <w:r w:rsidRPr="00300F3C">
        <w:rPr>
          <w:sz w:val="22"/>
          <w:szCs w:val="22"/>
        </w:rPr>
        <w:t xml:space="preserve">intervence se potýká s nekvalitně zpracovanými žádostmi. Projekty musí dosáhnout </w:t>
      </w:r>
      <w:r>
        <w:rPr>
          <w:sz w:val="22"/>
          <w:szCs w:val="22"/>
        </w:rPr>
        <w:t>minimálně</w:t>
      </w:r>
      <w:r w:rsidRPr="00300F3C">
        <w:rPr>
          <w:sz w:val="22"/>
          <w:szCs w:val="22"/>
        </w:rPr>
        <w:t xml:space="preserve"> 75 bodů, aby úspěšně prošly h</w:t>
      </w:r>
      <w:r>
        <w:rPr>
          <w:sz w:val="22"/>
          <w:szCs w:val="22"/>
        </w:rPr>
        <w:t xml:space="preserve">odnocením kvality. ŘO IOP se </w:t>
      </w:r>
      <w:proofErr w:type="gramStart"/>
      <w:r>
        <w:rPr>
          <w:sz w:val="22"/>
          <w:szCs w:val="22"/>
        </w:rPr>
        <w:t>společně s CRR snaží</w:t>
      </w:r>
      <w:proofErr w:type="gramEnd"/>
      <w:r>
        <w:rPr>
          <w:sz w:val="22"/>
          <w:szCs w:val="22"/>
        </w:rPr>
        <w:t xml:space="preserve"> předcházet nadměrnému počtu vyřazených žádostí intenzivní komunikací a konzultacemi s žadateli, zveřejňováním nejčastěji kladených dotazů pro nejproblémovější oblasti realizace projektu.   </w:t>
      </w:r>
    </w:p>
    <w:p w:rsidR="004C11C1" w:rsidRPr="00ED3A6D" w:rsidRDefault="004C11C1" w:rsidP="004C11C1">
      <w:pPr>
        <w:jc w:val="both"/>
        <w:rPr>
          <w:highlight w:val="yellow"/>
        </w:rPr>
      </w:pPr>
    </w:p>
    <w:p w:rsidR="00163840" w:rsidRDefault="00163840" w:rsidP="00163840">
      <w:pPr>
        <w:jc w:val="both"/>
        <w:rPr>
          <w:sz w:val="22"/>
          <w:szCs w:val="22"/>
        </w:rPr>
      </w:pPr>
      <w:r w:rsidRPr="009A239B">
        <w:rPr>
          <w:sz w:val="22"/>
          <w:szCs w:val="22"/>
        </w:rPr>
        <w:t xml:space="preserve">V </w:t>
      </w:r>
      <w:r w:rsidRPr="009A239B">
        <w:rPr>
          <w:b/>
          <w:sz w:val="22"/>
          <w:szCs w:val="22"/>
        </w:rPr>
        <w:t xml:space="preserve">oblasti intervence 5.1 </w:t>
      </w:r>
      <w:r w:rsidR="00366287" w:rsidRPr="00366287">
        <w:rPr>
          <w:sz w:val="22"/>
          <w:szCs w:val="22"/>
        </w:rPr>
        <w:t xml:space="preserve">probíhala od </w:t>
      </w:r>
      <w:r w:rsidR="00DA4645" w:rsidRPr="00366287">
        <w:rPr>
          <w:sz w:val="22"/>
          <w:szCs w:val="22"/>
        </w:rPr>
        <w:t>25. 4. 2014</w:t>
      </w:r>
      <w:r w:rsidR="00366287" w:rsidRPr="00366287">
        <w:rPr>
          <w:sz w:val="22"/>
          <w:szCs w:val="22"/>
        </w:rPr>
        <w:t xml:space="preserve"> do </w:t>
      </w:r>
      <w:r w:rsidR="00DA4645" w:rsidRPr="00366287">
        <w:rPr>
          <w:sz w:val="22"/>
          <w:szCs w:val="22"/>
        </w:rPr>
        <w:t>30. 6. 2014</w:t>
      </w:r>
      <w:r w:rsidR="00366287" w:rsidRPr="00366287">
        <w:rPr>
          <w:sz w:val="22"/>
          <w:szCs w:val="22"/>
        </w:rPr>
        <w:t xml:space="preserve"> výzva pro příjem žádostí o dotaci. V této výzvě však </w:t>
      </w:r>
      <w:r w:rsidRPr="00366287">
        <w:rPr>
          <w:sz w:val="22"/>
          <w:szCs w:val="22"/>
        </w:rPr>
        <w:t xml:space="preserve">měli </w:t>
      </w:r>
      <w:r w:rsidR="00366287" w:rsidRPr="009A239B">
        <w:rPr>
          <w:sz w:val="22"/>
          <w:szCs w:val="22"/>
        </w:rPr>
        <w:t>příjemci</w:t>
      </w:r>
      <w:r w:rsidR="00366287">
        <w:rPr>
          <w:sz w:val="22"/>
          <w:szCs w:val="22"/>
        </w:rPr>
        <w:t>,</w:t>
      </w:r>
      <w:r w:rsidR="00366287" w:rsidRPr="009A239B">
        <w:rPr>
          <w:sz w:val="22"/>
          <w:szCs w:val="22"/>
        </w:rPr>
        <w:t xml:space="preserve"> ve</w:t>
      </w:r>
      <w:r w:rsidRPr="009A239B">
        <w:rPr>
          <w:sz w:val="22"/>
          <w:szCs w:val="22"/>
        </w:rPr>
        <w:t xml:space="preserve"> srovnání s předchozími výzvami v oblasti 5.1</w:t>
      </w:r>
      <w:r w:rsidR="00366287">
        <w:rPr>
          <w:sz w:val="22"/>
          <w:szCs w:val="22"/>
        </w:rPr>
        <w:t>,</w:t>
      </w:r>
      <w:r w:rsidRPr="009A239B">
        <w:rPr>
          <w:sz w:val="22"/>
          <w:szCs w:val="22"/>
        </w:rPr>
        <w:t xml:space="preserve"> relativně málo času na přípravu projektových žádostí</w:t>
      </w:r>
      <w:r w:rsidR="00366287">
        <w:rPr>
          <w:sz w:val="22"/>
          <w:szCs w:val="22"/>
        </w:rPr>
        <w:t>, což se nepříznivě projevilo na celkovém počtu vyřazených projektů.</w:t>
      </w:r>
      <w:r w:rsidRPr="009A239B">
        <w:rPr>
          <w:sz w:val="22"/>
          <w:szCs w:val="22"/>
        </w:rPr>
        <w:t xml:space="preserve"> </w:t>
      </w:r>
      <w:r>
        <w:rPr>
          <w:sz w:val="22"/>
          <w:szCs w:val="22"/>
        </w:rPr>
        <w:t>Tři</w:t>
      </w:r>
      <w:r w:rsidRPr="009A239B">
        <w:rPr>
          <w:sz w:val="22"/>
          <w:szCs w:val="22"/>
        </w:rPr>
        <w:t xml:space="preserve"> žadatelé stáhl</w:t>
      </w:r>
      <w:r>
        <w:rPr>
          <w:sz w:val="22"/>
          <w:szCs w:val="22"/>
        </w:rPr>
        <w:t>i</w:t>
      </w:r>
      <w:r w:rsidRPr="009A239B">
        <w:rPr>
          <w:sz w:val="22"/>
          <w:szCs w:val="22"/>
        </w:rPr>
        <w:t xml:space="preserve"> svou žádost v průběhu hodnocení z</w:t>
      </w:r>
      <w:r>
        <w:rPr>
          <w:sz w:val="22"/>
          <w:szCs w:val="22"/>
        </w:rPr>
        <w:t xml:space="preserve"> </w:t>
      </w:r>
      <w:r w:rsidRPr="009A239B">
        <w:rPr>
          <w:sz w:val="22"/>
          <w:szCs w:val="22"/>
        </w:rPr>
        <w:t>důvod</w:t>
      </w:r>
      <w:r>
        <w:rPr>
          <w:sz w:val="22"/>
          <w:szCs w:val="22"/>
        </w:rPr>
        <w:t>u</w:t>
      </w:r>
      <w:r w:rsidRPr="009A239B">
        <w:rPr>
          <w:sz w:val="22"/>
          <w:szCs w:val="22"/>
        </w:rPr>
        <w:t xml:space="preserve"> nereálnost</w:t>
      </w:r>
      <w:r>
        <w:rPr>
          <w:sz w:val="22"/>
          <w:szCs w:val="22"/>
        </w:rPr>
        <w:t xml:space="preserve">i </w:t>
      </w:r>
      <w:r w:rsidRPr="009A239B">
        <w:rPr>
          <w:sz w:val="22"/>
          <w:szCs w:val="22"/>
        </w:rPr>
        <w:t xml:space="preserve">dokončení v termínu </w:t>
      </w:r>
      <w:r w:rsidR="00366287">
        <w:rPr>
          <w:sz w:val="22"/>
          <w:szCs w:val="22"/>
        </w:rPr>
        <w:br/>
      </w:r>
      <w:r w:rsidRPr="009A239B">
        <w:rPr>
          <w:sz w:val="22"/>
          <w:szCs w:val="22"/>
        </w:rPr>
        <w:t xml:space="preserve">do </w:t>
      </w:r>
      <w:r w:rsidR="00DA4645" w:rsidRPr="009A239B">
        <w:rPr>
          <w:sz w:val="22"/>
          <w:szCs w:val="22"/>
        </w:rPr>
        <w:t>31. 12. 2015</w:t>
      </w:r>
      <w:r w:rsidR="00451A40">
        <w:rPr>
          <w:sz w:val="22"/>
          <w:szCs w:val="22"/>
        </w:rPr>
        <w:t>,</w:t>
      </w:r>
      <w:r w:rsidRPr="009A239B">
        <w:rPr>
          <w:sz w:val="22"/>
          <w:szCs w:val="22"/>
        </w:rPr>
        <w:t xml:space="preserve"> </w:t>
      </w:r>
      <w:r>
        <w:rPr>
          <w:sz w:val="22"/>
          <w:szCs w:val="22"/>
        </w:rPr>
        <w:t>jeden</w:t>
      </w:r>
      <w:r w:rsidRPr="009A239B">
        <w:rPr>
          <w:sz w:val="22"/>
          <w:szCs w:val="22"/>
        </w:rPr>
        <w:t xml:space="preserve"> projekt nesplnil kritéria přijatelnosti, </w:t>
      </w:r>
      <w:r>
        <w:rPr>
          <w:sz w:val="22"/>
          <w:szCs w:val="22"/>
        </w:rPr>
        <w:t>čtyři</w:t>
      </w:r>
      <w:r w:rsidRPr="009A239B">
        <w:rPr>
          <w:sz w:val="22"/>
          <w:szCs w:val="22"/>
        </w:rPr>
        <w:t xml:space="preserve"> projekty nesplnily podmínky hodnocení a </w:t>
      </w:r>
      <w:r>
        <w:rPr>
          <w:sz w:val="22"/>
          <w:szCs w:val="22"/>
        </w:rPr>
        <w:t>třem</w:t>
      </w:r>
      <w:r w:rsidRPr="009A239B">
        <w:rPr>
          <w:sz w:val="22"/>
          <w:szCs w:val="22"/>
        </w:rPr>
        <w:t xml:space="preserve"> projektů</w:t>
      </w:r>
      <w:r>
        <w:rPr>
          <w:sz w:val="22"/>
          <w:szCs w:val="22"/>
        </w:rPr>
        <w:t>m</w:t>
      </w:r>
      <w:r w:rsidRPr="009A239B">
        <w:rPr>
          <w:sz w:val="22"/>
          <w:szCs w:val="22"/>
        </w:rPr>
        <w:t xml:space="preserve"> byla zastavena administrace z důvodu </w:t>
      </w:r>
      <w:r>
        <w:rPr>
          <w:sz w:val="22"/>
          <w:szCs w:val="22"/>
        </w:rPr>
        <w:t>vyčerpání alokace</w:t>
      </w:r>
      <w:r w:rsidRPr="009A239B">
        <w:rPr>
          <w:sz w:val="22"/>
          <w:szCs w:val="22"/>
        </w:rPr>
        <w:t xml:space="preserve"> výzv</w:t>
      </w:r>
      <w:r>
        <w:rPr>
          <w:sz w:val="22"/>
          <w:szCs w:val="22"/>
        </w:rPr>
        <w:t>y</w:t>
      </w:r>
      <w:r w:rsidRPr="009A239B">
        <w:rPr>
          <w:sz w:val="22"/>
          <w:szCs w:val="22"/>
        </w:rPr>
        <w:t>.</w:t>
      </w:r>
    </w:p>
    <w:p w:rsidR="004C11C1" w:rsidRPr="00ED3A6D" w:rsidRDefault="004C11C1" w:rsidP="004C11C1">
      <w:pPr>
        <w:jc w:val="both"/>
        <w:rPr>
          <w:sz w:val="22"/>
          <w:szCs w:val="22"/>
          <w:highlight w:val="yellow"/>
        </w:rPr>
      </w:pPr>
    </w:p>
    <w:p w:rsidR="006A4960" w:rsidRPr="00B65991" w:rsidRDefault="00A75862" w:rsidP="00B65991">
      <w:pPr>
        <w:jc w:val="both"/>
        <w:rPr>
          <w:sz w:val="22"/>
          <w:szCs w:val="22"/>
        </w:rPr>
      </w:pPr>
      <w:r w:rsidRPr="00215CA8">
        <w:rPr>
          <w:sz w:val="22"/>
          <w:szCs w:val="22"/>
        </w:rPr>
        <w:t>Bližší informace o vyřazování projektů jsou uvedeny v kapitole 3 u jednotlivých oblastí intervenc</w:t>
      </w:r>
      <w:r w:rsidRPr="003B6FCB">
        <w:rPr>
          <w:sz w:val="22"/>
          <w:szCs w:val="22"/>
        </w:rPr>
        <w:t>e.</w:t>
      </w:r>
    </w:p>
    <w:p w:rsidR="00AB3AA0" w:rsidRDefault="00AB3AA0" w:rsidP="00642923">
      <w:pPr>
        <w:rPr>
          <w:b/>
          <w:sz w:val="22"/>
          <w:szCs w:val="22"/>
        </w:rPr>
      </w:pPr>
    </w:p>
    <w:p w:rsidR="00A75862" w:rsidRPr="00642923" w:rsidRDefault="00A75862" w:rsidP="00642923">
      <w:pPr>
        <w:rPr>
          <w:b/>
          <w:color w:val="FF0000"/>
          <w:sz w:val="22"/>
          <w:szCs w:val="22"/>
        </w:rPr>
      </w:pPr>
      <w:r w:rsidRPr="00642923">
        <w:rPr>
          <w:b/>
          <w:sz w:val="22"/>
          <w:szCs w:val="22"/>
        </w:rPr>
        <w:t xml:space="preserve">Horizontální témata  </w:t>
      </w:r>
    </w:p>
    <w:p w:rsidR="00A75862" w:rsidRDefault="00A75862" w:rsidP="006307F4">
      <w:pPr>
        <w:jc w:val="both"/>
        <w:rPr>
          <w:sz w:val="22"/>
          <w:szCs w:val="22"/>
        </w:rPr>
      </w:pPr>
      <w:r w:rsidRPr="00AC1682">
        <w:rPr>
          <w:sz w:val="22"/>
          <w:szCs w:val="22"/>
        </w:rPr>
        <w:t>V souladu s obecným nařízením a SOZS jsou pro období 2007-2013 definována dvě základní</w:t>
      </w:r>
      <w:r>
        <w:rPr>
          <w:sz w:val="22"/>
          <w:szCs w:val="22"/>
        </w:rPr>
        <w:t xml:space="preserve"> horizontální témata promítnutá do</w:t>
      </w:r>
      <w:r w:rsidRPr="00AC1682">
        <w:rPr>
          <w:sz w:val="22"/>
          <w:szCs w:val="22"/>
        </w:rPr>
        <w:t xml:space="preserve"> strategie IOP a</w:t>
      </w:r>
      <w:r w:rsidR="0088001E">
        <w:rPr>
          <w:sz w:val="22"/>
          <w:szCs w:val="22"/>
        </w:rPr>
        <w:t xml:space="preserve"> do</w:t>
      </w:r>
      <w:r w:rsidRPr="00AC1682">
        <w:rPr>
          <w:sz w:val="22"/>
          <w:szCs w:val="22"/>
        </w:rPr>
        <w:t xml:space="preserve"> implementace programu:</w:t>
      </w:r>
    </w:p>
    <w:p w:rsidR="00A75862" w:rsidRPr="00AC1682" w:rsidRDefault="00A75862" w:rsidP="002E608B">
      <w:pPr>
        <w:numPr>
          <w:ilvl w:val="0"/>
          <w:numId w:val="12"/>
        </w:numPr>
        <w:jc w:val="both"/>
        <w:rPr>
          <w:sz w:val="22"/>
          <w:szCs w:val="22"/>
        </w:rPr>
      </w:pPr>
      <w:r w:rsidRPr="00AC1682">
        <w:rPr>
          <w:sz w:val="22"/>
          <w:szCs w:val="22"/>
        </w:rPr>
        <w:t>rovné příležitosti (čl. 16 – Rovné příležitosti mužů a žen a zákaz diskriminace)</w:t>
      </w:r>
      <w:r>
        <w:rPr>
          <w:sz w:val="22"/>
          <w:szCs w:val="22"/>
        </w:rPr>
        <w:t>,</w:t>
      </w:r>
    </w:p>
    <w:p w:rsidR="00587D05" w:rsidRPr="00847AC1" w:rsidRDefault="00A75862" w:rsidP="002E608B">
      <w:pPr>
        <w:numPr>
          <w:ilvl w:val="0"/>
          <w:numId w:val="12"/>
        </w:numPr>
        <w:jc w:val="both"/>
        <w:rPr>
          <w:sz w:val="22"/>
          <w:szCs w:val="22"/>
        </w:rPr>
      </w:pPr>
      <w:r w:rsidRPr="00AC1682">
        <w:rPr>
          <w:sz w:val="22"/>
          <w:szCs w:val="22"/>
        </w:rPr>
        <w:t>udržitelný rozvoj (čl. 17 – Udržitelný rozvoj)</w:t>
      </w:r>
      <w:r>
        <w:rPr>
          <w:sz w:val="22"/>
          <w:szCs w:val="22"/>
        </w:rPr>
        <w:t>.</w:t>
      </w:r>
    </w:p>
    <w:p w:rsidR="00F21D72" w:rsidRDefault="00F21D72" w:rsidP="006307F4">
      <w:pPr>
        <w:rPr>
          <w:b/>
          <w:i/>
          <w:sz w:val="22"/>
          <w:szCs w:val="22"/>
        </w:rPr>
      </w:pPr>
    </w:p>
    <w:p w:rsidR="009E1DD6" w:rsidRDefault="009E1DD6" w:rsidP="006307F4">
      <w:pPr>
        <w:rPr>
          <w:b/>
          <w:i/>
          <w:sz w:val="22"/>
          <w:szCs w:val="22"/>
        </w:rPr>
      </w:pPr>
    </w:p>
    <w:p w:rsidR="009E1DD6" w:rsidRDefault="009E1DD6" w:rsidP="006307F4">
      <w:pPr>
        <w:rPr>
          <w:b/>
          <w:i/>
          <w:sz w:val="22"/>
          <w:szCs w:val="22"/>
        </w:rPr>
      </w:pPr>
    </w:p>
    <w:p w:rsidR="00B65991" w:rsidRDefault="00B65991" w:rsidP="006307F4">
      <w:pPr>
        <w:rPr>
          <w:b/>
          <w:i/>
          <w:sz w:val="22"/>
          <w:szCs w:val="22"/>
        </w:rPr>
      </w:pPr>
    </w:p>
    <w:p w:rsidR="009E1DD6" w:rsidRDefault="009E1DD6" w:rsidP="006307F4">
      <w:pPr>
        <w:rPr>
          <w:b/>
          <w:i/>
          <w:sz w:val="22"/>
          <w:szCs w:val="22"/>
        </w:rPr>
      </w:pPr>
    </w:p>
    <w:p w:rsidR="00A75862" w:rsidRDefault="00A75862" w:rsidP="006307F4">
      <w:pPr>
        <w:rPr>
          <w:b/>
          <w:i/>
          <w:sz w:val="22"/>
          <w:szCs w:val="22"/>
        </w:rPr>
      </w:pPr>
      <w:r w:rsidRPr="00502C79">
        <w:rPr>
          <w:b/>
          <w:i/>
          <w:sz w:val="22"/>
          <w:szCs w:val="22"/>
        </w:rPr>
        <w:lastRenderedPageBreak/>
        <w:t>Rovné příležitosti</w:t>
      </w:r>
    </w:p>
    <w:p w:rsidR="00A75862" w:rsidRDefault="00A75862" w:rsidP="00147730">
      <w:pPr>
        <w:jc w:val="both"/>
        <w:rPr>
          <w:sz w:val="22"/>
          <w:szCs w:val="22"/>
        </w:rPr>
      </w:pPr>
      <w:r>
        <w:rPr>
          <w:sz w:val="22"/>
          <w:szCs w:val="22"/>
        </w:rPr>
        <w:t xml:space="preserve">IOP v souladu s čl. 16 obecného nařízení a v závislosti na charakteru podporované oblasti zajišťuje podporu </w:t>
      </w:r>
      <w:r>
        <w:rPr>
          <w:b/>
          <w:sz w:val="22"/>
          <w:szCs w:val="22"/>
        </w:rPr>
        <w:t>rovnosti žen a mužů</w:t>
      </w:r>
      <w:r>
        <w:rPr>
          <w:sz w:val="22"/>
          <w:szCs w:val="22"/>
        </w:rPr>
        <w:t xml:space="preserve"> a začlenění rovnosti pohlaví během jednotlivých fází poskytování pomoci. Současně je zohledňována rovnost příležitostí z hlediska rasového a etnického původu, zdravotního postižení, věku, náboženského a světového názoru nebo sexuální orientace. </w:t>
      </w:r>
    </w:p>
    <w:p w:rsidR="00A75862" w:rsidRDefault="00A75862" w:rsidP="00147730">
      <w:pPr>
        <w:jc w:val="both"/>
        <w:rPr>
          <w:sz w:val="22"/>
          <w:szCs w:val="22"/>
        </w:rPr>
      </w:pPr>
    </w:p>
    <w:p w:rsidR="00A75862" w:rsidRDefault="00A75862" w:rsidP="00147730">
      <w:pPr>
        <w:jc w:val="both"/>
        <w:rPr>
          <w:sz w:val="22"/>
          <w:szCs w:val="22"/>
        </w:rPr>
      </w:pPr>
      <w:r>
        <w:rPr>
          <w:sz w:val="22"/>
          <w:szCs w:val="22"/>
        </w:rPr>
        <w:t>Pozornost je věnována genderové problematice; při programování, monitorování a evaluaci je brán zřetel na příspěvek k rovnému zacházení a na podporu žen, aby mohly profitovat z prostředků SF stejnou měrou jako muži.</w:t>
      </w:r>
    </w:p>
    <w:p w:rsidR="00A75862" w:rsidRDefault="00A75862" w:rsidP="00A53A8A">
      <w:pPr>
        <w:jc w:val="both"/>
        <w:rPr>
          <w:bCs/>
          <w:color w:val="000000"/>
          <w:sz w:val="22"/>
          <w:szCs w:val="22"/>
        </w:rPr>
      </w:pPr>
    </w:p>
    <w:p w:rsidR="000C5269" w:rsidRPr="00F95266" w:rsidRDefault="00A75862" w:rsidP="00A92782">
      <w:pPr>
        <w:pStyle w:val="Tabulkanzev"/>
      </w:pPr>
      <w:bookmarkStart w:id="57" w:name="_Toc416431808"/>
      <w:r w:rsidRPr="009026D3">
        <w:t>Rovné příležitosti</w:t>
      </w:r>
      <w:r w:rsidR="00686043">
        <w:t xml:space="preserve"> v IOP</w:t>
      </w:r>
      <w:bookmarkEnd w:id="57"/>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307F4" w:rsidTr="00E679CE">
        <w:trPr>
          <w:trHeight w:val="270"/>
        </w:trPr>
        <w:tc>
          <w:tcPr>
            <w:tcW w:w="5260" w:type="dxa"/>
            <w:shd w:val="clear" w:color="auto" w:fill="C2D69B" w:themeFill="accent3" w:themeFillTint="99"/>
            <w:vAlign w:val="center"/>
          </w:tcPr>
          <w:p w:rsidR="00A75862" w:rsidRPr="00E679CE" w:rsidRDefault="00A75862" w:rsidP="006307F4">
            <w:pPr>
              <w:jc w:val="center"/>
              <w:rPr>
                <w:b/>
                <w:bCs/>
              </w:rPr>
            </w:pPr>
            <w:r w:rsidRPr="00E679CE">
              <w:rPr>
                <w:b/>
                <w:bCs/>
              </w:rPr>
              <w:t>Sledování horizontálních témat</w:t>
            </w:r>
          </w:p>
        </w:tc>
        <w:tc>
          <w:tcPr>
            <w:tcW w:w="1920" w:type="dxa"/>
            <w:shd w:val="clear" w:color="auto" w:fill="C2D69B" w:themeFill="accent3" w:themeFillTint="99"/>
            <w:vAlign w:val="center"/>
          </w:tcPr>
          <w:p w:rsidR="00A75862" w:rsidRPr="00E679CE" w:rsidRDefault="00A75862" w:rsidP="006307F4">
            <w:pPr>
              <w:jc w:val="center"/>
              <w:rPr>
                <w:b/>
                <w:bCs/>
              </w:rPr>
            </w:pPr>
            <w:r w:rsidRPr="00E679CE">
              <w:rPr>
                <w:b/>
                <w:bCs/>
              </w:rPr>
              <w:t>Měrná jednotka</w:t>
            </w:r>
          </w:p>
        </w:tc>
        <w:tc>
          <w:tcPr>
            <w:tcW w:w="1860" w:type="dxa"/>
            <w:shd w:val="clear" w:color="auto" w:fill="C2D69B" w:themeFill="accent3" w:themeFillTint="99"/>
            <w:vAlign w:val="center"/>
          </w:tcPr>
          <w:p w:rsidR="00A75862" w:rsidRPr="00E679CE" w:rsidRDefault="00A75862" w:rsidP="006307F4">
            <w:pPr>
              <w:jc w:val="center"/>
              <w:rPr>
                <w:b/>
                <w:bCs/>
              </w:rPr>
            </w:pPr>
            <w:r w:rsidRPr="00E679CE">
              <w:rPr>
                <w:b/>
                <w:bCs/>
              </w:rPr>
              <w:t>Počet projektů</w:t>
            </w:r>
          </w:p>
        </w:tc>
      </w:tr>
      <w:tr w:rsidR="00A75862" w:rsidRPr="006307F4" w:rsidTr="002F3365">
        <w:trPr>
          <w:trHeight w:val="255"/>
        </w:trPr>
        <w:tc>
          <w:tcPr>
            <w:tcW w:w="5260" w:type="dxa"/>
            <w:noWrap/>
            <w:vAlign w:val="center"/>
          </w:tcPr>
          <w:p w:rsidR="00A75862" w:rsidRPr="00C61147" w:rsidRDefault="00A75862" w:rsidP="00C61147">
            <w:pPr>
              <w:rPr>
                <w:sz w:val="18"/>
                <w:szCs w:val="18"/>
              </w:rPr>
            </w:pPr>
            <w:r w:rsidRPr="00C61147">
              <w:rPr>
                <w:sz w:val="18"/>
                <w:szCs w:val="18"/>
              </w:rPr>
              <w:t>Cíleně zaměřen na rovné příležitosti</w:t>
            </w:r>
          </w:p>
        </w:tc>
        <w:tc>
          <w:tcPr>
            <w:tcW w:w="1920" w:type="dxa"/>
            <w:noWrap/>
            <w:vAlign w:val="center"/>
          </w:tcPr>
          <w:p w:rsidR="00A75862" w:rsidRPr="00C61147" w:rsidRDefault="00A75862" w:rsidP="002F3365">
            <w:pPr>
              <w:jc w:val="center"/>
              <w:rPr>
                <w:sz w:val="18"/>
                <w:szCs w:val="18"/>
              </w:rPr>
            </w:pPr>
            <w:r w:rsidRPr="00C61147">
              <w:rPr>
                <w:sz w:val="18"/>
                <w:szCs w:val="18"/>
              </w:rPr>
              <w:t>Počet projektů</w:t>
            </w:r>
          </w:p>
        </w:tc>
        <w:tc>
          <w:tcPr>
            <w:tcW w:w="1860" w:type="dxa"/>
            <w:noWrap/>
            <w:vAlign w:val="center"/>
          </w:tcPr>
          <w:p w:rsidR="00A75862" w:rsidRPr="00C61147" w:rsidRDefault="0022059B" w:rsidP="0022059B">
            <w:pPr>
              <w:jc w:val="center"/>
              <w:rPr>
                <w:sz w:val="18"/>
                <w:szCs w:val="18"/>
              </w:rPr>
            </w:pPr>
            <w:r>
              <w:rPr>
                <w:sz w:val="18"/>
                <w:szCs w:val="18"/>
              </w:rPr>
              <w:t>64</w:t>
            </w:r>
          </w:p>
        </w:tc>
      </w:tr>
      <w:tr w:rsidR="00A75862" w:rsidRPr="006307F4" w:rsidTr="002F3365">
        <w:trPr>
          <w:trHeight w:val="255"/>
        </w:trPr>
        <w:tc>
          <w:tcPr>
            <w:tcW w:w="5260" w:type="dxa"/>
            <w:noWrap/>
            <w:vAlign w:val="center"/>
          </w:tcPr>
          <w:p w:rsidR="00A75862" w:rsidRPr="00C61147" w:rsidRDefault="00A75862" w:rsidP="00C61147">
            <w:pPr>
              <w:rPr>
                <w:sz w:val="18"/>
                <w:szCs w:val="18"/>
              </w:rPr>
            </w:pPr>
            <w:r w:rsidRPr="00C61147">
              <w:rPr>
                <w:sz w:val="18"/>
                <w:szCs w:val="18"/>
              </w:rPr>
              <w:t>Pozitivní k rovným příležitostem</w:t>
            </w:r>
          </w:p>
        </w:tc>
        <w:tc>
          <w:tcPr>
            <w:tcW w:w="1920" w:type="dxa"/>
            <w:noWrap/>
            <w:vAlign w:val="center"/>
          </w:tcPr>
          <w:p w:rsidR="00A75862" w:rsidRPr="00C61147" w:rsidRDefault="00A75862" w:rsidP="002F3365">
            <w:pPr>
              <w:jc w:val="center"/>
              <w:rPr>
                <w:sz w:val="18"/>
                <w:szCs w:val="18"/>
              </w:rPr>
            </w:pPr>
            <w:r w:rsidRPr="00C61147">
              <w:rPr>
                <w:sz w:val="18"/>
                <w:szCs w:val="18"/>
              </w:rPr>
              <w:t>Počet projektů</w:t>
            </w:r>
          </w:p>
        </w:tc>
        <w:tc>
          <w:tcPr>
            <w:tcW w:w="1860" w:type="dxa"/>
            <w:noWrap/>
            <w:vAlign w:val="center"/>
          </w:tcPr>
          <w:p w:rsidR="00A75862" w:rsidRPr="00C61147" w:rsidRDefault="00B80100" w:rsidP="005274F9">
            <w:pPr>
              <w:jc w:val="center"/>
              <w:rPr>
                <w:sz w:val="18"/>
                <w:szCs w:val="18"/>
              </w:rPr>
            </w:pPr>
            <w:r>
              <w:rPr>
                <w:sz w:val="18"/>
                <w:szCs w:val="18"/>
              </w:rPr>
              <w:t>62</w:t>
            </w:r>
            <w:r w:rsidR="001171F8">
              <w:rPr>
                <w:sz w:val="18"/>
                <w:szCs w:val="18"/>
              </w:rPr>
              <w:t>2</w:t>
            </w:r>
            <w:r w:rsidR="005274F9">
              <w:rPr>
                <w:sz w:val="18"/>
                <w:szCs w:val="18"/>
              </w:rPr>
              <w:t>2</w:t>
            </w:r>
          </w:p>
        </w:tc>
      </w:tr>
      <w:tr w:rsidR="00A75862" w:rsidRPr="006307F4" w:rsidTr="002F3365">
        <w:trPr>
          <w:trHeight w:val="270"/>
        </w:trPr>
        <w:tc>
          <w:tcPr>
            <w:tcW w:w="5260" w:type="dxa"/>
            <w:noWrap/>
            <w:vAlign w:val="center"/>
          </w:tcPr>
          <w:p w:rsidR="00A75862" w:rsidRPr="00C61147" w:rsidRDefault="00A75862" w:rsidP="00C61147">
            <w:pPr>
              <w:rPr>
                <w:sz w:val="18"/>
                <w:szCs w:val="18"/>
              </w:rPr>
            </w:pPr>
            <w:r w:rsidRPr="00C61147">
              <w:rPr>
                <w:sz w:val="18"/>
                <w:szCs w:val="18"/>
              </w:rPr>
              <w:t>Neutrální k rovným příležitostem</w:t>
            </w:r>
          </w:p>
        </w:tc>
        <w:tc>
          <w:tcPr>
            <w:tcW w:w="1920" w:type="dxa"/>
            <w:noWrap/>
            <w:vAlign w:val="center"/>
          </w:tcPr>
          <w:p w:rsidR="00A75862" w:rsidRPr="00C61147" w:rsidRDefault="00A75862" w:rsidP="002F3365">
            <w:pPr>
              <w:jc w:val="center"/>
              <w:rPr>
                <w:sz w:val="18"/>
                <w:szCs w:val="18"/>
              </w:rPr>
            </w:pPr>
            <w:r w:rsidRPr="00C61147">
              <w:rPr>
                <w:sz w:val="18"/>
                <w:szCs w:val="18"/>
              </w:rPr>
              <w:t>Počet projektů</w:t>
            </w:r>
          </w:p>
        </w:tc>
        <w:tc>
          <w:tcPr>
            <w:tcW w:w="1860" w:type="dxa"/>
            <w:noWrap/>
            <w:vAlign w:val="center"/>
          </w:tcPr>
          <w:p w:rsidR="00A75862" w:rsidRPr="00C61147" w:rsidRDefault="001171F8" w:rsidP="0022059B">
            <w:pPr>
              <w:jc w:val="center"/>
              <w:rPr>
                <w:sz w:val="18"/>
                <w:szCs w:val="18"/>
              </w:rPr>
            </w:pPr>
            <w:r>
              <w:rPr>
                <w:sz w:val="18"/>
                <w:szCs w:val="18"/>
              </w:rPr>
              <w:t>20</w:t>
            </w:r>
            <w:r w:rsidR="0022059B">
              <w:rPr>
                <w:sz w:val="18"/>
                <w:szCs w:val="18"/>
              </w:rPr>
              <w:t>8</w:t>
            </w:r>
            <w:r>
              <w:rPr>
                <w:sz w:val="18"/>
                <w:szCs w:val="18"/>
              </w:rPr>
              <w:t>4</w:t>
            </w:r>
          </w:p>
        </w:tc>
      </w:tr>
    </w:tbl>
    <w:p w:rsidR="006F2473" w:rsidRDefault="006F2473" w:rsidP="006F2473">
      <w:pPr>
        <w:spacing w:after="120"/>
        <w:jc w:val="both"/>
        <w:rPr>
          <w:i/>
          <w:sz w:val="18"/>
          <w:szCs w:val="18"/>
        </w:rPr>
      </w:pPr>
      <w:r w:rsidRPr="00C02CF8">
        <w:rPr>
          <w:i/>
          <w:sz w:val="18"/>
          <w:szCs w:val="18"/>
        </w:rPr>
        <w:t>Zdroj:</w:t>
      </w:r>
      <w:r w:rsidR="00247745">
        <w:rPr>
          <w:i/>
          <w:sz w:val="18"/>
          <w:szCs w:val="18"/>
        </w:rPr>
        <w:t xml:space="preserve"> </w:t>
      </w:r>
      <w:r w:rsidRPr="00C02CF8">
        <w:rPr>
          <w:i/>
          <w:sz w:val="18"/>
          <w:szCs w:val="18"/>
        </w:rPr>
        <w:t>IS Monit7+ k </w:t>
      </w:r>
      <w:r w:rsidR="000F5B64">
        <w:rPr>
          <w:i/>
          <w:sz w:val="18"/>
          <w:szCs w:val="18"/>
        </w:rPr>
        <w:t>2</w:t>
      </w:r>
      <w:r w:rsidR="000F5B64" w:rsidRPr="00C02CF8">
        <w:rPr>
          <w:i/>
          <w:sz w:val="18"/>
          <w:szCs w:val="18"/>
        </w:rPr>
        <w:t>. 1. 2015</w:t>
      </w:r>
    </w:p>
    <w:p w:rsidR="006A4960" w:rsidRDefault="006A4960" w:rsidP="006F2473">
      <w:pPr>
        <w:spacing w:after="120"/>
        <w:jc w:val="both"/>
        <w:rPr>
          <w:i/>
          <w:sz w:val="18"/>
          <w:szCs w:val="18"/>
        </w:rPr>
      </w:pPr>
    </w:p>
    <w:p w:rsidR="00A75862" w:rsidRPr="001171F8" w:rsidRDefault="00A75862" w:rsidP="00147730">
      <w:pPr>
        <w:jc w:val="both"/>
        <w:rPr>
          <w:sz w:val="22"/>
          <w:szCs w:val="22"/>
        </w:rPr>
      </w:pPr>
      <w:r w:rsidRPr="001171F8">
        <w:rPr>
          <w:sz w:val="22"/>
          <w:szCs w:val="22"/>
        </w:rPr>
        <w:t>Do konce roku 201</w:t>
      </w:r>
      <w:r w:rsidR="00E679CE" w:rsidRPr="001171F8">
        <w:rPr>
          <w:sz w:val="22"/>
          <w:szCs w:val="22"/>
        </w:rPr>
        <w:t>4</w:t>
      </w:r>
      <w:r w:rsidRPr="001171F8">
        <w:rPr>
          <w:sz w:val="22"/>
          <w:szCs w:val="22"/>
        </w:rPr>
        <w:t xml:space="preserve"> byl</w:t>
      </w:r>
      <w:r w:rsidR="00FB04C8" w:rsidRPr="001171F8">
        <w:rPr>
          <w:sz w:val="22"/>
          <w:szCs w:val="22"/>
        </w:rPr>
        <w:t>a</w:t>
      </w:r>
      <w:r w:rsidRPr="001171F8">
        <w:rPr>
          <w:sz w:val="22"/>
          <w:szCs w:val="22"/>
        </w:rPr>
        <w:t xml:space="preserve"> vydán</w:t>
      </w:r>
      <w:r w:rsidR="00FB04C8" w:rsidRPr="001171F8">
        <w:rPr>
          <w:sz w:val="22"/>
          <w:szCs w:val="22"/>
        </w:rPr>
        <w:t>a</w:t>
      </w:r>
      <w:r w:rsidRPr="001171F8">
        <w:rPr>
          <w:sz w:val="22"/>
          <w:szCs w:val="22"/>
        </w:rPr>
        <w:t xml:space="preserve"> Rozhodnutí o poskytnutí dotace/Stanovení výdajů </w:t>
      </w:r>
      <w:r w:rsidR="00FB04C8" w:rsidRPr="001171F8">
        <w:rPr>
          <w:sz w:val="22"/>
          <w:szCs w:val="22"/>
        </w:rPr>
        <w:t>pro</w:t>
      </w:r>
      <w:r w:rsidRPr="0025154B">
        <w:rPr>
          <w:sz w:val="22"/>
          <w:szCs w:val="22"/>
        </w:rPr>
        <w:t xml:space="preserve"> </w:t>
      </w:r>
      <w:r w:rsidR="00B80100" w:rsidRPr="0025154B">
        <w:rPr>
          <w:sz w:val="22"/>
          <w:szCs w:val="22"/>
        </w:rPr>
        <w:t>8</w:t>
      </w:r>
      <w:r w:rsidR="00192C44" w:rsidRPr="0025154B">
        <w:rPr>
          <w:sz w:val="22"/>
          <w:szCs w:val="22"/>
        </w:rPr>
        <w:t>3</w:t>
      </w:r>
      <w:r w:rsidR="0025154B" w:rsidRPr="0025154B">
        <w:rPr>
          <w:sz w:val="22"/>
          <w:szCs w:val="22"/>
        </w:rPr>
        <w:t>50</w:t>
      </w:r>
      <w:r w:rsidR="00B80100" w:rsidRPr="001171F8">
        <w:rPr>
          <w:color w:val="FF0000"/>
          <w:sz w:val="22"/>
          <w:szCs w:val="22"/>
        </w:rPr>
        <w:t xml:space="preserve"> </w:t>
      </w:r>
      <w:r w:rsidRPr="001171F8">
        <w:rPr>
          <w:sz w:val="22"/>
          <w:szCs w:val="22"/>
        </w:rPr>
        <w:t>projektů</w:t>
      </w:r>
      <w:r w:rsidRPr="001171F8">
        <w:rPr>
          <w:rStyle w:val="Znakapoznpodarou"/>
          <w:sz w:val="22"/>
          <w:szCs w:val="22"/>
        </w:rPr>
        <w:footnoteReference w:id="7"/>
      </w:r>
      <w:r w:rsidRPr="001171F8">
        <w:rPr>
          <w:sz w:val="22"/>
          <w:szCs w:val="22"/>
        </w:rPr>
        <w:t xml:space="preserve">. Z nich </w:t>
      </w:r>
      <w:r w:rsidR="00FB04C8" w:rsidRPr="001171F8">
        <w:rPr>
          <w:sz w:val="22"/>
          <w:szCs w:val="22"/>
        </w:rPr>
        <w:t xml:space="preserve">má </w:t>
      </w:r>
      <w:r w:rsidR="001171F8" w:rsidRPr="001171F8">
        <w:rPr>
          <w:sz w:val="22"/>
          <w:szCs w:val="22"/>
        </w:rPr>
        <w:t>2</w:t>
      </w:r>
      <w:r w:rsidR="001171F8">
        <w:rPr>
          <w:sz w:val="22"/>
          <w:szCs w:val="22"/>
        </w:rPr>
        <w:t>084</w:t>
      </w:r>
      <w:r w:rsidRPr="001171F8">
        <w:rPr>
          <w:sz w:val="22"/>
          <w:szCs w:val="22"/>
        </w:rPr>
        <w:t xml:space="preserve"> neutrální vliv na rovné příležitosti, </w:t>
      </w:r>
      <w:r w:rsidR="00B80100" w:rsidRPr="001171F8">
        <w:rPr>
          <w:sz w:val="22"/>
          <w:szCs w:val="22"/>
        </w:rPr>
        <w:t>62</w:t>
      </w:r>
      <w:r w:rsidR="008669C7">
        <w:rPr>
          <w:sz w:val="22"/>
          <w:szCs w:val="22"/>
        </w:rPr>
        <w:t>2</w:t>
      </w:r>
      <w:r w:rsidR="005274F9">
        <w:rPr>
          <w:sz w:val="22"/>
          <w:szCs w:val="22"/>
        </w:rPr>
        <w:t>2</w:t>
      </w:r>
      <w:r w:rsidRPr="001171F8">
        <w:rPr>
          <w:sz w:val="22"/>
          <w:szCs w:val="22"/>
        </w:rPr>
        <w:t xml:space="preserve"> pozitivní vliv na rovné příležitosti a zbývajících </w:t>
      </w:r>
      <w:r w:rsidR="001171F8" w:rsidRPr="001171F8">
        <w:rPr>
          <w:sz w:val="22"/>
          <w:szCs w:val="22"/>
        </w:rPr>
        <w:t>64</w:t>
      </w:r>
      <w:r w:rsidR="00B80100" w:rsidRPr="001171F8">
        <w:rPr>
          <w:sz w:val="22"/>
          <w:szCs w:val="22"/>
        </w:rPr>
        <w:t xml:space="preserve"> </w:t>
      </w:r>
      <w:r w:rsidRPr="001171F8">
        <w:rPr>
          <w:sz w:val="22"/>
          <w:szCs w:val="22"/>
        </w:rPr>
        <w:t xml:space="preserve">se cíleně zaměřuje na </w:t>
      </w:r>
      <w:r w:rsidR="00B87F66" w:rsidRPr="001171F8">
        <w:rPr>
          <w:sz w:val="22"/>
          <w:szCs w:val="22"/>
        </w:rPr>
        <w:t xml:space="preserve">podporu </w:t>
      </w:r>
      <w:r w:rsidRPr="001171F8">
        <w:rPr>
          <w:sz w:val="22"/>
          <w:szCs w:val="22"/>
        </w:rPr>
        <w:t>rovn</w:t>
      </w:r>
      <w:r w:rsidR="00B87F66" w:rsidRPr="001171F8">
        <w:rPr>
          <w:sz w:val="22"/>
          <w:szCs w:val="22"/>
        </w:rPr>
        <w:t>ých</w:t>
      </w:r>
      <w:r w:rsidRPr="001171F8">
        <w:rPr>
          <w:sz w:val="22"/>
          <w:szCs w:val="22"/>
        </w:rPr>
        <w:t xml:space="preserve"> příležitost</w:t>
      </w:r>
      <w:r w:rsidR="00B87F66" w:rsidRPr="001171F8">
        <w:rPr>
          <w:sz w:val="22"/>
          <w:szCs w:val="22"/>
        </w:rPr>
        <w:t>í</w:t>
      </w:r>
      <w:r w:rsidRPr="001171F8">
        <w:rPr>
          <w:sz w:val="22"/>
          <w:szCs w:val="22"/>
        </w:rPr>
        <w:t xml:space="preserve">. Vysoký počet </w:t>
      </w:r>
      <w:r w:rsidR="00DC115F" w:rsidRPr="001171F8">
        <w:rPr>
          <w:sz w:val="22"/>
          <w:szCs w:val="22"/>
        </w:rPr>
        <w:t xml:space="preserve">projektů s pozitivním vlivem </w:t>
      </w:r>
      <w:r w:rsidRPr="001171F8">
        <w:rPr>
          <w:sz w:val="22"/>
          <w:szCs w:val="22"/>
        </w:rPr>
        <w:t xml:space="preserve">je dán vysokým počtem projektů </w:t>
      </w:r>
      <w:r w:rsidR="00B87F66" w:rsidRPr="001171F8">
        <w:rPr>
          <w:sz w:val="22"/>
          <w:szCs w:val="22"/>
        </w:rPr>
        <w:t xml:space="preserve">přijatých </w:t>
      </w:r>
      <w:r w:rsidRPr="001171F8">
        <w:rPr>
          <w:sz w:val="22"/>
          <w:szCs w:val="22"/>
        </w:rPr>
        <w:t xml:space="preserve">ve výzvě č. 2 na projekty </w:t>
      </w:r>
      <w:proofErr w:type="spellStart"/>
      <w:r w:rsidRPr="001171F8">
        <w:rPr>
          <w:sz w:val="22"/>
          <w:szCs w:val="22"/>
        </w:rPr>
        <w:t>Czech</w:t>
      </w:r>
      <w:r w:rsidR="00FB072C" w:rsidRPr="001171F8">
        <w:rPr>
          <w:sz w:val="22"/>
          <w:szCs w:val="22"/>
        </w:rPr>
        <w:t>POINT</w:t>
      </w:r>
      <w:proofErr w:type="spellEnd"/>
      <w:r w:rsidRPr="001171F8">
        <w:rPr>
          <w:sz w:val="22"/>
          <w:szCs w:val="22"/>
        </w:rPr>
        <w:t>, kde všech 5 2</w:t>
      </w:r>
      <w:r w:rsidR="00E43B21" w:rsidRPr="001171F8">
        <w:rPr>
          <w:sz w:val="22"/>
          <w:szCs w:val="22"/>
        </w:rPr>
        <w:t>72</w:t>
      </w:r>
      <w:r w:rsidRPr="001171F8">
        <w:rPr>
          <w:sz w:val="22"/>
          <w:szCs w:val="22"/>
        </w:rPr>
        <w:t xml:space="preserve"> schválených projektů má pozitivní vliv na rovné příležitosti. </w:t>
      </w:r>
    </w:p>
    <w:p w:rsidR="00A75862" w:rsidRPr="00ED3A6D" w:rsidRDefault="00A75862" w:rsidP="006307F4">
      <w:pPr>
        <w:jc w:val="both"/>
        <w:rPr>
          <w:b/>
          <w:i/>
          <w:sz w:val="22"/>
          <w:szCs w:val="22"/>
          <w:highlight w:val="yellow"/>
        </w:rPr>
      </w:pPr>
    </w:p>
    <w:p w:rsidR="006A4960" w:rsidRPr="00ED3A6D" w:rsidRDefault="006A4960" w:rsidP="006307F4">
      <w:pPr>
        <w:jc w:val="both"/>
        <w:rPr>
          <w:b/>
          <w:i/>
          <w:sz w:val="22"/>
          <w:szCs w:val="22"/>
          <w:highlight w:val="yellow"/>
        </w:rPr>
      </w:pPr>
    </w:p>
    <w:p w:rsidR="00A75862" w:rsidRPr="00830E4A" w:rsidRDefault="00A75862" w:rsidP="006307F4">
      <w:pPr>
        <w:jc w:val="both"/>
        <w:rPr>
          <w:b/>
          <w:i/>
          <w:sz w:val="22"/>
          <w:szCs w:val="22"/>
        </w:rPr>
      </w:pPr>
      <w:r w:rsidRPr="00830E4A">
        <w:rPr>
          <w:b/>
          <w:i/>
          <w:sz w:val="22"/>
          <w:szCs w:val="22"/>
        </w:rPr>
        <w:t>Udržitelný rozvoj</w:t>
      </w:r>
    </w:p>
    <w:p w:rsidR="006A4960" w:rsidRPr="00B50950" w:rsidRDefault="00A75862" w:rsidP="006307F4">
      <w:pPr>
        <w:jc w:val="both"/>
        <w:rPr>
          <w:sz w:val="22"/>
          <w:szCs w:val="22"/>
        </w:rPr>
      </w:pPr>
      <w:r w:rsidRPr="00830E4A">
        <w:rPr>
          <w:sz w:val="22"/>
          <w:szCs w:val="22"/>
        </w:rPr>
        <w:t>V souladu s článkem 17 obecného nařízení zajistí IOP podporu udržitelného rozvoje a prosazování cíle chránit životní prostředí během jednotlivých fází provádění pomoci. Vychází se z toho, že SF jsou určeny zejména na podporu a rozvoj ekonomické a sociální oblasti za předpokladu, že přispěj</w:t>
      </w:r>
      <w:r w:rsidR="00B87F66" w:rsidRPr="00830E4A">
        <w:rPr>
          <w:sz w:val="22"/>
          <w:szCs w:val="22"/>
        </w:rPr>
        <w:t>í</w:t>
      </w:r>
      <w:r w:rsidRPr="00830E4A">
        <w:rPr>
          <w:sz w:val="22"/>
          <w:szCs w:val="22"/>
        </w:rPr>
        <w:t xml:space="preserve"> také ke zlepšení životního prostředí. ŘO IOP proto sleduje dopady </w:t>
      </w:r>
      <w:r w:rsidR="00B87F66" w:rsidRPr="00830E4A">
        <w:rPr>
          <w:sz w:val="22"/>
          <w:szCs w:val="22"/>
        </w:rPr>
        <w:t>realiz</w:t>
      </w:r>
      <w:r w:rsidRPr="00830E4A">
        <w:rPr>
          <w:sz w:val="22"/>
          <w:szCs w:val="22"/>
        </w:rPr>
        <w:t xml:space="preserve">ace IOP na životní prostředí se záměrem maximalizovat zlepšení stavu životního prostředí v podporovaných oblastech. </w:t>
      </w:r>
    </w:p>
    <w:p w:rsidR="00A75862" w:rsidRPr="00ED3A6D" w:rsidRDefault="00A75862" w:rsidP="006307F4">
      <w:pPr>
        <w:jc w:val="both"/>
        <w:rPr>
          <w:sz w:val="22"/>
          <w:szCs w:val="22"/>
          <w:highlight w:val="yellow"/>
        </w:rPr>
      </w:pPr>
    </w:p>
    <w:p w:rsidR="000C5269" w:rsidRPr="008B3906" w:rsidRDefault="00A75862" w:rsidP="00A92782">
      <w:pPr>
        <w:pStyle w:val="Tabulkanzev"/>
      </w:pPr>
      <w:bookmarkStart w:id="58" w:name="_Toc416431809"/>
      <w:r w:rsidRPr="008B3906">
        <w:t>Udržitelný rozvoj</w:t>
      </w:r>
      <w:r w:rsidR="00686043">
        <w:t xml:space="preserve"> v IOP</w:t>
      </w:r>
      <w:r w:rsidR="00A17E91">
        <w:t>*</w:t>
      </w:r>
      <w:bookmarkEnd w:id="58"/>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ED3A6D" w:rsidTr="009F06FE">
        <w:trPr>
          <w:trHeight w:val="270"/>
          <w:tblHeader/>
        </w:trPr>
        <w:tc>
          <w:tcPr>
            <w:tcW w:w="5260" w:type="dxa"/>
            <w:shd w:val="clear" w:color="auto" w:fill="C2D69B" w:themeFill="accent3" w:themeFillTint="99"/>
            <w:vAlign w:val="center"/>
          </w:tcPr>
          <w:p w:rsidR="00A75862" w:rsidRPr="00C3226A" w:rsidRDefault="00A75862" w:rsidP="006307F4">
            <w:pPr>
              <w:jc w:val="center"/>
              <w:rPr>
                <w:b/>
                <w:bCs/>
              </w:rPr>
            </w:pPr>
            <w:r w:rsidRPr="00C3226A">
              <w:rPr>
                <w:b/>
                <w:bCs/>
              </w:rPr>
              <w:t>Sledování horizontálních témat</w:t>
            </w:r>
          </w:p>
        </w:tc>
        <w:tc>
          <w:tcPr>
            <w:tcW w:w="1920" w:type="dxa"/>
            <w:shd w:val="clear" w:color="auto" w:fill="C2D69B" w:themeFill="accent3" w:themeFillTint="99"/>
            <w:vAlign w:val="center"/>
          </w:tcPr>
          <w:p w:rsidR="00A75862" w:rsidRPr="00C3226A" w:rsidRDefault="00A75862" w:rsidP="006307F4">
            <w:pPr>
              <w:jc w:val="center"/>
              <w:rPr>
                <w:b/>
                <w:bCs/>
              </w:rPr>
            </w:pPr>
            <w:r w:rsidRPr="00C3226A">
              <w:rPr>
                <w:b/>
                <w:bCs/>
              </w:rPr>
              <w:t>Měrná jednotka</w:t>
            </w:r>
          </w:p>
        </w:tc>
        <w:tc>
          <w:tcPr>
            <w:tcW w:w="1860" w:type="dxa"/>
            <w:shd w:val="clear" w:color="auto" w:fill="C2D69B" w:themeFill="accent3" w:themeFillTint="99"/>
            <w:vAlign w:val="center"/>
          </w:tcPr>
          <w:p w:rsidR="00A75862" w:rsidRPr="00C3226A" w:rsidRDefault="00A75862" w:rsidP="006307F4">
            <w:pPr>
              <w:jc w:val="center"/>
              <w:rPr>
                <w:b/>
                <w:bCs/>
              </w:rPr>
            </w:pPr>
            <w:r w:rsidRPr="00C3226A">
              <w:rPr>
                <w:b/>
                <w:bCs/>
              </w:rPr>
              <w:t>Počet projektů</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Cíleně zaměřen na ochranu životního prostředí</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B80100" w:rsidP="008B3906">
            <w:pPr>
              <w:jc w:val="center"/>
              <w:rPr>
                <w:sz w:val="18"/>
                <w:szCs w:val="18"/>
              </w:rPr>
            </w:pPr>
            <w:r w:rsidRPr="008B3906">
              <w:rPr>
                <w:sz w:val="18"/>
                <w:szCs w:val="18"/>
              </w:rPr>
              <w:t>8</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Pozitivně přispěje k ochraně životního prostředí</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8B3906" w:rsidP="008B3906">
            <w:pPr>
              <w:jc w:val="center"/>
              <w:rPr>
                <w:sz w:val="18"/>
                <w:szCs w:val="18"/>
              </w:rPr>
            </w:pPr>
            <w:r w:rsidRPr="008B3906">
              <w:rPr>
                <w:sz w:val="18"/>
                <w:szCs w:val="18"/>
              </w:rPr>
              <w:t>963</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Neutrální k životnímu prostředí</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8B3906" w:rsidP="008B3906">
            <w:pPr>
              <w:jc w:val="center"/>
              <w:rPr>
                <w:sz w:val="18"/>
                <w:szCs w:val="18"/>
              </w:rPr>
            </w:pPr>
            <w:r w:rsidRPr="008B3906">
              <w:rPr>
                <w:sz w:val="18"/>
                <w:szCs w:val="18"/>
              </w:rPr>
              <w:t>7296</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Vyžadující posouzení vlivu na ŽP</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8B3906" w:rsidP="008B3906">
            <w:pPr>
              <w:jc w:val="center"/>
              <w:rPr>
                <w:sz w:val="18"/>
                <w:szCs w:val="18"/>
              </w:rPr>
            </w:pPr>
            <w:r w:rsidRPr="008B3906">
              <w:rPr>
                <w:sz w:val="18"/>
                <w:szCs w:val="18"/>
              </w:rPr>
              <w:t>207</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Přispěje ke zlepšení ovzduší</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B80100" w:rsidP="008B3906">
            <w:pPr>
              <w:jc w:val="center"/>
              <w:rPr>
                <w:sz w:val="18"/>
                <w:szCs w:val="18"/>
              </w:rPr>
            </w:pPr>
            <w:r w:rsidRPr="008B3906">
              <w:rPr>
                <w:sz w:val="18"/>
                <w:szCs w:val="18"/>
              </w:rPr>
              <w:t>17</w:t>
            </w:r>
            <w:r w:rsidR="008B3906" w:rsidRPr="008B3906">
              <w:rPr>
                <w:sz w:val="18"/>
                <w:szCs w:val="18"/>
              </w:rPr>
              <w:t>6</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Přispěje ke zlepšení kvality vody</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8B3906" w:rsidP="008B3906">
            <w:pPr>
              <w:jc w:val="center"/>
              <w:rPr>
                <w:sz w:val="18"/>
                <w:szCs w:val="18"/>
              </w:rPr>
            </w:pPr>
            <w:r w:rsidRPr="008B3906">
              <w:rPr>
                <w:sz w:val="18"/>
                <w:szCs w:val="18"/>
              </w:rPr>
              <w:t>15</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Využije alternativní zdroje</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8B3906" w:rsidP="008B3906">
            <w:pPr>
              <w:jc w:val="center"/>
              <w:rPr>
                <w:sz w:val="18"/>
                <w:szCs w:val="18"/>
              </w:rPr>
            </w:pPr>
            <w:r w:rsidRPr="008B3906">
              <w:rPr>
                <w:sz w:val="18"/>
                <w:szCs w:val="18"/>
              </w:rPr>
              <w:t>29</w:t>
            </w:r>
          </w:p>
        </w:tc>
      </w:tr>
      <w:tr w:rsidR="00A75862" w:rsidRPr="00ED3A6D" w:rsidTr="00B14EA8">
        <w:trPr>
          <w:trHeight w:val="255"/>
        </w:trPr>
        <w:tc>
          <w:tcPr>
            <w:tcW w:w="5260" w:type="dxa"/>
            <w:noWrap/>
            <w:vAlign w:val="center"/>
          </w:tcPr>
          <w:p w:rsidR="00A75862" w:rsidRPr="008B3906" w:rsidRDefault="00A75862" w:rsidP="00B14EA8">
            <w:pPr>
              <w:rPr>
                <w:sz w:val="18"/>
                <w:szCs w:val="18"/>
              </w:rPr>
            </w:pPr>
            <w:r w:rsidRPr="008B3906">
              <w:rPr>
                <w:sz w:val="18"/>
                <w:szCs w:val="18"/>
              </w:rPr>
              <w:t xml:space="preserve"> Zajistí zvýšení rozlohy sídelní vegetace</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C3226A" w:rsidP="008B3906">
            <w:pPr>
              <w:jc w:val="center"/>
              <w:rPr>
                <w:sz w:val="18"/>
                <w:szCs w:val="18"/>
              </w:rPr>
            </w:pPr>
            <w:r>
              <w:rPr>
                <w:sz w:val="18"/>
                <w:szCs w:val="18"/>
              </w:rPr>
              <w:t>3</w:t>
            </w:r>
            <w:r w:rsidR="008B3906" w:rsidRPr="008B3906">
              <w:rPr>
                <w:sz w:val="18"/>
                <w:szCs w:val="18"/>
              </w:rPr>
              <w:t>1</w:t>
            </w:r>
          </w:p>
        </w:tc>
      </w:tr>
      <w:tr w:rsidR="00A75862" w:rsidRPr="00ED3A6D" w:rsidTr="00B14EA8">
        <w:trPr>
          <w:trHeight w:val="270"/>
        </w:trPr>
        <w:tc>
          <w:tcPr>
            <w:tcW w:w="5260" w:type="dxa"/>
            <w:noWrap/>
            <w:vAlign w:val="center"/>
          </w:tcPr>
          <w:p w:rsidR="00A75862" w:rsidRPr="008B3906" w:rsidRDefault="00A75862" w:rsidP="00B14EA8">
            <w:pPr>
              <w:rPr>
                <w:sz w:val="18"/>
                <w:szCs w:val="18"/>
              </w:rPr>
            </w:pPr>
            <w:r w:rsidRPr="008B3906">
              <w:rPr>
                <w:sz w:val="18"/>
                <w:szCs w:val="18"/>
              </w:rPr>
              <w:t xml:space="preserve"> Zlepší informovanost obyvatel o ochraně ŽP</w:t>
            </w:r>
          </w:p>
        </w:tc>
        <w:tc>
          <w:tcPr>
            <w:tcW w:w="1920" w:type="dxa"/>
            <w:noWrap/>
            <w:vAlign w:val="center"/>
          </w:tcPr>
          <w:p w:rsidR="00A75862" w:rsidRPr="008B3906" w:rsidRDefault="00A75862" w:rsidP="008B3906">
            <w:pPr>
              <w:jc w:val="center"/>
              <w:rPr>
                <w:sz w:val="18"/>
                <w:szCs w:val="18"/>
              </w:rPr>
            </w:pPr>
            <w:r w:rsidRPr="008B3906">
              <w:rPr>
                <w:sz w:val="18"/>
                <w:szCs w:val="18"/>
              </w:rPr>
              <w:t>Počet projektů</w:t>
            </w:r>
          </w:p>
        </w:tc>
        <w:tc>
          <w:tcPr>
            <w:tcW w:w="1860" w:type="dxa"/>
            <w:noWrap/>
            <w:vAlign w:val="center"/>
          </w:tcPr>
          <w:p w:rsidR="00A75862" w:rsidRPr="008B3906" w:rsidRDefault="008B3906" w:rsidP="008B3906">
            <w:pPr>
              <w:jc w:val="center"/>
              <w:rPr>
                <w:sz w:val="18"/>
                <w:szCs w:val="18"/>
              </w:rPr>
            </w:pPr>
            <w:r w:rsidRPr="008B3906">
              <w:rPr>
                <w:sz w:val="18"/>
                <w:szCs w:val="18"/>
              </w:rPr>
              <w:t>68</w:t>
            </w:r>
          </w:p>
        </w:tc>
      </w:tr>
    </w:tbl>
    <w:p w:rsidR="00A17E91" w:rsidRDefault="008B3906" w:rsidP="00A17E91">
      <w:pPr>
        <w:jc w:val="both"/>
        <w:rPr>
          <w:i/>
          <w:sz w:val="18"/>
          <w:szCs w:val="18"/>
        </w:rPr>
      </w:pPr>
      <w:r w:rsidRPr="008B3906">
        <w:rPr>
          <w:i/>
          <w:sz w:val="18"/>
          <w:szCs w:val="18"/>
        </w:rPr>
        <w:t>Zdroj:</w:t>
      </w:r>
      <w:r w:rsidR="00052B9D">
        <w:rPr>
          <w:i/>
          <w:sz w:val="18"/>
          <w:szCs w:val="18"/>
        </w:rPr>
        <w:t xml:space="preserve"> </w:t>
      </w:r>
      <w:r w:rsidRPr="008B3906">
        <w:rPr>
          <w:i/>
          <w:sz w:val="18"/>
          <w:szCs w:val="18"/>
        </w:rPr>
        <w:t>IS Monit7+ k </w:t>
      </w:r>
      <w:r w:rsidR="000F5B64" w:rsidRPr="008B3906">
        <w:rPr>
          <w:i/>
          <w:sz w:val="18"/>
          <w:szCs w:val="18"/>
        </w:rPr>
        <w:t>2. 1. 2015</w:t>
      </w:r>
    </w:p>
    <w:p w:rsidR="001B7EB3" w:rsidRDefault="00A17E91" w:rsidP="00147730">
      <w:pPr>
        <w:jc w:val="both"/>
        <w:rPr>
          <w:sz w:val="18"/>
          <w:szCs w:val="18"/>
        </w:rPr>
      </w:pPr>
      <w:r>
        <w:rPr>
          <w:sz w:val="18"/>
          <w:szCs w:val="18"/>
        </w:rPr>
        <w:t>*Při s</w:t>
      </w:r>
      <w:r w:rsidRPr="00A17E91">
        <w:rPr>
          <w:sz w:val="18"/>
          <w:szCs w:val="18"/>
        </w:rPr>
        <w:t>ledování vlivu projektů na udržitelný rozvoj</w:t>
      </w:r>
      <w:r>
        <w:rPr>
          <w:sz w:val="18"/>
          <w:szCs w:val="18"/>
        </w:rPr>
        <w:t xml:space="preserve"> jsou vzaty v úvahu </w:t>
      </w:r>
      <w:r w:rsidRPr="00A17E91">
        <w:rPr>
          <w:sz w:val="18"/>
          <w:szCs w:val="18"/>
        </w:rPr>
        <w:t>pouze o schválené projekty v pozitivních stavech (tedy bez vyřazených projektů).</w:t>
      </w:r>
    </w:p>
    <w:p w:rsidR="00D42584" w:rsidRDefault="00D42584" w:rsidP="00147730">
      <w:pPr>
        <w:jc w:val="both"/>
        <w:rPr>
          <w:sz w:val="18"/>
          <w:szCs w:val="18"/>
        </w:rPr>
      </w:pPr>
    </w:p>
    <w:p w:rsidR="00D42584" w:rsidRPr="00121057" w:rsidRDefault="00D42584" w:rsidP="00147730">
      <w:pPr>
        <w:jc w:val="both"/>
        <w:rPr>
          <w:i/>
          <w:sz w:val="18"/>
          <w:szCs w:val="18"/>
        </w:rPr>
      </w:pPr>
    </w:p>
    <w:p w:rsidR="009E1DD6" w:rsidRDefault="009E1DD6" w:rsidP="00147730">
      <w:pPr>
        <w:spacing w:after="120"/>
        <w:jc w:val="both"/>
        <w:rPr>
          <w:sz w:val="22"/>
          <w:szCs w:val="22"/>
        </w:rPr>
      </w:pPr>
    </w:p>
    <w:p w:rsidR="009E1DD6" w:rsidRDefault="009E1DD6" w:rsidP="00147730">
      <w:pPr>
        <w:spacing w:after="120"/>
        <w:jc w:val="both"/>
        <w:rPr>
          <w:sz w:val="22"/>
          <w:szCs w:val="22"/>
        </w:rPr>
      </w:pPr>
    </w:p>
    <w:p w:rsidR="00A75862" w:rsidRPr="00844CB9" w:rsidRDefault="00A75862" w:rsidP="00147730">
      <w:pPr>
        <w:spacing w:after="120"/>
        <w:jc w:val="both"/>
        <w:rPr>
          <w:sz w:val="22"/>
          <w:szCs w:val="22"/>
        </w:rPr>
      </w:pPr>
      <w:r w:rsidRPr="00844CB9">
        <w:rPr>
          <w:sz w:val="22"/>
          <w:szCs w:val="22"/>
        </w:rPr>
        <w:lastRenderedPageBreak/>
        <w:t xml:space="preserve">ŘO IOP a ZS zajišťují, aby se požadavky na udržitelný rozvoj řešily na úrovni projektů ve všech oblastech intervence IOP: </w:t>
      </w:r>
    </w:p>
    <w:p w:rsidR="00A75862" w:rsidRPr="00844CB9" w:rsidRDefault="00A75862" w:rsidP="002E608B">
      <w:pPr>
        <w:numPr>
          <w:ilvl w:val="0"/>
          <w:numId w:val="13"/>
        </w:numPr>
        <w:spacing w:before="60"/>
        <w:ind w:left="714" w:hanging="357"/>
        <w:jc w:val="both"/>
        <w:rPr>
          <w:sz w:val="22"/>
          <w:szCs w:val="22"/>
        </w:rPr>
      </w:pPr>
      <w:r w:rsidRPr="00844CB9">
        <w:rPr>
          <w:sz w:val="22"/>
          <w:szCs w:val="22"/>
        </w:rPr>
        <w:t>u stavebních projektů žadatelé předkládají územní rozhodnutí a stavební povolení, jehož nedílnou součástí je hodnocení vlivu a eliminace negativního dopadu projektu na životní prostředí,</w:t>
      </w:r>
    </w:p>
    <w:p w:rsidR="00A75862" w:rsidRPr="00844CB9" w:rsidRDefault="00A75862" w:rsidP="002E608B">
      <w:pPr>
        <w:numPr>
          <w:ilvl w:val="0"/>
          <w:numId w:val="13"/>
        </w:numPr>
        <w:spacing w:before="60"/>
        <w:ind w:left="714" w:hanging="357"/>
        <w:jc w:val="both"/>
        <w:rPr>
          <w:sz w:val="22"/>
          <w:szCs w:val="22"/>
        </w:rPr>
      </w:pPr>
      <w:r w:rsidRPr="00844CB9">
        <w:rPr>
          <w:sz w:val="22"/>
          <w:szCs w:val="22"/>
        </w:rPr>
        <w:t xml:space="preserve">pokud projekt podléhá posouzení vlivů na životní prostředí podle zákona č. 100/2001 Sb., resp. vlivu projektu na lokality Natura 2000 podle zákona č. 114/1992 Sb., o ochraně přírody </w:t>
      </w:r>
      <w:r w:rsidR="003963AA" w:rsidRPr="00844CB9">
        <w:rPr>
          <w:sz w:val="22"/>
          <w:szCs w:val="22"/>
        </w:rPr>
        <w:br/>
      </w:r>
      <w:r w:rsidRPr="00844CB9">
        <w:rPr>
          <w:sz w:val="22"/>
          <w:szCs w:val="22"/>
        </w:rPr>
        <w:t>a krajiny ve znění pozdějších předpisů, musí příjemce předložit i tyto doklady,</w:t>
      </w:r>
    </w:p>
    <w:p w:rsidR="00A75862" w:rsidRPr="00844CB9" w:rsidRDefault="00A75862" w:rsidP="002E608B">
      <w:pPr>
        <w:numPr>
          <w:ilvl w:val="0"/>
          <w:numId w:val="13"/>
        </w:numPr>
        <w:spacing w:before="60"/>
        <w:ind w:left="714" w:hanging="357"/>
        <w:jc w:val="both"/>
        <w:rPr>
          <w:sz w:val="22"/>
          <w:szCs w:val="22"/>
        </w:rPr>
      </w:pPr>
      <w:r w:rsidRPr="00844CB9">
        <w:rPr>
          <w:sz w:val="22"/>
          <w:szCs w:val="22"/>
        </w:rPr>
        <w:t>v projektové žádosti musí žadatel popsat vliv projektu na životní prostředí,</w:t>
      </w:r>
    </w:p>
    <w:p w:rsidR="00A75862" w:rsidRPr="003347BD" w:rsidRDefault="00A75862" w:rsidP="004E754D">
      <w:pPr>
        <w:numPr>
          <w:ilvl w:val="0"/>
          <w:numId w:val="13"/>
        </w:numPr>
        <w:spacing w:before="60"/>
        <w:ind w:left="714" w:hanging="357"/>
        <w:jc w:val="both"/>
        <w:rPr>
          <w:sz w:val="22"/>
          <w:szCs w:val="22"/>
        </w:rPr>
      </w:pPr>
      <w:r w:rsidRPr="00844CB9">
        <w:rPr>
          <w:sz w:val="22"/>
          <w:szCs w:val="22"/>
        </w:rPr>
        <w:t>při posuzování projektu jsou zohledněny vlivy či dopady projektu na životní prostředí: při kontrole přijatelnosti jsou projekty vykazující negativní vliv na životní prostředí vyřazeny, při hodnocení kvality projektů jsou projekty s pozitivním vlivem na životní prostředí bodově zvýhodněny.</w:t>
      </w:r>
    </w:p>
    <w:p w:rsidR="006A4960" w:rsidRPr="00ED3A6D" w:rsidRDefault="006A4960" w:rsidP="004E754D">
      <w:pPr>
        <w:rPr>
          <w:b/>
          <w:sz w:val="24"/>
          <w:szCs w:val="24"/>
          <w:highlight w:val="yellow"/>
        </w:rPr>
      </w:pPr>
    </w:p>
    <w:p w:rsidR="00A75862" w:rsidRPr="00AB3AA0" w:rsidRDefault="00A75862" w:rsidP="004E754D">
      <w:pPr>
        <w:rPr>
          <w:b/>
          <w:sz w:val="22"/>
          <w:szCs w:val="22"/>
        </w:rPr>
      </w:pPr>
      <w:r w:rsidRPr="00AB3AA0">
        <w:rPr>
          <w:b/>
          <w:sz w:val="22"/>
          <w:szCs w:val="22"/>
        </w:rPr>
        <w:t>Lisabonská strategie</w:t>
      </w:r>
    </w:p>
    <w:p w:rsidR="00A75862" w:rsidRPr="00AB3AA0" w:rsidRDefault="00A75862" w:rsidP="00C23D9C">
      <w:pPr>
        <w:jc w:val="both"/>
        <w:rPr>
          <w:sz w:val="22"/>
          <w:szCs w:val="22"/>
        </w:rPr>
      </w:pPr>
      <w:r w:rsidRPr="00AB3AA0">
        <w:rPr>
          <w:sz w:val="22"/>
          <w:szCs w:val="22"/>
        </w:rPr>
        <w:t>Národním programem reforem (NPR) ČR navázala na iniciativu EU, jejímž cílem bylo vytvoření nového systému řízení Lisabonské agendy. NPR má přispět ke zjednodušení a zefektivnění dosavadní koordinace hospodářských politik na úrovni EU i členských států a zajistit větší identifikaci těchto států se stanovenými prioritami Lisabonského procesu.</w:t>
      </w:r>
    </w:p>
    <w:p w:rsidR="00A75862" w:rsidRPr="00AB3AA0" w:rsidRDefault="00A75862" w:rsidP="00C23D9C">
      <w:pPr>
        <w:jc w:val="both"/>
        <w:rPr>
          <w:sz w:val="22"/>
          <w:szCs w:val="22"/>
        </w:rPr>
      </w:pPr>
    </w:p>
    <w:p w:rsidR="00A75862" w:rsidRDefault="00A75862" w:rsidP="00C23D9C">
      <w:pPr>
        <w:jc w:val="both"/>
        <w:rPr>
          <w:sz w:val="22"/>
          <w:szCs w:val="22"/>
        </w:rPr>
      </w:pPr>
      <w:r w:rsidRPr="00AB3AA0">
        <w:rPr>
          <w:sz w:val="22"/>
          <w:szCs w:val="22"/>
        </w:rPr>
        <w:t xml:space="preserve">NPR ČR (usnesení </w:t>
      </w:r>
      <w:r w:rsidR="00D619C9" w:rsidRPr="00AB3AA0">
        <w:rPr>
          <w:sz w:val="22"/>
          <w:szCs w:val="22"/>
        </w:rPr>
        <w:t>Vlády</w:t>
      </w:r>
      <w:r w:rsidRPr="00AB3AA0">
        <w:rPr>
          <w:sz w:val="22"/>
          <w:szCs w:val="22"/>
        </w:rPr>
        <w:t xml:space="preserve"> č. 1200/2005) představuje integrované a soudržné propojení makroekonomických a mikroekonomických politik s politikou zaměstnanosti. NPR je koncipován na tříleté období a při formulaci priorit byl kladen důraz na jejich realizovatelnost v daném období, na stanovené výdajové rámce rozpočtu ČR</w:t>
      </w:r>
      <w:r w:rsidR="00247745">
        <w:rPr>
          <w:sz w:val="22"/>
          <w:szCs w:val="22"/>
        </w:rPr>
        <w:t>,</w:t>
      </w:r>
      <w:r w:rsidRPr="00AB3AA0">
        <w:rPr>
          <w:sz w:val="22"/>
          <w:szCs w:val="22"/>
        </w:rPr>
        <w:t xml:space="preserve"> </w:t>
      </w:r>
      <w:proofErr w:type="spellStart"/>
      <w:r w:rsidRPr="00AB3AA0">
        <w:rPr>
          <w:sz w:val="22"/>
          <w:szCs w:val="22"/>
        </w:rPr>
        <w:t>vyhodnotitelnost</w:t>
      </w:r>
      <w:proofErr w:type="spellEnd"/>
      <w:r w:rsidRPr="00AB3AA0">
        <w:rPr>
          <w:sz w:val="22"/>
          <w:szCs w:val="22"/>
        </w:rPr>
        <w:t xml:space="preserve"> a vzájemný synergický efekt jednotlivých opatření.</w:t>
      </w:r>
    </w:p>
    <w:p w:rsidR="00C666E7" w:rsidRPr="00ED3A6D" w:rsidRDefault="00C666E7" w:rsidP="00C23D9C">
      <w:pPr>
        <w:jc w:val="both"/>
        <w:rPr>
          <w:sz w:val="22"/>
          <w:szCs w:val="22"/>
          <w:highlight w:val="yellow"/>
        </w:rPr>
      </w:pPr>
    </w:p>
    <w:p w:rsidR="00A75862" w:rsidRPr="001B7EB3" w:rsidRDefault="00A75862" w:rsidP="00A92782">
      <w:pPr>
        <w:pStyle w:val="Tabulkanzev"/>
      </w:pPr>
      <w:bookmarkStart w:id="59" w:name="_Toc416431810"/>
      <w:r w:rsidRPr="001B7EB3">
        <w:t>Podíl priorit Lisabonské strategie na prioritách IOP</w:t>
      </w:r>
      <w:bookmarkEnd w:id="59"/>
    </w:p>
    <w:tbl>
      <w:tblPr>
        <w:tblW w:w="91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3732"/>
        <w:gridCol w:w="1843"/>
        <w:gridCol w:w="3586"/>
      </w:tblGrid>
      <w:tr w:rsidR="00A75862" w:rsidRPr="00ED3A6D" w:rsidTr="00A73384">
        <w:trPr>
          <w:trHeight w:val="780"/>
          <w:jc w:val="center"/>
        </w:trPr>
        <w:tc>
          <w:tcPr>
            <w:tcW w:w="3732" w:type="dxa"/>
            <w:shd w:val="clear" w:color="auto" w:fill="D6E3BC" w:themeFill="accent3" w:themeFillTint="66"/>
            <w:noWrap/>
            <w:vAlign w:val="center"/>
          </w:tcPr>
          <w:p w:rsidR="00A75862" w:rsidRPr="001B7EB3" w:rsidRDefault="00A75862" w:rsidP="00D62B94">
            <w:pPr>
              <w:keepNext/>
              <w:jc w:val="center"/>
              <w:rPr>
                <w:b/>
                <w:bCs/>
              </w:rPr>
            </w:pPr>
            <w:r w:rsidRPr="001B7EB3">
              <w:rPr>
                <w:b/>
                <w:bCs/>
              </w:rPr>
              <w:t>Prioritní téma</w:t>
            </w:r>
          </w:p>
        </w:tc>
        <w:tc>
          <w:tcPr>
            <w:tcW w:w="1843" w:type="dxa"/>
            <w:shd w:val="clear" w:color="auto" w:fill="D6E3BC" w:themeFill="accent3" w:themeFillTint="66"/>
            <w:vAlign w:val="center"/>
          </w:tcPr>
          <w:p w:rsidR="00A75862" w:rsidRPr="001B7EB3" w:rsidRDefault="00A75862" w:rsidP="00D62B94">
            <w:pPr>
              <w:keepNext/>
              <w:jc w:val="center"/>
              <w:rPr>
                <w:b/>
                <w:bCs/>
              </w:rPr>
            </w:pPr>
            <w:r w:rsidRPr="001B7EB3">
              <w:rPr>
                <w:b/>
                <w:bCs/>
              </w:rPr>
              <w:t>Alokace v EUR</w:t>
            </w:r>
            <w:r w:rsidRPr="001B7EB3">
              <w:rPr>
                <w:b/>
                <w:bCs/>
              </w:rPr>
              <w:br/>
              <w:t>2007-2013</w:t>
            </w:r>
          </w:p>
        </w:tc>
        <w:tc>
          <w:tcPr>
            <w:tcW w:w="3586" w:type="dxa"/>
            <w:shd w:val="clear" w:color="auto" w:fill="D6E3BC" w:themeFill="accent3" w:themeFillTint="66"/>
            <w:vAlign w:val="center"/>
          </w:tcPr>
          <w:p w:rsidR="00A75862" w:rsidRPr="001B7EB3" w:rsidRDefault="00A75862" w:rsidP="00A96BEF">
            <w:pPr>
              <w:keepNext/>
              <w:jc w:val="center"/>
              <w:rPr>
                <w:b/>
                <w:bCs/>
              </w:rPr>
            </w:pPr>
            <w:r w:rsidRPr="001B7EB3">
              <w:rPr>
                <w:b/>
                <w:bCs/>
              </w:rPr>
              <w:t>Vyčerpáno 201</w:t>
            </w:r>
            <w:r w:rsidR="00A96BEF">
              <w:rPr>
                <w:b/>
                <w:bCs/>
              </w:rPr>
              <w:t>4</w:t>
            </w:r>
            <w:r w:rsidRPr="001B7EB3">
              <w:rPr>
                <w:b/>
                <w:bCs/>
              </w:rPr>
              <w:t xml:space="preserve"> vzhledem k alokaci</w:t>
            </w:r>
            <w:r w:rsidRPr="001B7EB3">
              <w:rPr>
                <w:b/>
                <w:bCs/>
              </w:rPr>
              <w:br/>
              <w:t>2007-2013</w:t>
            </w:r>
            <w:r w:rsidRPr="001B7EB3">
              <w:rPr>
                <w:rStyle w:val="Znakapoznpodarou"/>
                <w:b/>
                <w:bCs/>
              </w:rPr>
              <w:footnoteReference w:id="8"/>
            </w:r>
          </w:p>
        </w:tc>
      </w:tr>
      <w:tr w:rsidR="00A75862" w:rsidRPr="00ED3A6D" w:rsidTr="00A73384">
        <w:trPr>
          <w:trHeight w:val="255"/>
          <w:jc w:val="center"/>
        </w:trPr>
        <w:tc>
          <w:tcPr>
            <w:tcW w:w="3732" w:type="dxa"/>
            <w:noWrap/>
            <w:vAlign w:val="center"/>
          </w:tcPr>
          <w:p w:rsidR="00A75862" w:rsidRPr="001B7EB3" w:rsidRDefault="00A75862" w:rsidP="00D62B94">
            <w:r w:rsidRPr="001B7EB3">
              <w:t>13 – Služby a aplikace pro občany (e-zdraví, e-vláda, e-učení, e-začlenění)</w:t>
            </w:r>
          </w:p>
        </w:tc>
        <w:tc>
          <w:tcPr>
            <w:tcW w:w="1843" w:type="dxa"/>
            <w:noWrap/>
            <w:vAlign w:val="center"/>
          </w:tcPr>
          <w:p w:rsidR="00A75862" w:rsidRPr="001B7EB3" w:rsidRDefault="00A75862" w:rsidP="00D62B94">
            <w:pPr>
              <w:jc w:val="center"/>
            </w:pPr>
            <w:r w:rsidRPr="001B7EB3">
              <w:t>461 833 111</w:t>
            </w:r>
          </w:p>
        </w:tc>
        <w:tc>
          <w:tcPr>
            <w:tcW w:w="3586" w:type="dxa"/>
            <w:noWrap/>
            <w:vAlign w:val="center"/>
          </w:tcPr>
          <w:p w:rsidR="00A75862" w:rsidRPr="001B7EB3" w:rsidRDefault="001B7EB3" w:rsidP="00D62B94">
            <w:pPr>
              <w:jc w:val="center"/>
            </w:pPr>
            <w:r w:rsidRPr="001B7EB3">
              <w:t>26,54</w:t>
            </w:r>
            <w:r w:rsidR="00A75862" w:rsidRPr="001B7EB3">
              <w:t xml:space="preserve"> %</w:t>
            </w:r>
          </w:p>
        </w:tc>
      </w:tr>
      <w:tr w:rsidR="00A75862" w:rsidRPr="00ED3A6D" w:rsidTr="00A73384">
        <w:trPr>
          <w:trHeight w:val="305"/>
          <w:jc w:val="center"/>
        </w:trPr>
        <w:tc>
          <w:tcPr>
            <w:tcW w:w="3732" w:type="dxa"/>
            <w:shd w:val="clear" w:color="auto" w:fill="D6E3BC" w:themeFill="accent3" w:themeFillTint="66"/>
            <w:noWrap/>
            <w:vAlign w:val="center"/>
          </w:tcPr>
          <w:p w:rsidR="00A75862" w:rsidRPr="001B7EB3" w:rsidRDefault="00A75862" w:rsidP="00D62B94">
            <w:pPr>
              <w:rPr>
                <w:b/>
                <w:bCs/>
              </w:rPr>
            </w:pPr>
            <w:r w:rsidRPr="001B7EB3">
              <w:rPr>
                <w:b/>
                <w:bCs/>
              </w:rPr>
              <w:t>CELKEM</w:t>
            </w:r>
          </w:p>
        </w:tc>
        <w:tc>
          <w:tcPr>
            <w:tcW w:w="1843" w:type="dxa"/>
            <w:shd w:val="clear" w:color="auto" w:fill="D6E3BC" w:themeFill="accent3" w:themeFillTint="66"/>
            <w:noWrap/>
            <w:vAlign w:val="center"/>
          </w:tcPr>
          <w:p w:rsidR="00A75862" w:rsidRPr="001B7EB3" w:rsidRDefault="00A75862" w:rsidP="00D62B94">
            <w:pPr>
              <w:jc w:val="center"/>
              <w:rPr>
                <w:b/>
                <w:bCs/>
              </w:rPr>
            </w:pPr>
            <w:r w:rsidRPr="001B7EB3">
              <w:rPr>
                <w:b/>
                <w:bCs/>
              </w:rPr>
              <w:t>461 833 111</w:t>
            </w:r>
          </w:p>
        </w:tc>
        <w:tc>
          <w:tcPr>
            <w:tcW w:w="3586" w:type="dxa"/>
            <w:shd w:val="clear" w:color="auto" w:fill="D6E3BC" w:themeFill="accent3" w:themeFillTint="66"/>
            <w:noWrap/>
            <w:vAlign w:val="center"/>
          </w:tcPr>
          <w:p w:rsidR="00A75862" w:rsidRPr="001B7EB3" w:rsidRDefault="00F369AC" w:rsidP="00D62B94">
            <w:pPr>
              <w:jc w:val="center"/>
              <w:rPr>
                <w:b/>
                <w:bCs/>
              </w:rPr>
            </w:pPr>
            <w:r>
              <w:rPr>
                <w:b/>
                <w:bCs/>
              </w:rPr>
              <w:t>26,54</w:t>
            </w:r>
            <w:r w:rsidR="00A75862" w:rsidRPr="001B7EB3">
              <w:rPr>
                <w:b/>
                <w:bCs/>
              </w:rPr>
              <w:t xml:space="preserve"> %</w:t>
            </w:r>
          </w:p>
        </w:tc>
      </w:tr>
    </w:tbl>
    <w:p w:rsidR="00A75862" w:rsidRPr="001B7EB3" w:rsidRDefault="00A75862" w:rsidP="00C23D9C">
      <w:pPr>
        <w:jc w:val="both"/>
        <w:rPr>
          <w:i/>
        </w:rPr>
      </w:pPr>
      <w:r w:rsidRPr="001B7EB3">
        <w:rPr>
          <w:i/>
          <w:sz w:val="18"/>
          <w:szCs w:val="18"/>
        </w:rPr>
        <w:t>Zdroj: MSC2007 k</w:t>
      </w:r>
      <w:r w:rsidR="00BB47D7" w:rsidRPr="001B7EB3">
        <w:rPr>
          <w:i/>
          <w:sz w:val="18"/>
          <w:szCs w:val="18"/>
        </w:rPr>
        <w:t xml:space="preserve">e dni </w:t>
      </w:r>
      <w:r w:rsidR="000F5B64" w:rsidRPr="001B7EB3">
        <w:rPr>
          <w:i/>
          <w:sz w:val="18"/>
          <w:szCs w:val="18"/>
        </w:rPr>
        <w:t>31. 12. 2014</w:t>
      </w:r>
    </w:p>
    <w:p w:rsidR="00A75862" w:rsidRPr="00ED3A6D" w:rsidRDefault="00A75862" w:rsidP="004E754D">
      <w:pPr>
        <w:rPr>
          <w:b/>
          <w:sz w:val="24"/>
          <w:szCs w:val="24"/>
          <w:highlight w:val="yellow"/>
        </w:rPr>
      </w:pPr>
    </w:p>
    <w:p w:rsidR="00A75862" w:rsidRPr="00AB3AA0" w:rsidRDefault="00A75862" w:rsidP="004E754D">
      <w:pPr>
        <w:rPr>
          <w:b/>
          <w:sz w:val="22"/>
          <w:szCs w:val="22"/>
        </w:rPr>
      </w:pPr>
      <w:r w:rsidRPr="00AB3AA0">
        <w:rPr>
          <w:b/>
          <w:sz w:val="22"/>
          <w:szCs w:val="22"/>
        </w:rPr>
        <w:t>Příspěvek IOP ke strategii Evropa 2020</w:t>
      </w:r>
    </w:p>
    <w:p w:rsidR="00A75862" w:rsidRPr="00AB3AA0" w:rsidRDefault="00A75862" w:rsidP="004E754D">
      <w:pPr>
        <w:jc w:val="both"/>
        <w:rPr>
          <w:bCs/>
          <w:color w:val="000000"/>
          <w:sz w:val="22"/>
          <w:szCs w:val="22"/>
        </w:rPr>
      </w:pPr>
      <w:r w:rsidRPr="00AB3AA0">
        <w:rPr>
          <w:bCs/>
          <w:color w:val="000000"/>
          <w:sz w:val="22"/>
          <w:szCs w:val="22"/>
        </w:rPr>
        <w:t xml:space="preserve">Evropská rada přijala dne </w:t>
      </w:r>
      <w:r w:rsidR="000F5B64" w:rsidRPr="00AB3AA0">
        <w:rPr>
          <w:bCs/>
          <w:color w:val="000000"/>
          <w:sz w:val="22"/>
          <w:szCs w:val="22"/>
        </w:rPr>
        <w:t>17. 6. 2010</w:t>
      </w:r>
      <w:r w:rsidRPr="00AB3AA0">
        <w:rPr>
          <w:bCs/>
          <w:color w:val="000000"/>
          <w:sz w:val="22"/>
          <w:szCs w:val="22"/>
        </w:rPr>
        <w:t xml:space="preserve"> strategii Unie pro inteligentní a udržitelný růst podporující začlenění. Dne </w:t>
      </w:r>
      <w:r w:rsidR="000F5B64" w:rsidRPr="00AB3AA0">
        <w:rPr>
          <w:bCs/>
          <w:color w:val="000000"/>
          <w:sz w:val="22"/>
          <w:szCs w:val="22"/>
        </w:rPr>
        <w:t>13. 7. 2010</w:t>
      </w:r>
      <w:r w:rsidRPr="00AB3AA0">
        <w:rPr>
          <w:bCs/>
          <w:color w:val="000000"/>
          <w:sz w:val="22"/>
          <w:szCs w:val="22"/>
        </w:rPr>
        <w:t xml:space="preserve"> přijala Rada doporučení o hlavních směrech hospodářských politik členských států a Unie a dne </w:t>
      </w:r>
      <w:r w:rsidR="00B65991" w:rsidRPr="00AB3AA0">
        <w:rPr>
          <w:bCs/>
          <w:color w:val="000000"/>
          <w:sz w:val="22"/>
          <w:szCs w:val="22"/>
        </w:rPr>
        <w:t>21. 10. 2010</w:t>
      </w:r>
      <w:r w:rsidRPr="00AB3AA0">
        <w:rPr>
          <w:bCs/>
          <w:color w:val="000000"/>
          <w:sz w:val="22"/>
          <w:szCs w:val="22"/>
        </w:rPr>
        <w:t xml:space="preserve"> přijala rozhodnutí o hlavních směrech politik zaměstnanosti členských států, které společně tvoří „integrované hlavní směry“. Členské státy byly vyzvány, aby vzaly integrované hlavní směry v úvahu při formulaci svých vnitrostátních politik v oblasti hospodářství a zaměstnanosti. </w:t>
      </w:r>
    </w:p>
    <w:p w:rsidR="00A75862" w:rsidRPr="00AB3AA0" w:rsidRDefault="00A75862" w:rsidP="004E754D">
      <w:pPr>
        <w:jc w:val="both"/>
        <w:rPr>
          <w:bCs/>
          <w:color w:val="000000"/>
          <w:sz w:val="22"/>
          <w:szCs w:val="22"/>
        </w:rPr>
      </w:pPr>
    </w:p>
    <w:p w:rsidR="00A75862" w:rsidRPr="00AB3AA0" w:rsidRDefault="00A75862" w:rsidP="004E754D">
      <w:pPr>
        <w:jc w:val="both"/>
        <w:rPr>
          <w:bCs/>
          <w:color w:val="000000"/>
          <w:sz w:val="22"/>
          <w:szCs w:val="22"/>
        </w:rPr>
      </w:pPr>
      <w:r w:rsidRPr="00AB3AA0">
        <w:rPr>
          <w:bCs/>
          <w:color w:val="000000"/>
          <w:sz w:val="22"/>
          <w:szCs w:val="22"/>
        </w:rPr>
        <w:t>Aby fondy EU (v případě IOP jde pouze o ERDF) splnily své poslání, t</w:t>
      </w:r>
      <w:r w:rsidR="00BF10F1" w:rsidRPr="00AB3AA0">
        <w:rPr>
          <w:bCs/>
          <w:color w:val="000000"/>
          <w:sz w:val="22"/>
          <w:szCs w:val="22"/>
        </w:rPr>
        <w:t>j.</w:t>
      </w:r>
      <w:r w:rsidRPr="00AB3AA0">
        <w:rPr>
          <w:bCs/>
          <w:color w:val="000000"/>
          <w:sz w:val="22"/>
          <w:szCs w:val="22"/>
        </w:rPr>
        <w:t xml:space="preserve"> přispět ke strategii Unie pro inteligentní a udržitelný růst podporující začlenění, musí podporovat 11 tematických cílů, vymezených v článku 9 nařízení EP a Rady (EU) č. 1303/2013 o společných ustanoveních ohledně fondů ESIF. Tematické cíle se promítají do investičních priorit, vymezených ve zvláštních pravidlech pro fondy, </w:t>
      </w:r>
      <w:r w:rsidR="004E57EF" w:rsidRPr="00AB3AA0">
        <w:rPr>
          <w:bCs/>
          <w:color w:val="000000"/>
          <w:sz w:val="22"/>
          <w:szCs w:val="22"/>
        </w:rPr>
        <w:br/>
      </w:r>
      <w:r w:rsidRPr="00AB3AA0">
        <w:rPr>
          <w:bCs/>
          <w:color w:val="000000"/>
          <w:sz w:val="22"/>
          <w:szCs w:val="22"/>
        </w:rPr>
        <w:t>v případě ERDF jde o článek 5 nařízení EP a Rady (EU) č. 1301/2013 o ERDF.</w:t>
      </w:r>
    </w:p>
    <w:p w:rsidR="007B6B5E" w:rsidRDefault="007B6B5E" w:rsidP="004E754D">
      <w:pPr>
        <w:jc w:val="both"/>
        <w:rPr>
          <w:bCs/>
          <w:color w:val="000000"/>
          <w:sz w:val="22"/>
          <w:szCs w:val="22"/>
        </w:rPr>
      </w:pPr>
    </w:p>
    <w:p w:rsidR="009E1DD6" w:rsidRDefault="009E1DD6" w:rsidP="004E754D">
      <w:pPr>
        <w:jc w:val="both"/>
        <w:rPr>
          <w:bCs/>
          <w:color w:val="000000"/>
          <w:sz w:val="22"/>
          <w:szCs w:val="22"/>
        </w:rPr>
      </w:pPr>
    </w:p>
    <w:p w:rsidR="00A75862" w:rsidRPr="00AB3AA0" w:rsidRDefault="00A75862" w:rsidP="004E754D">
      <w:pPr>
        <w:jc w:val="both"/>
        <w:rPr>
          <w:bCs/>
          <w:color w:val="000000"/>
          <w:sz w:val="22"/>
          <w:szCs w:val="22"/>
        </w:rPr>
      </w:pPr>
      <w:r w:rsidRPr="00AB3AA0">
        <w:rPr>
          <w:bCs/>
          <w:color w:val="000000"/>
          <w:sz w:val="22"/>
          <w:szCs w:val="22"/>
        </w:rPr>
        <w:lastRenderedPageBreak/>
        <w:t xml:space="preserve">Integrovaný operační program byl Komisí přijat v prosinci 2007, to je v době platnosti tzv. Lisabonské strategie. Podle článku 9 odst. 3 a přílohy IV. nařízení č. 1083/2006 (nařízení o obecných ustanoveních) se podpora priorit EU v IOP týká prioritních os 1a a 1b (Modernizace veřejné správy) </w:t>
      </w:r>
      <w:r w:rsidR="004E57EF" w:rsidRPr="00AB3AA0">
        <w:rPr>
          <w:bCs/>
          <w:color w:val="000000"/>
          <w:sz w:val="22"/>
          <w:szCs w:val="22"/>
        </w:rPr>
        <w:br/>
      </w:r>
      <w:r w:rsidRPr="00AB3AA0">
        <w:rPr>
          <w:bCs/>
          <w:color w:val="000000"/>
          <w:sz w:val="22"/>
          <w:szCs w:val="22"/>
        </w:rPr>
        <w:t xml:space="preserve">a 2 (Zavádění ICT v územní veřejné správě). Vesměs se jedná o zavádění informačních </w:t>
      </w:r>
      <w:r w:rsidR="004E57EF" w:rsidRPr="00AB3AA0">
        <w:rPr>
          <w:bCs/>
          <w:color w:val="000000"/>
          <w:sz w:val="22"/>
          <w:szCs w:val="22"/>
        </w:rPr>
        <w:br/>
      </w:r>
      <w:r w:rsidRPr="00AB3AA0">
        <w:rPr>
          <w:bCs/>
          <w:color w:val="000000"/>
          <w:sz w:val="22"/>
          <w:szCs w:val="22"/>
        </w:rPr>
        <w:t xml:space="preserve">a komunikačních technologií v ústřední a územní veřejné správě. Na podporu těchto prioritních os připadá 28,5 % alokace IOP (Programový dokument IOP, 2013).  </w:t>
      </w:r>
    </w:p>
    <w:p w:rsidR="00A75862" w:rsidRPr="00AB3AA0" w:rsidRDefault="00A75862" w:rsidP="004E754D">
      <w:pPr>
        <w:jc w:val="both"/>
        <w:rPr>
          <w:bCs/>
          <w:color w:val="000000"/>
          <w:sz w:val="22"/>
          <w:szCs w:val="22"/>
        </w:rPr>
      </w:pPr>
    </w:p>
    <w:p w:rsidR="00A75862" w:rsidRPr="00AB3AA0" w:rsidRDefault="00392678" w:rsidP="004E754D">
      <w:pPr>
        <w:jc w:val="both"/>
        <w:rPr>
          <w:bCs/>
          <w:color w:val="000000"/>
          <w:sz w:val="22"/>
          <w:szCs w:val="22"/>
        </w:rPr>
      </w:pPr>
      <w:r w:rsidRPr="00AB3AA0">
        <w:rPr>
          <w:bCs/>
          <w:color w:val="000000"/>
          <w:sz w:val="22"/>
          <w:szCs w:val="22"/>
        </w:rPr>
        <w:t xml:space="preserve">I když byl IOP přijat a realizován dlouho před přijetím strategie Evropa 2020, má </w:t>
      </w:r>
      <w:r>
        <w:rPr>
          <w:bCs/>
          <w:color w:val="000000"/>
          <w:sz w:val="22"/>
          <w:szCs w:val="22"/>
        </w:rPr>
        <w:t xml:space="preserve">na ni </w:t>
      </w:r>
      <w:r w:rsidRPr="00AB3AA0">
        <w:rPr>
          <w:bCs/>
          <w:color w:val="000000"/>
          <w:sz w:val="22"/>
          <w:szCs w:val="22"/>
        </w:rPr>
        <w:t>přímou vazbu. Jedná se o následující prioritní osy či oblasti intervence IOP:</w:t>
      </w:r>
    </w:p>
    <w:p w:rsidR="00A75862" w:rsidRPr="00AB3AA0" w:rsidRDefault="00A75862" w:rsidP="004E754D">
      <w:pPr>
        <w:jc w:val="both"/>
        <w:rPr>
          <w:bCs/>
          <w:color w:val="000000"/>
          <w:sz w:val="22"/>
          <w:szCs w:val="22"/>
        </w:rPr>
      </w:pPr>
    </w:p>
    <w:p w:rsidR="00A75862" w:rsidRPr="00AB3AA0" w:rsidRDefault="00A75862" w:rsidP="004E754D">
      <w:pPr>
        <w:pStyle w:val="Odstavecseseznamem1"/>
        <w:numPr>
          <w:ilvl w:val="0"/>
          <w:numId w:val="1"/>
        </w:numPr>
        <w:jc w:val="both"/>
        <w:rPr>
          <w:bCs/>
          <w:color w:val="000000"/>
          <w:sz w:val="22"/>
          <w:szCs w:val="22"/>
        </w:rPr>
      </w:pPr>
      <w:r w:rsidRPr="00AB3AA0">
        <w:rPr>
          <w:bCs/>
          <w:color w:val="000000"/>
          <w:sz w:val="22"/>
          <w:szCs w:val="22"/>
        </w:rPr>
        <w:t xml:space="preserve">PO 1a, 1b a 2 – vazba na integrovaný hlavní směr 4 (mimo jiné rozvoj elektronické státní správy) a na tematický cíl 2 Zlepšení přístupu, využití a kvality informačních </w:t>
      </w:r>
      <w:r w:rsidR="004E57EF" w:rsidRPr="00AB3AA0">
        <w:rPr>
          <w:bCs/>
          <w:color w:val="000000"/>
          <w:sz w:val="22"/>
          <w:szCs w:val="22"/>
        </w:rPr>
        <w:br/>
      </w:r>
      <w:r w:rsidRPr="00AB3AA0">
        <w:rPr>
          <w:bCs/>
          <w:color w:val="000000"/>
          <w:sz w:val="22"/>
          <w:szCs w:val="22"/>
        </w:rPr>
        <w:t>a komunikačních technologií (rovněž vazba na tematický cíl 11 Posilování institucionální kapacity a účinné veřejné správy)</w:t>
      </w:r>
      <w:r w:rsidR="00134091" w:rsidRPr="00AB3AA0">
        <w:rPr>
          <w:bCs/>
          <w:color w:val="000000"/>
          <w:sz w:val="22"/>
          <w:szCs w:val="22"/>
        </w:rPr>
        <w:t>,</w:t>
      </w:r>
    </w:p>
    <w:p w:rsidR="00A75862" w:rsidRPr="00AB3AA0" w:rsidRDefault="00A75862" w:rsidP="004E754D">
      <w:pPr>
        <w:jc w:val="both"/>
        <w:rPr>
          <w:bCs/>
          <w:color w:val="000000"/>
          <w:sz w:val="22"/>
          <w:szCs w:val="22"/>
        </w:rPr>
      </w:pPr>
    </w:p>
    <w:p w:rsidR="00A75862" w:rsidRPr="00AB3AA0" w:rsidRDefault="00A75862" w:rsidP="004E754D">
      <w:pPr>
        <w:pStyle w:val="Odstavecseseznamem1"/>
        <w:numPr>
          <w:ilvl w:val="0"/>
          <w:numId w:val="1"/>
        </w:numPr>
        <w:jc w:val="both"/>
        <w:rPr>
          <w:bCs/>
          <w:color w:val="000000"/>
          <w:sz w:val="22"/>
          <w:szCs w:val="22"/>
        </w:rPr>
      </w:pPr>
      <w:r w:rsidRPr="00AB3AA0">
        <w:rPr>
          <w:bCs/>
          <w:color w:val="000000"/>
          <w:sz w:val="22"/>
          <w:szCs w:val="22"/>
        </w:rPr>
        <w:t>Oblast intervence 3.1 Služby v oblasti sociální integrace – vazba na integrovaný hlavní směr 10 (podpora sociálního začlenění) a na tematický cíl 9 Podpora sociálního začleňování a boj proti chudobě</w:t>
      </w:r>
      <w:r w:rsidR="00134091" w:rsidRPr="00AB3AA0">
        <w:rPr>
          <w:bCs/>
          <w:color w:val="000000"/>
          <w:sz w:val="22"/>
          <w:szCs w:val="22"/>
        </w:rPr>
        <w:t>,</w:t>
      </w:r>
    </w:p>
    <w:p w:rsidR="00A75862" w:rsidRPr="00AB3AA0" w:rsidRDefault="00A75862" w:rsidP="004E754D">
      <w:pPr>
        <w:jc w:val="both"/>
        <w:rPr>
          <w:bCs/>
          <w:color w:val="000000"/>
          <w:sz w:val="22"/>
          <w:szCs w:val="22"/>
        </w:rPr>
      </w:pPr>
    </w:p>
    <w:p w:rsidR="00A75862" w:rsidRPr="00AB3AA0" w:rsidRDefault="00A75862" w:rsidP="004E754D">
      <w:pPr>
        <w:pStyle w:val="Odstavecseseznamem1"/>
        <w:numPr>
          <w:ilvl w:val="0"/>
          <w:numId w:val="1"/>
        </w:numPr>
        <w:jc w:val="both"/>
        <w:rPr>
          <w:bCs/>
          <w:color w:val="000000"/>
          <w:sz w:val="22"/>
          <w:szCs w:val="22"/>
        </w:rPr>
      </w:pPr>
      <w:r w:rsidRPr="00AB3AA0">
        <w:rPr>
          <w:bCs/>
          <w:color w:val="000000"/>
          <w:sz w:val="22"/>
          <w:szCs w:val="22"/>
        </w:rPr>
        <w:t xml:space="preserve">Oblast intervence 3.2 Služby v oblasti veřejného zdraví – vazba na integrovaný hlavní směr </w:t>
      </w:r>
      <w:r w:rsidR="004E57EF" w:rsidRPr="00AB3AA0">
        <w:rPr>
          <w:bCs/>
          <w:color w:val="000000"/>
          <w:sz w:val="22"/>
          <w:szCs w:val="22"/>
        </w:rPr>
        <w:br/>
      </w:r>
      <w:r w:rsidRPr="00AB3AA0">
        <w:rPr>
          <w:bCs/>
          <w:color w:val="000000"/>
          <w:sz w:val="22"/>
          <w:szCs w:val="22"/>
        </w:rPr>
        <w:t>10 (úsilí by se mělo zaměřovat na zajištění rovných příležitostí mimo jiné prostřednictvím zajištění přístupu všech k vysoce kvalitním, dostupným a udržitelným službám) a na tematický cíl 9, investiční priorita 9a (investice do zdravotnické a sociální infrastruktury, které přispívají k vnitrostátnímu, regionálnímu a místnímu rozvoji)</w:t>
      </w:r>
      <w:r w:rsidR="00134091" w:rsidRPr="00AB3AA0">
        <w:rPr>
          <w:bCs/>
          <w:color w:val="000000"/>
          <w:sz w:val="22"/>
          <w:szCs w:val="22"/>
        </w:rPr>
        <w:t>,</w:t>
      </w:r>
    </w:p>
    <w:p w:rsidR="00A75862" w:rsidRPr="00AB3AA0" w:rsidRDefault="00A75862" w:rsidP="004E754D">
      <w:pPr>
        <w:jc w:val="both"/>
        <w:rPr>
          <w:bCs/>
          <w:color w:val="000000"/>
          <w:sz w:val="22"/>
          <w:szCs w:val="22"/>
        </w:rPr>
      </w:pPr>
    </w:p>
    <w:p w:rsidR="00A75862" w:rsidRPr="00AB3AA0" w:rsidRDefault="00A75862" w:rsidP="004E754D">
      <w:pPr>
        <w:pStyle w:val="Odstavecseseznamem1"/>
        <w:numPr>
          <w:ilvl w:val="0"/>
          <w:numId w:val="1"/>
        </w:numPr>
        <w:jc w:val="both"/>
        <w:rPr>
          <w:bCs/>
          <w:color w:val="000000"/>
          <w:sz w:val="22"/>
          <w:szCs w:val="22"/>
        </w:rPr>
      </w:pPr>
      <w:r w:rsidRPr="00AB3AA0">
        <w:rPr>
          <w:bCs/>
          <w:color w:val="000000"/>
          <w:sz w:val="22"/>
          <w:szCs w:val="22"/>
        </w:rPr>
        <w:t xml:space="preserve">Oblast intervence 3.3 Služby v oblasti zaměstnanosti – vazba na integrovaný hlavní směr </w:t>
      </w:r>
      <w:r w:rsidR="004E57EF" w:rsidRPr="00AB3AA0">
        <w:rPr>
          <w:bCs/>
          <w:color w:val="000000"/>
          <w:sz w:val="22"/>
          <w:szCs w:val="22"/>
        </w:rPr>
        <w:br/>
      </w:r>
      <w:r w:rsidRPr="00AB3AA0">
        <w:rPr>
          <w:bCs/>
          <w:color w:val="000000"/>
          <w:sz w:val="22"/>
          <w:szCs w:val="22"/>
        </w:rPr>
        <w:t xml:space="preserve">7 (zvyšování účasti žen a mužů na trhu práce) a na tematický cíl 8 Podpora zaměstnanosti </w:t>
      </w:r>
      <w:r w:rsidR="004E57EF" w:rsidRPr="00AB3AA0">
        <w:rPr>
          <w:bCs/>
          <w:color w:val="000000"/>
          <w:sz w:val="22"/>
          <w:szCs w:val="22"/>
        </w:rPr>
        <w:br/>
      </w:r>
      <w:r w:rsidRPr="00AB3AA0">
        <w:rPr>
          <w:bCs/>
          <w:color w:val="000000"/>
          <w:sz w:val="22"/>
          <w:szCs w:val="22"/>
        </w:rPr>
        <w:t>a podpora mobility pracovních sil, jmenovitě na investiční prioritu 8d (investování do infrastruktury pro služby zaměstnanosti)</w:t>
      </w:r>
      <w:r w:rsidR="00134091" w:rsidRPr="00AB3AA0">
        <w:rPr>
          <w:bCs/>
          <w:color w:val="000000"/>
          <w:sz w:val="22"/>
          <w:szCs w:val="22"/>
        </w:rPr>
        <w:t>,</w:t>
      </w:r>
    </w:p>
    <w:p w:rsidR="00A75862" w:rsidRPr="00AB3AA0" w:rsidRDefault="00A75862" w:rsidP="004E754D">
      <w:pPr>
        <w:pStyle w:val="Odstavecseseznamem1"/>
        <w:jc w:val="both"/>
        <w:rPr>
          <w:bCs/>
          <w:color w:val="000000"/>
          <w:sz w:val="22"/>
          <w:szCs w:val="22"/>
        </w:rPr>
      </w:pPr>
    </w:p>
    <w:p w:rsidR="00A75862" w:rsidRPr="00AB3AA0" w:rsidRDefault="00A75862" w:rsidP="004E754D">
      <w:pPr>
        <w:pStyle w:val="Odstavecseseznamem1"/>
        <w:numPr>
          <w:ilvl w:val="0"/>
          <w:numId w:val="1"/>
        </w:numPr>
        <w:jc w:val="both"/>
        <w:rPr>
          <w:bCs/>
          <w:color w:val="000000"/>
          <w:sz w:val="22"/>
          <w:szCs w:val="22"/>
        </w:rPr>
      </w:pPr>
      <w:r w:rsidRPr="00AB3AA0">
        <w:rPr>
          <w:bCs/>
          <w:color w:val="000000"/>
          <w:sz w:val="22"/>
          <w:szCs w:val="22"/>
        </w:rPr>
        <w:t>Oblast intervence 3.4 Služby v oblasti bezpečnosti, prevence a řešení rizik – vazba na tematický cíl 5 Podporování přizpůsobení se změně klimatu, předcházení rizikům a jejich řízení, jmenovitě na invenční prioritu 5b podpora investic zaměřených na řešení konkrétních rizik, zajištěním odolnosti vůči katastrofám a vývojem systémů krizového řízení (vybavení Integrovaného záchranného systému České republiky)</w:t>
      </w:r>
      <w:r w:rsidR="00134091" w:rsidRPr="00AB3AA0">
        <w:rPr>
          <w:bCs/>
          <w:color w:val="000000"/>
          <w:sz w:val="22"/>
          <w:szCs w:val="22"/>
        </w:rPr>
        <w:t>,</w:t>
      </w:r>
    </w:p>
    <w:p w:rsidR="00A75862" w:rsidRPr="00AB3AA0" w:rsidRDefault="00A75862" w:rsidP="004E754D">
      <w:pPr>
        <w:jc w:val="both"/>
        <w:rPr>
          <w:bCs/>
          <w:color w:val="000000"/>
          <w:sz w:val="22"/>
          <w:szCs w:val="22"/>
        </w:rPr>
      </w:pPr>
    </w:p>
    <w:p w:rsidR="00A75862" w:rsidRPr="00AB3AA0" w:rsidRDefault="00A75862" w:rsidP="004E754D">
      <w:pPr>
        <w:pStyle w:val="Odstavecseseznamem1"/>
        <w:numPr>
          <w:ilvl w:val="0"/>
          <w:numId w:val="1"/>
        </w:numPr>
        <w:jc w:val="both"/>
        <w:rPr>
          <w:bCs/>
          <w:color w:val="000000"/>
          <w:sz w:val="22"/>
          <w:szCs w:val="22"/>
        </w:rPr>
      </w:pPr>
      <w:r w:rsidRPr="00AB3AA0">
        <w:rPr>
          <w:bCs/>
          <w:color w:val="000000"/>
          <w:sz w:val="22"/>
          <w:szCs w:val="22"/>
        </w:rPr>
        <w:t xml:space="preserve">Oblast intervence 5.2 Zlepšení prostředí v problémových sídlištích – částečná vazba na integrovaný hlavní směr 5 (zefektivnit využívání zdrojů a snížit emise skleníkových plynů – úspory energií v bytovém fondu) a integrovaný hlavní směr 10 (podpora sociálního začlenění). Částečná vazba na tematický cíl 4 Podpora přechodu na nízkouhlíkové hospodářství ve všech odvětvích (investiční priorita 4c – podpora energetické účinnosti a využívání energie z obnovitelných zdrojů ve veřejných infrastrukturách, mimo jiné ve veřejných budovách </w:t>
      </w:r>
      <w:r w:rsidR="004E57EF" w:rsidRPr="00AB3AA0">
        <w:rPr>
          <w:bCs/>
          <w:color w:val="000000"/>
          <w:sz w:val="22"/>
          <w:szCs w:val="22"/>
        </w:rPr>
        <w:br/>
      </w:r>
      <w:r w:rsidRPr="00AB3AA0">
        <w:rPr>
          <w:bCs/>
          <w:color w:val="000000"/>
          <w:sz w:val="22"/>
          <w:szCs w:val="22"/>
        </w:rPr>
        <w:t>a v sektoru bydlení) a na tematický cíl 9 Podpora sociálního začleňování (investiční priorita 9b – podpora materiální, hospodářské a sociální obnovy zanedbaných městských a venkovských komunit a oblastí)</w:t>
      </w:r>
      <w:r w:rsidR="00134091" w:rsidRPr="00AB3AA0">
        <w:rPr>
          <w:bCs/>
          <w:color w:val="000000"/>
          <w:sz w:val="22"/>
          <w:szCs w:val="22"/>
        </w:rPr>
        <w:t>,</w:t>
      </w:r>
    </w:p>
    <w:p w:rsidR="00A75862" w:rsidRPr="00AB3AA0" w:rsidRDefault="00A75862" w:rsidP="004E754D">
      <w:pPr>
        <w:jc w:val="both"/>
        <w:rPr>
          <w:bCs/>
          <w:color w:val="000000"/>
          <w:sz w:val="22"/>
          <w:szCs w:val="22"/>
        </w:rPr>
      </w:pPr>
    </w:p>
    <w:p w:rsidR="00A75862" w:rsidRPr="00AB3AA0" w:rsidRDefault="00A75862" w:rsidP="004E754D">
      <w:pPr>
        <w:pStyle w:val="Odstavecseseznamem1"/>
        <w:numPr>
          <w:ilvl w:val="0"/>
          <w:numId w:val="1"/>
        </w:numPr>
        <w:jc w:val="both"/>
        <w:rPr>
          <w:bCs/>
          <w:color w:val="000000"/>
          <w:sz w:val="22"/>
          <w:szCs w:val="22"/>
        </w:rPr>
      </w:pPr>
      <w:r w:rsidRPr="00AB3AA0">
        <w:rPr>
          <w:bCs/>
          <w:color w:val="000000"/>
          <w:sz w:val="22"/>
          <w:szCs w:val="22"/>
        </w:rPr>
        <w:t>Oblast intervence 5.3 Modernizace a rozvoj systémů tvorby územních politik – vazba na tematický cíl 11 Posilování institucionální kapacity a účinné veřejné správy.</w:t>
      </w:r>
    </w:p>
    <w:p w:rsidR="00D42584" w:rsidRDefault="00D42584" w:rsidP="004E754D">
      <w:pPr>
        <w:jc w:val="both"/>
        <w:rPr>
          <w:bCs/>
          <w:color w:val="000000"/>
          <w:sz w:val="22"/>
          <w:szCs w:val="22"/>
        </w:rPr>
      </w:pPr>
    </w:p>
    <w:p w:rsidR="00D42584" w:rsidRDefault="00D42584" w:rsidP="004E754D">
      <w:pPr>
        <w:jc w:val="both"/>
        <w:rPr>
          <w:bCs/>
          <w:color w:val="000000"/>
          <w:sz w:val="22"/>
          <w:szCs w:val="22"/>
        </w:rPr>
      </w:pPr>
    </w:p>
    <w:p w:rsidR="00D42584" w:rsidRPr="00AB3AA0" w:rsidRDefault="00D42584" w:rsidP="004E754D">
      <w:pPr>
        <w:jc w:val="both"/>
        <w:rPr>
          <w:bCs/>
          <w:color w:val="000000"/>
          <w:sz w:val="22"/>
          <w:szCs w:val="22"/>
        </w:rPr>
      </w:pPr>
    </w:p>
    <w:p w:rsidR="009E1DD6" w:rsidRDefault="009E1DD6" w:rsidP="004E754D">
      <w:pPr>
        <w:jc w:val="both"/>
        <w:rPr>
          <w:bCs/>
          <w:color w:val="000000"/>
          <w:sz w:val="22"/>
          <w:szCs w:val="22"/>
        </w:rPr>
      </w:pPr>
    </w:p>
    <w:p w:rsidR="009E1DD6" w:rsidRDefault="009E1DD6" w:rsidP="004E754D">
      <w:pPr>
        <w:jc w:val="both"/>
        <w:rPr>
          <w:bCs/>
          <w:color w:val="000000"/>
          <w:sz w:val="22"/>
          <w:szCs w:val="22"/>
        </w:rPr>
      </w:pPr>
    </w:p>
    <w:p w:rsidR="009E1DD6" w:rsidRDefault="009E1DD6" w:rsidP="004E754D">
      <w:pPr>
        <w:jc w:val="both"/>
        <w:rPr>
          <w:bCs/>
          <w:color w:val="000000"/>
          <w:sz w:val="22"/>
          <w:szCs w:val="22"/>
        </w:rPr>
      </w:pPr>
    </w:p>
    <w:p w:rsidR="00A75862" w:rsidRPr="00AB3AA0" w:rsidRDefault="00A75862" w:rsidP="004E754D">
      <w:pPr>
        <w:jc w:val="both"/>
        <w:rPr>
          <w:bCs/>
          <w:color w:val="000000"/>
          <w:sz w:val="22"/>
          <w:szCs w:val="22"/>
        </w:rPr>
      </w:pPr>
      <w:r w:rsidRPr="00AB3AA0">
        <w:rPr>
          <w:bCs/>
          <w:color w:val="000000"/>
          <w:sz w:val="22"/>
          <w:szCs w:val="22"/>
        </w:rPr>
        <w:lastRenderedPageBreak/>
        <w:t>Uvedené prioritní osy a oblasti intervence s vazbou na strategii Evropa 2020 se podílí na alokaci IOP zhruba ze čtyř pětin.</w:t>
      </w:r>
    </w:p>
    <w:p w:rsidR="006A4960" w:rsidRPr="00AB3AA0" w:rsidRDefault="006A4960" w:rsidP="004E754D">
      <w:pPr>
        <w:jc w:val="both"/>
        <w:rPr>
          <w:bCs/>
          <w:color w:val="000000"/>
          <w:sz w:val="22"/>
          <w:szCs w:val="22"/>
        </w:rPr>
      </w:pPr>
    </w:p>
    <w:p w:rsidR="00DD4948" w:rsidRPr="00DA3185" w:rsidRDefault="00A75862" w:rsidP="00A92782">
      <w:pPr>
        <w:pStyle w:val="Tabulkanzev"/>
      </w:pPr>
      <w:bookmarkStart w:id="60" w:name="_Toc416431811"/>
      <w:r w:rsidRPr="00DA3185">
        <w:t>Vazba oblastí intervence IOP na tematické cíle strategie Evropa 2020</w:t>
      </w:r>
      <w:bookmarkEnd w:id="60"/>
    </w:p>
    <w:tbl>
      <w:tblPr>
        <w:tblW w:w="0" w:type="auto"/>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4A0" w:firstRow="1" w:lastRow="0" w:firstColumn="1" w:lastColumn="0" w:noHBand="0" w:noVBand="1"/>
      </w:tblPr>
      <w:tblGrid>
        <w:gridCol w:w="6204"/>
        <w:gridCol w:w="1559"/>
        <w:gridCol w:w="1449"/>
      </w:tblGrid>
      <w:tr w:rsidR="00DD4948" w:rsidRPr="00ED3A6D" w:rsidTr="00DA3185">
        <w:trPr>
          <w:trHeight w:val="1016"/>
          <w:tblHeader/>
        </w:trPr>
        <w:tc>
          <w:tcPr>
            <w:tcW w:w="6204" w:type="dxa"/>
            <w:shd w:val="clear" w:color="auto" w:fill="C2D69B" w:themeFill="accent3" w:themeFillTint="99"/>
            <w:vAlign w:val="center"/>
          </w:tcPr>
          <w:p w:rsidR="00DD4948" w:rsidRPr="00DA3185" w:rsidRDefault="00DD4948" w:rsidP="00CF445C">
            <w:pPr>
              <w:spacing w:after="160" w:line="240" w:lineRule="exact"/>
              <w:jc w:val="center"/>
              <w:rPr>
                <w:b/>
                <w:bCs/>
                <w:color w:val="000000"/>
              </w:rPr>
            </w:pPr>
            <w:r w:rsidRPr="00DA3185">
              <w:rPr>
                <w:b/>
                <w:bCs/>
                <w:color w:val="000000"/>
              </w:rPr>
              <w:t>Prioritní osa, oblast intervence</w:t>
            </w:r>
          </w:p>
        </w:tc>
        <w:tc>
          <w:tcPr>
            <w:tcW w:w="1559" w:type="dxa"/>
            <w:shd w:val="clear" w:color="auto" w:fill="C2D69B" w:themeFill="accent3" w:themeFillTint="99"/>
            <w:vAlign w:val="center"/>
          </w:tcPr>
          <w:p w:rsidR="00DD4948" w:rsidRPr="00DA3185" w:rsidRDefault="00DD4948" w:rsidP="00CF445C">
            <w:pPr>
              <w:spacing w:after="160" w:line="240" w:lineRule="exact"/>
              <w:jc w:val="center"/>
              <w:rPr>
                <w:b/>
                <w:bCs/>
                <w:color w:val="000000"/>
              </w:rPr>
            </w:pPr>
            <w:r w:rsidRPr="00DA3185">
              <w:rPr>
                <w:b/>
                <w:bCs/>
                <w:color w:val="000000"/>
              </w:rPr>
              <w:t>Vazba na tematický cíl</w:t>
            </w:r>
          </w:p>
          <w:p w:rsidR="00DD4948" w:rsidRPr="00DA3185" w:rsidRDefault="00DD4948" w:rsidP="00CF445C">
            <w:pPr>
              <w:spacing w:after="160" w:line="240" w:lineRule="exact"/>
              <w:jc w:val="center"/>
              <w:rPr>
                <w:b/>
                <w:bCs/>
                <w:color w:val="000000"/>
              </w:rPr>
            </w:pPr>
            <w:r w:rsidRPr="00DA3185">
              <w:rPr>
                <w:b/>
                <w:bCs/>
                <w:color w:val="000000"/>
              </w:rPr>
              <w:t>(číslo TC)</w:t>
            </w:r>
          </w:p>
        </w:tc>
        <w:tc>
          <w:tcPr>
            <w:tcW w:w="1449" w:type="dxa"/>
            <w:shd w:val="clear" w:color="auto" w:fill="C2D69B" w:themeFill="accent3" w:themeFillTint="99"/>
            <w:vAlign w:val="center"/>
          </w:tcPr>
          <w:p w:rsidR="00DD4948" w:rsidRPr="00DA3185" w:rsidRDefault="00DD4948" w:rsidP="00CF445C">
            <w:pPr>
              <w:spacing w:after="160" w:line="240" w:lineRule="exact"/>
              <w:jc w:val="center"/>
              <w:rPr>
                <w:b/>
                <w:bCs/>
                <w:color w:val="000000"/>
              </w:rPr>
            </w:pPr>
            <w:r w:rsidRPr="00DA3185">
              <w:rPr>
                <w:b/>
                <w:bCs/>
                <w:color w:val="000000"/>
              </w:rPr>
              <w:t>Podíl na alokaci IOP (v %)</w:t>
            </w:r>
          </w:p>
        </w:tc>
      </w:tr>
      <w:tr w:rsidR="00DD4948" w:rsidRPr="00ED3A6D" w:rsidTr="00CF445C">
        <w:tc>
          <w:tcPr>
            <w:tcW w:w="6204" w:type="dxa"/>
          </w:tcPr>
          <w:p w:rsidR="00DD4948" w:rsidRPr="00DA3185" w:rsidRDefault="00DD4948" w:rsidP="00CF445C">
            <w:pPr>
              <w:jc w:val="both"/>
              <w:rPr>
                <w:bCs/>
                <w:color w:val="000000"/>
              </w:rPr>
            </w:pPr>
            <w:r w:rsidRPr="00DA3185">
              <w:rPr>
                <w:bCs/>
                <w:color w:val="000000"/>
              </w:rPr>
              <w:t>Prioritní osy 1a, 1b Modernizace veřejné správy</w:t>
            </w:r>
          </w:p>
        </w:tc>
        <w:tc>
          <w:tcPr>
            <w:tcW w:w="1559" w:type="dxa"/>
          </w:tcPr>
          <w:p w:rsidR="00DD4948" w:rsidRPr="00DA3185" w:rsidRDefault="00DD4948" w:rsidP="00CF445C">
            <w:pPr>
              <w:jc w:val="center"/>
              <w:rPr>
                <w:bCs/>
                <w:color w:val="000000"/>
              </w:rPr>
            </w:pPr>
            <w:r w:rsidRPr="00DA3185">
              <w:rPr>
                <w:bCs/>
                <w:color w:val="000000"/>
              </w:rPr>
              <w:t>TC – 2/TC 11</w:t>
            </w:r>
          </w:p>
        </w:tc>
        <w:tc>
          <w:tcPr>
            <w:tcW w:w="1449" w:type="dxa"/>
          </w:tcPr>
          <w:p w:rsidR="00DD4948" w:rsidRPr="00DA3185" w:rsidRDefault="00DD4948" w:rsidP="00CF445C">
            <w:pPr>
              <w:jc w:val="center"/>
              <w:rPr>
                <w:bCs/>
                <w:color w:val="000000"/>
              </w:rPr>
            </w:pPr>
            <w:r w:rsidRPr="00DA3185">
              <w:rPr>
                <w:bCs/>
                <w:color w:val="000000"/>
              </w:rPr>
              <w:t>19,35</w:t>
            </w:r>
          </w:p>
        </w:tc>
      </w:tr>
      <w:tr w:rsidR="00DD4948" w:rsidRPr="00ED3A6D" w:rsidTr="00CF445C">
        <w:tc>
          <w:tcPr>
            <w:tcW w:w="6204" w:type="dxa"/>
          </w:tcPr>
          <w:p w:rsidR="00DD4948" w:rsidRPr="00DA3185" w:rsidRDefault="00DD4948" w:rsidP="00CF445C">
            <w:pPr>
              <w:jc w:val="both"/>
              <w:rPr>
                <w:bCs/>
                <w:color w:val="000000"/>
              </w:rPr>
            </w:pPr>
            <w:r w:rsidRPr="00DA3185">
              <w:rPr>
                <w:bCs/>
                <w:color w:val="000000"/>
              </w:rPr>
              <w:t>Prioritní osa 2 Zavádění ICT v územní veřejné správě</w:t>
            </w:r>
          </w:p>
        </w:tc>
        <w:tc>
          <w:tcPr>
            <w:tcW w:w="1559" w:type="dxa"/>
          </w:tcPr>
          <w:p w:rsidR="00DD4948" w:rsidRPr="00DA3185" w:rsidRDefault="00DD4948" w:rsidP="00CF445C">
            <w:pPr>
              <w:jc w:val="center"/>
              <w:rPr>
                <w:bCs/>
                <w:color w:val="000000"/>
              </w:rPr>
            </w:pPr>
            <w:r w:rsidRPr="00DA3185">
              <w:rPr>
                <w:bCs/>
                <w:color w:val="000000"/>
              </w:rPr>
              <w:t>TC – 2/TC 11</w:t>
            </w:r>
          </w:p>
        </w:tc>
        <w:tc>
          <w:tcPr>
            <w:tcW w:w="1449" w:type="dxa"/>
          </w:tcPr>
          <w:p w:rsidR="00DD4948" w:rsidRPr="00DA3185" w:rsidRDefault="00DD4948" w:rsidP="00CF445C">
            <w:pPr>
              <w:jc w:val="center"/>
              <w:rPr>
                <w:bCs/>
                <w:color w:val="000000"/>
              </w:rPr>
            </w:pPr>
            <w:r w:rsidRPr="00DA3185">
              <w:rPr>
                <w:bCs/>
                <w:color w:val="000000"/>
              </w:rPr>
              <w:t>9,17</w:t>
            </w:r>
          </w:p>
        </w:tc>
      </w:tr>
      <w:tr w:rsidR="00DD4948" w:rsidRPr="00ED3A6D" w:rsidTr="00CF445C">
        <w:tc>
          <w:tcPr>
            <w:tcW w:w="6204" w:type="dxa"/>
          </w:tcPr>
          <w:p w:rsidR="00DD4948" w:rsidRPr="00DA3185" w:rsidRDefault="00DD4948" w:rsidP="00CF445C">
            <w:pPr>
              <w:jc w:val="both"/>
              <w:rPr>
                <w:bCs/>
                <w:color w:val="000000"/>
              </w:rPr>
            </w:pPr>
            <w:r w:rsidRPr="00DA3185">
              <w:rPr>
                <w:bCs/>
                <w:color w:val="000000"/>
              </w:rPr>
              <w:t>Oblast intervence 3.1 Služby v oblasti sociální integrace</w:t>
            </w:r>
          </w:p>
        </w:tc>
        <w:tc>
          <w:tcPr>
            <w:tcW w:w="1559" w:type="dxa"/>
          </w:tcPr>
          <w:p w:rsidR="00DD4948" w:rsidRPr="00DA3185" w:rsidRDefault="00DD4948" w:rsidP="00CF445C">
            <w:pPr>
              <w:jc w:val="center"/>
              <w:rPr>
                <w:bCs/>
                <w:color w:val="000000"/>
              </w:rPr>
            </w:pPr>
            <w:r w:rsidRPr="00DA3185">
              <w:rPr>
                <w:bCs/>
                <w:color w:val="000000"/>
              </w:rPr>
              <w:t>TC - 9</w:t>
            </w:r>
          </w:p>
        </w:tc>
        <w:tc>
          <w:tcPr>
            <w:tcW w:w="1449" w:type="dxa"/>
          </w:tcPr>
          <w:p w:rsidR="00DD4948" w:rsidRPr="00DA3185" w:rsidRDefault="00DD4948" w:rsidP="00CF445C">
            <w:pPr>
              <w:jc w:val="center"/>
              <w:rPr>
                <w:bCs/>
                <w:color w:val="000000"/>
              </w:rPr>
            </w:pPr>
            <w:r w:rsidRPr="00DA3185">
              <w:rPr>
                <w:bCs/>
                <w:color w:val="000000"/>
              </w:rPr>
              <w:t>3,38</w:t>
            </w:r>
          </w:p>
        </w:tc>
      </w:tr>
      <w:tr w:rsidR="00DD4948" w:rsidRPr="00ED3A6D" w:rsidTr="00CF445C">
        <w:tc>
          <w:tcPr>
            <w:tcW w:w="6204" w:type="dxa"/>
          </w:tcPr>
          <w:p w:rsidR="00DD4948" w:rsidRPr="00DA3185" w:rsidRDefault="00DD4948" w:rsidP="00CF445C">
            <w:pPr>
              <w:jc w:val="both"/>
              <w:rPr>
                <w:bCs/>
                <w:color w:val="000000"/>
              </w:rPr>
            </w:pPr>
            <w:r w:rsidRPr="00DA3185">
              <w:rPr>
                <w:bCs/>
                <w:color w:val="000000"/>
              </w:rPr>
              <w:t>Oblast intervence 3.2 Služby v oblasti veřejného zdraví</w:t>
            </w:r>
          </w:p>
        </w:tc>
        <w:tc>
          <w:tcPr>
            <w:tcW w:w="1559" w:type="dxa"/>
          </w:tcPr>
          <w:p w:rsidR="00DD4948" w:rsidRPr="00DA3185" w:rsidRDefault="00DD4948" w:rsidP="00CF445C">
            <w:pPr>
              <w:jc w:val="center"/>
              <w:rPr>
                <w:bCs/>
                <w:color w:val="000000"/>
              </w:rPr>
            </w:pPr>
            <w:r w:rsidRPr="00DA3185">
              <w:rPr>
                <w:bCs/>
                <w:color w:val="000000"/>
              </w:rPr>
              <w:t>TC - 9</w:t>
            </w:r>
          </w:p>
        </w:tc>
        <w:tc>
          <w:tcPr>
            <w:tcW w:w="1449" w:type="dxa"/>
          </w:tcPr>
          <w:p w:rsidR="00DD4948" w:rsidRPr="00DA3185" w:rsidRDefault="00DD4948" w:rsidP="00CF445C">
            <w:pPr>
              <w:jc w:val="center"/>
              <w:rPr>
                <w:bCs/>
                <w:color w:val="000000"/>
              </w:rPr>
            </w:pPr>
            <w:r w:rsidRPr="00DA3185">
              <w:rPr>
                <w:bCs/>
                <w:color w:val="000000"/>
              </w:rPr>
              <w:t>15,35</w:t>
            </w:r>
          </w:p>
        </w:tc>
      </w:tr>
      <w:tr w:rsidR="00DD4948" w:rsidRPr="00ED3A6D" w:rsidTr="00CF445C">
        <w:tc>
          <w:tcPr>
            <w:tcW w:w="6204" w:type="dxa"/>
          </w:tcPr>
          <w:p w:rsidR="00DD4948" w:rsidRPr="00DA3185" w:rsidRDefault="00DD4948" w:rsidP="00CF445C">
            <w:pPr>
              <w:jc w:val="both"/>
              <w:rPr>
                <w:bCs/>
                <w:color w:val="000000"/>
              </w:rPr>
            </w:pPr>
            <w:r w:rsidRPr="00DA3185">
              <w:rPr>
                <w:bCs/>
                <w:color w:val="000000"/>
              </w:rPr>
              <w:t xml:space="preserve">Oblast intervence 3.3 Služby oblasti zaměstnanosti </w:t>
            </w:r>
          </w:p>
        </w:tc>
        <w:tc>
          <w:tcPr>
            <w:tcW w:w="1559" w:type="dxa"/>
          </w:tcPr>
          <w:p w:rsidR="00DD4948" w:rsidRPr="00DA3185" w:rsidRDefault="00DD4948" w:rsidP="00CF445C">
            <w:pPr>
              <w:jc w:val="center"/>
              <w:rPr>
                <w:bCs/>
                <w:color w:val="000000"/>
              </w:rPr>
            </w:pPr>
            <w:r w:rsidRPr="00DA3185">
              <w:rPr>
                <w:bCs/>
                <w:color w:val="000000"/>
              </w:rPr>
              <w:t>TC - 8</w:t>
            </w:r>
          </w:p>
        </w:tc>
        <w:tc>
          <w:tcPr>
            <w:tcW w:w="1449" w:type="dxa"/>
          </w:tcPr>
          <w:p w:rsidR="00DD4948" w:rsidRPr="00DA3185" w:rsidRDefault="00DD4948" w:rsidP="00CF445C">
            <w:pPr>
              <w:jc w:val="center"/>
              <w:rPr>
                <w:bCs/>
                <w:color w:val="000000"/>
              </w:rPr>
            </w:pPr>
            <w:r w:rsidRPr="00DA3185">
              <w:rPr>
                <w:bCs/>
                <w:color w:val="000000"/>
              </w:rPr>
              <w:t>2,48</w:t>
            </w:r>
          </w:p>
        </w:tc>
      </w:tr>
      <w:tr w:rsidR="00DD4948" w:rsidRPr="00ED3A6D" w:rsidTr="00CF445C">
        <w:tc>
          <w:tcPr>
            <w:tcW w:w="6204" w:type="dxa"/>
          </w:tcPr>
          <w:p w:rsidR="00DD4948" w:rsidRPr="00DA3185" w:rsidRDefault="00DD4948" w:rsidP="00CF445C">
            <w:pPr>
              <w:jc w:val="both"/>
              <w:rPr>
                <w:bCs/>
                <w:color w:val="000000"/>
              </w:rPr>
            </w:pPr>
            <w:r w:rsidRPr="00DA3185">
              <w:rPr>
                <w:bCs/>
                <w:color w:val="000000"/>
              </w:rPr>
              <w:t>Oblast intervence 3.4 Služby v oblasti bezpečnosti, prevence a řešení rizik</w:t>
            </w:r>
          </w:p>
        </w:tc>
        <w:tc>
          <w:tcPr>
            <w:tcW w:w="1559" w:type="dxa"/>
          </w:tcPr>
          <w:p w:rsidR="00DD4948" w:rsidRPr="00DA3185" w:rsidRDefault="00DD4948" w:rsidP="00CF445C">
            <w:pPr>
              <w:jc w:val="center"/>
              <w:rPr>
                <w:bCs/>
                <w:color w:val="000000"/>
              </w:rPr>
            </w:pPr>
            <w:r w:rsidRPr="00DA3185">
              <w:rPr>
                <w:bCs/>
                <w:color w:val="000000"/>
              </w:rPr>
              <w:t>TC - 5</w:t>
            </w:r>
          </w:p>
        </w:tc>
        <w:tc>
          <w:tcPr>
            <w:tcW w:w="1449" w:type="dxa"/>
          </w:tcPr>
          <w:p w:rsidR="00DD4948" w:rsidRPr="00DA3185" w:rsidRDefault="00DD4948" w:rsidP="00CF445C">
            <w:pPr>
              <w:jc w:val="center"/>
              <w:rPr>
                <w:bCs/>
                <w:color w:val="000000"/>
              </w:rPr>
            </w:pPr>
            <w:r w:rsidRPr="00DA3185">
              <w:rPr>
                <w:bCs/>
                <w:color w:val="000000"/>
              </w:rPr>
              <w:t>16,76</w:t>
            </w:r>
          </w:p>
        </w:tc>
      </w:tr>
      <w:tr w:rsidR="00DD4948" w:rsidRPr="00ED3A6D" w:rsidTr="00CF445C">
        <w:tc>
          <w:tcPr>
            <w:tcW w:w="6204" w:type="dxa"/>
            <w:tcBorders>
              <w:bottom w:val="single" w:sz="6" w:space="0" w:color="4F6228"/>
            </w:tcBorders>
          </w:tcPr>
          <w:p w:rsidR="00DD4948" w:rsidRPr="00DA3185" w:rsidRDefault="00DD4948" w:rsidP="00CF445C">
            <w:pPr>
              <w:jc w:val="both"/>
              <w:rPr>
                <w:bCs/>
                <w:color w:val="000000"/>
              </w:rPr>
            </w:pPr>
            <w:r w:rsidRPr="00DA3185">
              <w:rPr>
                <w:bCs/>
                <w:color w:val="000000"/>
              </w:rPr>
              <w:t>Oblast intervence 5.2 Zlepšení prostředí v problémových sídlištích</w:t>
            </w:r>
          </w:p>
        </w:tc>
        <w:tc>
          <w:tcPr>
            <w:tcW w:w="1559" w:type="dxa"/>
            <w:tcBorders>
              <w:bottom w:val="single" w:sz="6" w:space="0" w:color="4F6228"/>
            </w:tcBorders>
          </w:tcPr>
          <w:p w:rsidR="00DD4948" w:rsidRPr="00DA3185" w:rsidRDefault="00DD4948" w:rsidP="00CF445C">
            <w:pPr>
              <w:jc w:val="center"/>
              <w:rPr>
                <w:bCs/>
                <w:color w:val="000000"/>
              </w:rPr>
            </w:pPr>
            <w:r w:rsidRPr="00DA3185">
              <w:rPr>
                <w:bCs/>
                <w:color w:val="000000"/>
              </w:rPr>
              <w:t>TC - 4/TC - 9</w:t>
            </w:r>
          </w:p>
        </w:tc>
        <w:tc>
          <w:tcPr>
            <w:tcW w:w="1449" w:type="dxa"/>
            <w:tcBorders>
              <w:bottom w:val="single" w:sz="6" w:space="0" w:color="4F6228"/>
            </w:tcBorders>
          </w:tcPr>
          <w:p w:rsidR="00DD4948" w:rsidRPr="00DA3185" w:rsidRDefault="00DD4948" w:rsidP="00CF445C">
            <w:pPr>
              <w:jc w:val="center"/>
              <w:rPr>
                <w:bCs/>
                <w:color w:val="000000"/>
              </w:rPr>
            </w:pPr>
            <w:r w:rsidRPr="00DA3185">
              <w:rPr>
                <w:bCs/>
                <w:color w:val="000000"/>
              </w:rPr>
              <w:t>13,18</w:t>
            </w:r>
          </w:p>
        </w:tc>
      </w:tr>
      <w:tr w:rsidR="00DD4948" w:rsidRPr="00ED3A6D" w:rsidTr="00CF445C">
        <w:tc>
          <w:tcPr>
            <w:tcW w:w="6204" w:type="dxa"/>
            <w:tcBorders>
              <w:top w:val="single" w:sz="6" w:space="0" w:color="4F6228"/>
              <w:bottom w:val="single" w:sz="6" w:space="0" w:color="4F6228"/>
            </w:tcBorders>
            <w:shd w:val="clear" w:color="auto" w:fill="auto"/>
          </w:tcPr>
          <w:p w:rsidR="00DD4948" w:rsidRPr="00DA3185" w:rsidRDefault="00DD4948" w:rsidP="00CF445C">
            <w:pPr>
              <w:jc w:val="both"/>
              <w:rPr>
                <w:bCs/>
                <w:color w:val="000000"/>
              </w:rPr>
            </w:pPr>
            <w:r w:rsidRPr="00DA3185">
              <w:rPr>
                <w:bCs/>
                <w:color w:val="000000"/>
              </w:rPr>
              <w:t>Oblast intervence 5.3 Modernizace a rozvoj systémů tvorby územních politik</w:t>
            </w:r>
          </w:p>
        </w:tc>
        <w:tc>
          <w:tcPr>
            <w:tcW w:w="1559" w:type="dxa"/>
            <w:tcBorders>
              <w:top w:val="single" w:sz="6" w:space="0" w:color="4F6228"/>
              <w:bottom w:val="single" w:sz="6" w:space="0" w:color="4F6228"/>
            </w:tcBorders>
            <w:shd w:val="clear" w:color="auto" w:fill="auto"/>
          </w:tcPr>
          <w:p w:rsidR="00DD4948" w:rsidRPr="00DA3185" w:rsidRDefault="00DD4948" w:rsidP="00CF445C">
            <w:pPr>
              <w:jc w:val="center"/>
              <w:rPr>
                <w:bCs/>
                <w:color w:val="000000"/>
              </w:rPr>
            </w:pPr>
            <w:r w:rsidRPr="00DA3185">
              <w:rPr>
                <w:bCs/>
                <w:color w:val="000000"/>
              </w:rPr>
              <w:t>TC - 11</w:t>
            </w:r>
          </w:p>
        </w:tc>
        <w:tc>
          <w:tcPr>
            <w:tcW w:w="1449" w:type="dxa"/>
            <w:tcBorders>
              <w:top w:val="single" w:sz="6" w:space="0" w:color="4F6228"/>
              <w:bottom w:val="single" w:sz="6" w:space="0" w:color="4F6228"/>
            </w:tcBorders>
            <w:shd w:val="clear" w:color="auto" w:fill="auto"/>
          </w:tcPr>
          <w:p w:rsidR="00DD4948" w:rsidRPr="00DA3185" w:rsidRDefault="00DD4948" w:rsidP="00CF445C">
            <w:pPr>
              <w:jc w:val="center"/>
              <w:rPr>
                <w:bCs/>
                <w:color w:val="000000"/>
              </w:rPr>
            </w:pPr>
            <w:r w:rsidRPr="00DA3185">
              <w:rPr>
                <w:bCs/>
                <w:color w:val="000000"/>
              </w:rPr>
              <w:t>0,96</w:t>
            </w:r>
          </w:p>
        </w:tc>
      </w:tr>
      <w:tr w:rsidR="00DD4948" w:rsidRPr="00ED3A6D" w:rsidTr="00DA3185">
        <w:tc>
          <w:tcPr>
            <w:tcW w:w="6204" w:type="dxa"/>
            <w:tcBorders>
              <w:top w:val="single" w:sz="6" w:space="0" w:color="4F6228"/>
            </w:tcBorders>
            <w:shd w:val="clear" w:color="auto" w:fill="C2D69B" w:themeFill="accent3" w:themeFillTint="99"/>
          </w:tcPr>
          <w:p w:rsidR="00DD4948" w:rsidRPr="00DA3185" w:rsidRDefault="00DD4948" w:rsidP="00CF445C">
            <w:pPr>
              <w:jc w:val="both"/>
              <w:rPr>
                <w:b/>
                <w:bCs/>
                <w:color w:val="000000"/>
                <w:sz w:val="22"/>
                <w:szCs w:val="22"/>
              </w:rPr>
            </w:pPr>
            <w:r w:rsidRPr="00DA3185">
              <w:rPr>
                <w:b/>
                <w:bCs/>
                <w:color w:val="000000"/>
                <w:sz w:val="22"/>
                <w:szCs w:val="22"/>
              </w:rPr>
              <w:t>C</w:t>
            </w:r>
            <w:r w:rsidR="00261981" w:rsidRPr="00DA3185">
              <w:rPr>
                <w:b/>
                <w:bCs/>
                <w:color w:val="000000"/>
                <w:sz w:val="22"/>
                <w:szCs w:val="22"/>
              </w:rPr>
              <w:t>elkem</w:t>
            </w:r>
          </w:p>
        </w:tc>
        <w:tc>
          <w:tcPr>
            <w:tcW w:w="1559" w:type="dxa"/>
            <w:tcBorders>
              <w:top w:val="single" w:sz="6" w:space="0" w:color="4F6228"/>
            </w:tcBorders>
            <w:shd w:val="clear" w:color="auto" w:fill="C2D69B" w:themeFill="accent3" w:themeFillTint="99"/>
          </w:tcPr>
          <w:p w:rsidR="00DD4948" w:rsidRPr="00DA3185" w:rsidRDefault="00DD4948" w:rsidP="00CF445C">
            <w:pPr>
              <w:jc w:val="center"/>
              <w:rPr>
                <w:b/>
                <w:bCs/>
                <w:color w:val="000000"/>
                <w:sz w:val="22"/>
                <w:szCs w:val="22"/>
              </w:rPr>
            </w:pPr>
          </w:p>
        </w:tc>
        <w:tc>
          <w:tcPr>
            <w:tcW w:w="1449" w:type="dxa"/>
            <w:tcBorders>
              <w:top w:val="single" w:sz="6" w:space="0" w:color="4F6228"/>
            </w:tcBorders>
            <w:shd w:val="clear" w:color="auto" w:fill="C2D69B" w:themeFill="accent3" w:themeFillTint="99"/>
          </w:tcPr>
          <w:p w:rsidR="00DD4948" w:rsidRPr="00DA3185" w:rsidRDefault="00DD4948" w:rsidP="00CF445C">
            <w:pPr>
              <w:jc w:val="center"/>
              <w:rPr>
                <w:b/>
                <w:bCs/>
                <w:color w:val="000000"/>
                <w:sz w:val="22"/>
                <w:szCs w:val="22"/>
              </w:rPr>
            </w:pPr>
            <w:r w:rsidRPr="00DA3185">
              <w:rPr>
                <w:b/>
                <w:bCs/>
                <w:color w:val="000000"/>
                <w:sz w:val="22"/>
                <w:szCs w:val="22"/>
              </w:rPr>
              <w:t>80,63</w:t>
            </w:r>
          </w:p>
        </w:tc>
      </w:tr>
    </w:tbl>
    <w:p w:rsidR="00A75862" w:rsidRPr="00DA3185" w:rsidRDefault="00A75862" w:rsidP="004E754D">
      <w:pPr>
        <w:jc w:val="both"/>
        <w:rPr>
          <w:bCs/>
          <w:i/>
          <w:color w:val="000000"/>
          <w:sz w:val="18"/>
          <w:szCs w:val="18"/>
        </w:rPr>
      </w:pPr>
      <w:r w:rsidRPr="00DA3185">
        <w:rPr>
          <w:bCs/>
          <w:i/>
          <w:color w:val="000000"/>
          <w:sz w:val="18"/>
          <w:szCs w:val="18"/>
        </w:rPr>
        <w:t>Zdroj: Programový dokument IOP 2013</w:t>
      </w:r>
    </w:p>
    <w:p w:rsidR="002C4E32" w:rsidRPr="00AC557E" w:rsidRDefault="002C4E32" w:rsidP="00AC557E">
      <w:pPr>
        <w:rPr>
          <w:bCs/>
          <w:color w:val="000000"/>
          <w:sz w:val="22"/>
          <w:szCs w:val="22"/>
        </w:rPr>
      </w:pPr>
    </w:p>
    <w:p w:rsidR="00F56D08" w:rsidRPr="001E35AF" w:rsidRDefault="00F56D08" w:rsidP="00F56D08">
      <w:pPr>
        <w:jc w:val="both"/>
        <w:rPr>
          <w:bCs/>
          <w:color w:val="000000"/>
          <w:sz w:val="22"/>
          <w:szCs w:val="22"/>
        </w:rPr>
      </w:pPr>
      <w:r>
        <w:rPr>
          <w:bCs/>
          <w:color w:val="000000"/>
          <w:sz w:val="22"/>
          <w:szCs w:val="22"/>
        </w:rPr>
        <w:t xml:space="preserve">Dne </w:t>
      </w:r>
      <w:r w:rsidR="00B65991">
        <w:rPr>
          <w:bCs/>
          <w:color w:val="000000"/>
          <w:sz w:val="22"/>
          <w:szCs w:val="22"/>
        </w:rPr>
        <w:t>2. 6. 2014</w:t>
      </w:r>
      <w:r>
        <w:rPr>
          <w:bCs/>
          <w:color w:val="000000"/>
          <w:sz w:val="22"/>
          <w:szCs w:val="22"/>
        </w:rPr>
        <w:t xml:space="preserve"> přijala Rada doporučení k národnímu programu reforem České republiky na rok 2014 </w:t>
      </w:r>
      <w:r>
        <w:rPr>
          <w:bCs/>
          <w:color w:val="000000"/>
          <w:sz w:val="22"/>
          <w:szCs w:val="22"/>
        </w:rPr>
        <w:br/>
        <w:t xml:space="preserve">a stanovisko ke konvergenčnímu programu České republiky z roku 2014. Ve vztahu k České republice přijala 7 doporučení. </w:t>
      </w:r>
    </w:p>
    <w:p w:rsidR="00F56D08" w:rsidRPr="00ED3A6D" w:rsidRDefault="00F56D08" w:rsidP="00F56D08">
      <w:pPr>
        <w:jc w:val="both"/>
        <w:rPr>
          <w:bCs/>
          <w:color w:val="000000"/>
          <w:sz w:val="22"/>
          <w:szCs w:val="22"/>
          <w:highlight w:val="yellow"/>
        </w:rPr>
      </w:pPr>
      <w:r>
        <w:rPr>
          <w:bCs/>
          <w:color w:val="000000"/>
          <w:sz w:val="22"/>
          <w:szCs w:val="22"/>
        </w:rPr>
        <w:t xml:space="preserve"> </w:t>
      </w:r>
    </w:p>
    <w:p w:rsidR="00F56D08" w:rsidRDefault="00F56D08" w:rsidP="00F56D08">
      <w:pPr>
        <w:pStyle w:val="Odstavecseseznamem"/>
        <w:numPr>
          <w:ilvl w:val="0"/>
          <w:numId w:val="3"/>
        </w:numPr>
        <w:jc w:val="both"/>
        <w:rPr>
          <w:bCs/>
          <w:color w:val="000000"/>
          <w:sz w:val="22"/>
          <w:szCs w:val="22"/>
        </w:rPr>
      </w:pPr>
      <w:r w:rsidRPr="009F346A">
        <w:rPr>
          <w:bCs/>
          <w:color w:val="000000"/>
          <w:sz w:val="22"/>
          <w:szCs w:val="22"/>
          <w:u w:val="single"/>
        </w:rPr>
        <w:t>Doporučení 1</w:t>
      </w:r>
      <w:r w:rsidRPr="009F346A">
        <w:rPr>
          <w:bCs/>
          <w:color w:val="000000"/>
          <w:sz w:val="22"/>
          <w:szCs w:val="22"/>
        </w:rPr>
        <w:t xml:space="preserve"> – netýká se realizace IOP, řeší fiskální situaci České Republiky, naplňování střednědobého cíle a strukturu výdajů s ohledem na podporu růstu. Rada doporučuje přijmout a provést opatření k posílení fiskálního rámce</w:t>
      </w:r>
      <w:r w:rsidR="00D75362">
        <w:rPr>
          <w:bCs/>
          <w:color w:val="000000"/>
          <w:sz w:val="22"/>
          <w:szCs w:val="22"/>
        </w:rPr>
        <w:t>.</w:t>
      </w:r>
    </w:p>
    <w:p w:rsidR="00D75362" w:rsidRPr="009F346A" w:rsidRDefault="00D75362" w:rsidP="00D75362">
      <w:pPr>
        <w:pStyle w:val="Odstavecseseznamem"/>
        <w:jc w:val="both"/>
        <w:rPr>
          <w:bCs/>
          <w:color w:val="000000"/>
          <w:sz w:val="22"/>
          <w:szCs w:val="22"/>
        </w:rPr>
      </w:pPr>
    </w:p>
    <w:p w:rsidR="00D75362" w:rsidRPr="00D75362" w:rsidRDefault="00F56D08" w:rsidP="00D75362">
      <w:pPr>
        <w:pStyle w:val="Odstavecseseznamem1"/>
        <w:numPr>
          <w:ilvl w:val="0"/>
          <w:numId w:val="3"/>
        </w:numPr>
        <w:jc w:val="both"/>
        <w:rPr>
          <w:bCs/>
          <w:color w:val="000000"/>
          <w:sz w:val="22"/>
          <w:szCs w:val="22"/>
        </w:rPr>
      </w:pPr>
      <w:r w:rsidRPr="001E35AF">
        <w:rPr>
          <w:bCs/>
          <w:color w:val="000000"/>
          <w:sz w:val="22"/>
          <w:szCs w:val="22"/>
          <w:u w:val="single"/>
        </w:rPr>
        <w:t>Doporučení 2</w:t>
      </w:r>
      <w:r>
        <w:rPr>
          <w:bCs/>
          <w:color w:val="000000"/>
          <w:sz w:val="22"/>
          <w:szCs w:val="22"/>
        </w:rPr>
        <w:t xml:space="preserve"> – netýká se realizace IOP, řeší daňový systém České Republiky, především jeho zjednodušení, snížení daňového zatížení osob s nízkými příjmy, přesunutí daňové zátěže za účelem posílení růstu a snižování rozdílů v zacházení se zaměstnanci a osobami samostatně výdělečně činnými. </w:t>
      </w:r>
    </w:p>
    <w:p w:rsidR="00D75362" w:rsidRDefault="00D75362" w:rsidP="00D75362">
      <w:pPr>
        <w:pStyle w:val="Odstavecseseznamem1"/>
        <w:ind w:left="720"/>
        <w:jc w:val="both"/>
        <w:rPr>
          <w:bCs/>
          <w:color w:val="000000"/>
          <w:sz w:val="22"/>
          <w:szCs w:val="22"/>
        </w:rPr>
      </w:pPr>
    </w:p>
    <w:p w:rsidR="00F56D08" w:rsidRDefault="00F56D08" w:rsidP="00F56D08">
      <w:pPr>
        <w:pStyle w:val="Odstavecseseznamem1"/>
        <w:numPr>
          <w:ilvl w:val="0"/>
          <w:numId w:val="3"/>
        </w:numPr>
        <w:jc w:val="both"/>
        <w:rPr>
          <w:bCs/>
          <w:color w:val="000000"/>
          <w:sz w:val="22"/>
          <w:szCs w:val="22"/>
        </w:rPr>
      </w:pPr>
      <w:r w:rsidRPr="001E35AF">
        <w:rPr>
          <w:bCs/>
          <w:color w:val="000000"/>
          <w:sz w:val="22"/>
          <w:szCs w:val="22"/>
          <w:u w:val="single"/>
        </w:rPr>
        <w:t xml:space="preserve">Doporučení </w:t>
      </w:r>
      <w:r>
        <w:rPr>
          <w:bCs/>
          <w:color w:val="000000"/>
          <w:sz w:val="22"/>
          <w:szCs w:val="22"/>
          <w:u w:val="single"/>
        </w:rPr>
        <w:t>3</w:t>
      </w:r>
      <w:r w:rsidRPr="001E35AF">
        <w:rPr>
          <w:bCs/>
          <w:color w:val="000000"/>
          <w:sz w:val="22"/>
          <w:szCs w:val="22"/>
        </w:rPr>
        <w:t xml:space="preserve"> –</w:t>
      </w:r>
      <w:r>
        <w:rPr>
          <w:bCs/>
          <w:color w:val="000000"/>
          <w:sz w:val="22"/>
          <w:szCs w:val="22"/>
        </w:rPr>
        <w:t xml:space="preserve"> o</w:t>
      </w:r>
      <w:r w:rsidRPr="00E450E0">
        <w:rPr>
          <w:bCs/>
          <w:color w:val="000000"/>
          <w:sz w:val="22"/>
          <w:szCs w:val="22"/>
        </w:rPr>
        <w:t>patření k</w:t>
      </w:r>
      <w:r>
        <w:rPr>
          <w:bCs/>
          <w:color w:val="000000"/>
          <w:sz w:val="22"/>
          <w:szCs w:val="22"/>
        </w:rPr>
        <w:t>e</w:t>
      </w:r>
      <w:r w:rsidRPr="00E450E0">
        <w:rPr>
          <w:bCs/>
          <w:color w:val="000000"/>
          <w:sz w:val="22"/>
          <w:szCs w:val="22"/>
        </w:rPr>
        <w:t xml:space="preserve"> zlepšení nákladové efektivnosti a správy ve zdravotnictví, zejména v nemocniční péči</w:t>
      </w:r>
      <w:r>
        <w:rPr>
          <w:bCs/>
          <w:color w:val="000000"/>
          <w:sz w:val="22"/>
          <w:szCs w:val="22"/>
        </w:rPr>
        <w:t>, se dotýká o</w:t>
      </w:r>
      <w:r w:rsidRPr="009E0044">
        <w:rPr>
          <w:bCs/>
          <w:color w:val="000000"/>
          <w:sz w:val="22"/>
          <w:szCs w:val="22"/>
        </w:rPr>
        <w:t>blast</w:t>
      </w:r>
      <w:r>
        <w:rPr>
          <w:bCs/>
          <w:color w:val="000000"/>
          <w:sz w:val="22"/>
          <w:szCs w:val="22"/>
        </w:rPr>
        <w:t>i</w:t>
      </w:r>
      <w:r w:rsidRPr="009E0044">
        <w:rPr>
          <w:bCs/>
          <w:color w:val="000000"/>
          <w:sz w:val="22"/>
          <w:szCs w:val="22"/>
        </w:rPr>
        <w:t xml:space="preserve"> intervence 3.2 Služby v oblasti veřejného zdraví</w:t>
      </w:r>
      <w:r>
        <w:rPr>
          <w:bCs/>
          <w:color w:val="000000"/>
          <w:sz w:val="22"/>
          <w:szCs w:val="22"/>
        </w:rPr>
        <w:t xml:space="preserve">. IOP se netýká doporučení ohledně udržitelnosti důchodového systému (v souvislosti se zákonem stanoveným odchodem do důchodu), zaměstnanosti starších osob a mechanismu valorizace důchodů. </w:t>
      </w:r>
    </w:p>
    <w:p w:rsidR="00D75362" w:rsidRDefault="00D75362" w:rsidP="00D75362">
      <w:pPr>
        <w:pStyle w:val="Odstavecseseznamem1"/>
        <w:ind w:left="720"/>
        <w:jc w:val="both"/>
        <w:rPr>
          <w:bCs/>
          <w:color w:val="000000"/>
          <w:sz w:val="22"/>
          <w:szCs w:val="22"/>
        </w:rPr>
      </w:pPr>
    </w:p>
    <w:p w:rsidR="00F56D08" w:rsidRDefault="00F56D08" w:rsidP="00F56D08">
      <w:pPr>
        <w:pStyle w:val="Odstavecseseznamem"/>
        <w:numPr>
          <w:ilvl w:val="0"/>
          <w:numId w:val="3"/>
        </w:numPr>
        <w:jc w:val="both"/>
        <w:rPr>
          <w:bCs/>
          <w:color w:val="000000"/>
          <w:sz w:val="22"/>
          <w:szCs w:val="22"/>
        </w:rPr>
      </w:pPr>
      <w:r w:rsidRPr="00783AEA">
        <w:rPr>
          <w:bCs/>
          <w:color w:val="000000"/>
          <w:sz w:val="22"/>
          <w:szCs w:val="22"/>
          <w:u w:val="single"/>
        </w:rPr>
        <w:t>Doporučení 4</w:t>
      </w:r>
      <w:r w:rsidRPr="00783AEA">
        <w:rPr>
          <w:bCs/>
          <w:color w:val="000000"/>
          <w:sz w:val="22"/>
          <w:szCs w:val="22"/>
        </w:rPr>
        <w:t xml:space="preserve"> – vazba na IOP a OP LZZ s cílem posílit veřejné služby zaměstnanosti</w:t>
      </w:r>
      <w:r>
        <w:rPr>
          <w:bCs/>
          <w:color w:val="000000"/>
          <w:sz w:val="22"/>
          <w:szCs w:val="22"/>
        </w:rPr>
        <w:t xml:space="preserve"> </w:t>
      </w:r>
      <w:r w:rsidR="000F3A2A">
        <w:rPr>
          <w:bCs/>
          <w:color w:val="000000"/>
          <w:sz w:val="22"/>
          <w:szCs w:val="22"/>
        </w:rPr>
        <w:br/>
      </w:r>
      <w:r w:rsidRPr="00C97329">
        <w:rPr>
          <w:bCs/>
          <w:color w:val="000000"/>
          <w:sz w:val="22"/>
          <w:szCs w:val="22"/>
        </w:rPr>
        <w:t xml:space="preserve">(viz doporučení 4 z roku </w:t>
      </w:r>
      <w:r>
        <w:rPr>
          <w:bCs/>
          <w:color w:val="000000"/>
          <w:sz w:val="22"/>
          <w:szCs w:val="22"/>
        </w:rPr>
        <w:t>2013</w:t>
      </w:r>
      <w:r w:rsidRPr="00C97329">
        <w:rPr>
          <w:bCs/>
          <w:color w:val="000000"/>
          <w:sz w:val="22"/>
          <w:szCs w:val="22"/>
        </w:rPr>
        <w:t>)</w:t>
      </w:r>
      <w:r>
        <w:rPr>
          <w:bCs/>
          <w:color w:val="000000"/>
          <w:sz w:val="22"/>
          <w:szCs w:val="22"/>
        </w:rPr>
        <w:t>. Op</w:t>
      </w:r>
      <w:r w:rsidRPr="00783AEA">
        <w:rPr>
          <w:bCs/>
          <w:color w:val="000000"/>
          <w:sz w:val="22"/>
          <w:szCs w:val="22"/>
        </w:rPr>
        <w:t xml:space="preserve">atření </w:t>
      </w:r>
      <w:r>
        <w:rPr>
          <w:bCs/>
          <w:color w:val="000000"/>
          <w:sz w:val="22"/>
          <w:szCs w:val="22"/>
        </w:rPr>
        <w:t>na</w:t>
      </w:r>
      <w:r w:rsidRPr="00783AEA">
        <w:rPr>
          <w:bCs/>
          <w:color w:val="000000"/>
          <w:sz w:val="22"/>
          <w:szCs w:val="22"/>
        </w:rPr>
        <w:t xml:space="preserve"> zlepšení</w:t>
      </w:r>
      <w:r w:rsidRPr="00783AEA">
        <w:t xml:space="preserve"> </w:t>
      </w:r>
      <w:r w:rsidRPr="00783AEA">
        <w:rPr>
          <w:bCs/>
          <w:color w:val="000000"/>
          <w:sz w:val="22"/>
          <w:szCs w:val="22"/>
        </w:rPr>
        <w:t xml:space="preserve">účinnosti a účelnosti veřejných služeb zaměstnanosti se týká oblasti intervence 3.3 Služby v oblasti zaměstnanosti. </w:t>
      </w:r>
      <w:r w:rsidRPr="00C97329">
        <w:rPr>
          <w:bCs/>
          <w:color w:val="000000"/>
          <w:sz w:val="22"/>
          <w:szCs w:val="22"/>
        </w:rPr>
        <w:t xml:space="preserve">Otázka zvýšení dostupnosti zařízení péče o děti se IOP netýká, </w:t>
      </w:r>
      <w:r>
        <w:rPr>
          <w:bCs/>
          <w:color w:val="000000"/>
          <w:sz w:val="22"/>
          <w:szCs w:val="22"/>
        </w:rPr>
        <w:t xml:space="preserve">je </w:t>
      </w:r>
      <w:r w:rsidRPr="00C97329">
        <w:rPr>
          <w:bCs/>
          <w:color w:val="000000"/>
          <w:sz w:val="22"/>
          <w:szCs w:val="22"/>
        </w:rPr>
        <w:t xml:space="preserve">v působnosti </w:t>
      </w:r>
      <w:r>
        <w:rPr>
          <w:bCs/>
          <w:color w:val="000000"/>
          <w:sz w:val="22"/>
          <w:szCs w:val="22"/>
        </w:rPr>
        <w:t xml:space="preserve">zejména </w:t>
      </w:r>
      <w:r w:rsidRPr="00C97329">
        <w:rPr>
          <w:bCs/>
          <w:color w:val="000000"/>
          <w:sz w:val="22"/>
          <w:szCs w:val="22"/>
        </w:rPr>
        <w:t>obcí a příslušným programem j</w:t>
      </w:r>
      <w:r>
        <w:rPr>
          <w:bCs/>
          <w:color w:val="000000"/>
          <w:sz w:val="22"/>
          <w:szCs w:val="22"/>
        </w:rPr>
        <w:t>sou Regionální operační programy.</w:t>
      </w:r>
    </w:p>
    <w:p w:rsidR="00D75362" w:rsidRPr="00D75362" w:rsidRDefault="00D75362" w:rsidP="00D75362">
      <w:pPr>
        <w:jc w:val="both"/>
        <w:rPr>
          <w:bCs/>
          <w:color w:val="000000"/>
          <w:sz w:val="22"/>
          <w:szCs w:val="22"/>
        </w:rPr>
      </w:pPr>
    </w:p>
    <w:p w:rsidR="00F56D08" w:rsidRDefault="00F56D08" w:rsidP="00F56D08">
      <w:pPr>
        <w:pStyle w:val="Odstavecseseznamem1"/>
        <w:numPr>
          <w:ilvl w:val="0"/>
          <w:numId w:val="3"/>
        </w:numPr>
        <w:jc w:val="both"/>
        <w:rPr>
          <w:bCs/>
          <w:color w:val="000000"/>
          <w:sz w:val="22"/>
          <w:szCs w:val="22"/>
        </w:rPr>
      </w:pPr>
      <w:r w:rsidRPr="001E35AF">
        <w:rPr>
          <w:bCs/>
          <w:color w:val="000000"/>
          <w:sz w:val="22"/>
          <w:szCs w:val="22"/>
          <w:u w:val="single"/>
        </w:rPr>
        <w:t xml:space="preserve">Doporučení </w:t>
      </w:r>
      <w:r>
        <w:rPr>
          <w:bCs/>
          <w:color w:val="000000"/>
          <w:sz w:val="22"/>
          <w:szCs w:val="22"/>
          <w:u w:val="single"/>
        </w:rPr>
        <w:t>5</w:t>
      </w:r>
      <w:r w:rsidRPr="001E35AF">
        <w:rPr>
          <w:bCs/>
          <w:color w:val="000000"/>
          <w:sz w:val="22"/>
          <w:szCs w:val="22"/>
        </w:rPr>
        <w:t xml:space="preserve"> – </w:t>
      </w:r>
      <w:r w:rsidRPr="00A41801">
        <w:rPr>
          <w:bCs/>
          <w:color w:val="000000"/>
          <w:sz w:val="22"/>
          <w:szCs w:val="22"/>
        </w:rPr>
        <w:t xml:space="preserve">netýká se IOP, doporučení </w:t>
      </w:r>
      <w:r>
        <w:rPr>
          <w:bCs/>
          <w:color w:val="000000"/>
          <w:sz w:val="22"/>
          <w:szCs w:val="22"/>
        </w:rPr>
        <w:t xml:space="preserve">- zatraktivnění učitelského povolání, </w:t>
      </w:r>
      <w:r w:rsidRPr="00A41801">
        <w:rPr>
          <w:bCs/>
          <w:color w:val="000000"/>
          <w:sz w:val="22"/>
          <w:szCs w:val="22"/>
        </w:rPr>
        <w:t xml:space="preserve">hodnotící rámec pro vzdělávání na základních školách, </w:t>
      </w:r>
      <w:r>
        <w:rPr>
          <w:bCs/>
          <w:color w:val="000000"/>
          <w:sz w:val="22"/>
          <w:szCs w:val="22"/>
        </w:rPr>
        <w:t xml:space="preserve">podpora škol a žáků se slabšími výsledky, zvýšení  </w:t>
      </w:r>
      <w:proofErr w:type="spellStart"/>
      <w:r>
        <w:rPr>
          <w:bCs/>
          <w:color w:val="000000"/>
          <w:sz w:val="22"/>
          <w:szCs w:val="22"/>
        </w:rPr>
        <w:t>inkluzivnosti</w:t>
      </w:r>
      <w:proofErr w:type="spellEnd"/>
      <w:r>
        <w:rPr>
          <w:bCs/>
          <w:color w:val="000000"/>
          <w:sz w:val="22"/>
          <w:szCs w:val="22"/>
        </w:rPr>
        <w:t xml:space="preserve"> vzdělávání, </w:t>
      </w:r>
      <w:r w:rsidRPr="00A41801">
        <w:rPr>
          <w:bCs/>
          <w:color w:val="000000"/>
          <w:sz w:val="22"/>
          <w:szCs w:val="22"/>
        </w:rPr>
        <w:t>zlepšení systému akredit</w:t>
      </w:r>
      <w:r>
        <w:rPr>
          <w:bCs/>
          <w:color w:val="000000"/>
          <w:sz w:val="22"/>
          <w:szCs w:val="22"/>
        </w:rPr>
        <w:t xml:space="preserve">ace a financování vysokých škol </w:t>
      </w:r>
      <w:r w:rsidR="000F3A2A">
        <w:rPr>
          <w:bCs/>
          <w:color w:val="000000"/>
          <w:sz w:val="22"/>
          <w:szCs w:val="22"/>
        </w:rPr>
        <w:br/>
      </w:r>
      <w:r>
        <w:rPr>
          <w:bCs/>
          <w:color w:val="000000"/>
          <w:sz w:val="22"/>
          <w:szCs w:val="22"/>
        </w:rPr>
        <w:t>a jejich</w:t>
      </w:r>
      <w:r w:rsidRPr="00A41801">
        <w:rPr>
          <w:bCs/>
          <w:color w:val="000000"/>
          <w:sz w:val="22"/>
          <w:szCs w:val="22"/>
        </w:rPr>
        <w:t xml:space="preserve"> </w:t>
      </w:r>
      <w:r>
        <w:rPr>
          <w:bCs/>
          <w:color w:val="000000"/>
          <w:sz w:val="22"/>
          <w:szCs w:val="22"/>
        </w:rPr>
        <w:t xml:space="preserve">orientace na trh práce, </w:t>
      </w:r>
      <w:r w:rsidRPr="00A41801">
        <w:rPr>
          <w:bCs/>
          <w:color w:val="000000"/>
          <w:sz w:val="22"/>
          <w:szCs w:val="22"/>
        </w:rPr>
        <w:t>financování výzkumných i</w:t>
      </w:r>
      <w:r>
        <w:rPr>
          <w:bCs/>
          <w:color w:val="000000"/>
          <w:sz w:val="22"/>
          <w:szCs w:val="22"/>
        </w:rPr>
        <w:t xml:space="preserve">nstitucí více na základě výkonu - </w:t>
      </w:r>
      <w:r w:rsidRPr="00A41801">
        <w:rPr>
          <w:bCs/>
          <w:color w:val="000000"/>
          <w:sz w:val="22"/>
          <w:szCs w:val="22"/>
        </w:rPr>
        <w:t>j</w:t>
      </w:r>
      <w:r>
        <w:rPr>
          <w:bCs/>
          <w:color w:val="000000"/>
          <w:sz w:val="22"/>
          <w:szCs w:val="22"/>
        </w:rPr>
        <w:t>sou</w:t>
      </w:r>
      <w:r w:rsidRPr="00A41801">
        <w:rPr>
          <w:bCs/>
          <w:color w:val="000000"/>
          <w:sz w:val="22"/>
          <w:szCs w:val="22"/>
        </w:rPr>
        <w:t xml:space="preserve"> v gesci MŠMT</w:t>
      </w:r>
      <w:r w:rsidR="00D75362">
        <w:rPr>
          <w:bCs/>
          <w:color w:val="000000"/>
          <w:sz w:val="22"/>
          <w:szCs w:val="22"/>
        </w:rPr>
        <w:t>.</w:t>
      </w:r>
    </w:p>
    <w:p w:rsidR="00D75362" w:rsidRDefault="00D75362" w:rsidP="00D75362">
      <w:pPr>
        <w:pStyle w:val="Odstavecseseznamem1"/>
        <w:ind w:left="720"/>
        <w:jc w:val="both"/>
        <w:rPr>
          <w:bCs/>
          <w:color w:val="000000"/>
          <w:sz w:val="22"/>
          <w:szCs w:val="22"/>
        </w:rPr>
      </w:pPr>
    </w:p>
    <w:p w:rsidR="00F56D08" w:rsidRDefault="00F56D08" w:rsidP="00F56D08">
      <w:pPr>
        <w:pStyle w:val="Odstavecseseznamem"/>
        <w:numPr>
          <w:ilvl w:val="0"/>
          <w:numId w:val="3"/>
        </w:numPr>
        <w:jc w:val="both"/>
        <w:rPr>
          <w:bCs/>
          <w:color w:val="000000"/>
          <w:sz w:val="22"/>
          <w:szCs w:val="22"/>
        </w:rPr>
      </w:pPr>
      <w:r w:rsidRPr="00626BBC">
        <w:rPr>
          <w:bCs/>
          <w:color w:val="000000"/>
          <w:sz w:val="22"/>
          <w:szCs w:val="22"/>
          <w:u w:val="single"/>
        </w:rPr>
        <w:t>Doporučení 6</w:t>
      </w:r>
      <w:r w:rsidRPr="00626BBC">
        <w:rPr>
          <w:bCs/>
          <w:color w:val="000000"/>
          <w:sz w:val="22"/>
          <w:szCs w:val="22"/>
        </w:rPr>
        <w:t xml:space="preserve"> – opatření ke zvýšení energetické účinnosti v ekonomice se částečně týká IOP, oblasti intervence 5.2 Zlepšení prostředí v problémových sídlištích, aktivita 5.2b regenerace bytových domů.</w:t>
      </w:r>
      <w:r>
        <w:rPr>
          <w:bCs/>
          <w:color w:val="000000"/>
          <w:sz w:val="22"/>
          <w:szCs w:val="22"/>
        </w:rPr>
        <w:t xml:space="preserve"> </w:t>
      </w:r>
      <w:r w:rsidRPr="00242E47">
        <w:rPr>
          <w:bCs/>
          <w:color w:val="000000"/>
          <w:sz w:val="22"/>
          <w:szCs w:val="22"/>
        </w:rPr>
        <w:t>IOP se netýká doporučení ohledně omezení vysokého počtu regulace povolání</w:t>
      </w:r>
      <w:r w:rsidR="00D75362">
        <w:rPr>
          <w:bCs/>
          <w:color w:val="000000"/>
          <w:sz w:val="22"/>
          <w:szCs w:val="22"/>
        </w:rPr>
        <w:t>.</w:t>
      </w:r>
    </w:p>
    <w:p w:rsidR="00D75362" w:rsidRPr="00D75362" w:rsidRDefault="00D75362" w:rsidP="00D75362">
      <w:pPr>
        <w:jc w:val="both"/>
        <w:rPr>
          <w:bCs/>
          <w:color w:val="000000"/>
          <w:sz w:val="22"/>
          <w:szCs w:val="22"/>
        </w:rPr>
      </w:pPr>
    </w:p>
    <w:p w:rsidR="00D75362" w:rsidRDefault="00F56D08" w:rsidP="00F56D08">
      <w:pPr>
        <w:pStyle w:val="Odstavecseseznamem1"/>
        <w:numPr>
          <w:ilvl w:val="0"/>
          <w:numId w:val="3"/>
        </w:numPr>
        <w:jc w:val="both"/>
        <w:rPr>
          <w:bCs/>
          <w:color w:val="000000"/>
          <w:sz w:val="22"/>
          <w:szCs w:val="22"/>
        </w:rPr>
      </w:pPr>
      <w:r w:rsidRPr="001E35AF">
        <w:rPr>
          <w:bCs/>
          <w:color w:val="000000"/>
          <w:sz w:val="22"/>
          <w:szCs w:val="22"/>
          <w:u w:val="single"/>
        </w:rPr>
        <w:t>Doporučení 7</w:t>
      </w:r>
      <w:r w:rsidRPr="001E35AF">
        <w:rPr>
          <w:bCs/>
          <w:color w:val="000000"/>
          <w:sz w:val="22"/>
          <w:szCs w:val="22"/>
        </w:rPr>
        <w:t xml:space="preserve"> –</w:t>
      </w:r>
      <w:r>
        <w:rPr>
          <w:bCs/>
          <w:color w:val="000000"/>
          <w:sz w:val="22"/>
          <w:szCs w:val="22"/>
        </w:rPr>
        <w:t xml:space="preserve"> vazba na doporučení 5 z roku 2012 a 2013. Rada doporučuje </w:t>
      </w:r>
      <w:r w:rsidRPr="00592B5C">
        <w:rPr>
          <w:bCs/>
          <w:color w:val="000000"/>
          <w:sz w:val="22"/>
          <w:szCs w:val="22"/>
        </w:rPr>
        <w:t xml:space="preserve">přijmout </w:t>
      </w:r>
      <w:r>
        <w:rPr>
          <w:bCs/>
          <w:color w:val="000000"/>
          <w:sz w:val="22"/>
          <w:szCs w:val="22"/>
        </w:rPr>
        <w:t xml:space="preserve">(přijat 1. 10. 2014) </w:t>
      </w:r>
      <w:r w:rsidRPr="00592B5C">
        <w:rPr>
          <w:bCs/>
          <w:color w:val="000000"/>
          <w:sz w:val="22"/>
          <w:szCs w:val="22"/>
        </w:rPr>
        <w:t>a provést zákon o státní službě</w:t>
      </w:r>
      <w:r>
        <w:rPr>
          <w:bCs/>
          <w:color w:val="000000"/>
          <w:sz w:val="22"/>
          <w:szCs w:val="22"/>
        </w:rPr>
        <w:t>, z</w:t>
      </w:r>
      <w:r w:rsidRPr="00592B5C">
        <w:rPr>
          <w:bCs/>
          <w:color w:val="000000"/>
          <w:sz w:val="22"/>
          <w:szCs w:val="22"/>
        </w:rPr>
        <w:t>rychlit a značně posílit boj proti korupci provedením zbývajících legislativních opatření stanovených v protikorupční strategii na roky 2013–2014 a vypracováním plánů na další obd</w:t>
      </w:r>
      <w:r>
        <w:rPr>
          <w:bCs/>
          <w:color w:val="000000"/>
          <w:sz w:val="22"/>
          <w:szCs w:val="22"/>
        </w:rPr>
        <w:t>obí,</w:t>
      </w:r>
      <w:r w:rsidRPr="00592B5C">
        <w:rPr>
          <w:bCs/>
          <w:color w:val="000000"/>
          <w:sz w:val="22"/>
          <w:szCs w:val="22"/>
        </w:rPr>
        <w:t xml:space="preserve"> zlepšit správu finančních prostředků EU zjednodušením prováděcích struktur, zvýšením kapacity a lepším řešením střetů zájmů. </w:t>
      </w:r>
    </w:p>
    <w:p w:rsidR="00D75362" w:rsidRDefault="00D75362" w:rsidP="00D75362">
      <w:pPr>
        <w:pStyle w:val="Odstavecseseznamem"/>
        <w:rPr>
          <w:bCs/>
          <w:color w:val="000000"/>
          <w:sz w:val="22"/>
          <w:szCs w:val="22"/>
        </w:rPr>
      </w:pPr>
    </w:p>
    <w:p w:rsidR="00F56D08" w:rsidRPr="00592B5C" w:rsidRDefault="00F56D08" w:rsidP="00D75362">
      <w:pPr>
        <w:pStyle w:val="Odstavecseseznamem1"/>
        <w:ind w:left="720"/>
        <w:jc w:val="both"/>
        <w:rPr>
          <w:bCs/>
          <w:color w:val="000000"/>
          <w:sz w:val="22"/>
          <w:szCs w:val="22"/>
        </w:rPr>
      </w:pPr>
      <w:r>
        <w:rPr>
          <w:bCs/>
          <w:color w:val="000000"/>
          <w:sz w:val="22"/>
          <w:szCs w:val="22"/>
        </w:rPr>
        <w:t>Dále Rada doporučuje z</w:t>
      </w:r>
      <w:r w:rsidRPr="00592B5C">
        <w:rPr>
          <w:bCs/>
          <w:color w:val="000000"/>
          <w:sz w:val="22"/>
          <w:szCs w:val="22"/>
        </w:rPr>
        <w:t xml:space="preserve">výšit transparentnost při zadávání veřejných zakázek </w:t>
      </w:r>
      <w:r>
        <w:rPr>
          <w:bCs/>
          <w:color w:val="000000"/>
          <w:sz w:val="22"/>
          <w:szCs w:val="22"/>
        </w:rPr>
        <w:t xml:space="preserve">(v dokumentaci promítnut zákon č. 55/2012 Sb.) </w:t>
      </w:r>
      <w:r w:rsidRPr="00592B5C">
        <w:rPr>
          <w:bCs/>
          <w:color w:val="000000"/>
          <w:sz w:val="22"/>
          <w:szCs w:val="22"/>
        </w:rPr>
        <w:t>a zlepšit realizaci nabídkových řízení zajištěním odpovídajících pokynů a odpovídajícího dohledu.</w:t>
      </w:r>
    </w:p>
    <w:p w:rsidR="00F56D08" w:rsidRPr="001E35AF" w:rsidRDefault="00F56D08" w:rsidP="00642923">
      <w:pPr>
        <w:pStyle w:val="Odstavecseseznamem"/>
        <w:rPr>
          <w:bCs/>
          <w:color w:val="000000"/>
          <w:sz w:val="22"/>
          <w:szCs w:val="22"/>
        </w:rPr>
      </w:pPr>
    </w:p>
    <w:p w:rsidR="00A75862" w:rsidRPr="00052B9D" w:rsidRDefault="00A75862" w:rsidP="00BA50E1">
      <w:pPr>
        <w:pStyle w:val="Nadpis2"/>
        <w:rPr>
          <w:rFonts w:ascii="Times New Roman" w:hAnsi="Times New Roman"/>
          <w:i w:val="0"/>
        </w:rPr>
      </w:pPr>
      <w:bookmarkStart w:id="61" w:name="_Toc417024842"/>
      <w:r w:rsidRPr="00052B9D">
        <w:rPr>
          <w:rFonts w:ascii="Times New Roman" w:hAnsi="Times New Roman"/>
          <w:i w:val="0"/>
        </w:rPr>
        <w:t>2.2 Informace o souladu s právními předpisy EU</w:t>
      </w:r>
      <w:bookmarkEnd w:id="61"/>
    </w:p>
    <w:p w:rsidR="000524F5" w:rsidRPr="00042054" w:rsidRDefault="000524F5" w:rsidP="000524F5">
      <w:pPr>
        <w:jc w:val="both"/>
        <w:rPr>
          <w:sz w:val="22"/>
          <w:szCs w:val="22"/>
        </w:rPr>
      </w:pPr>
      <w:bookmarkStart w:id="62" w:name="_Toc198369907"/>
      <w:bookmarkStart w:id="63" w:name="_Toc200774699"/>
      <w:r w:rsidRPr="00042054">
        <w:rPr>
          <w:sz w:val="22"/>
          <w:szCs w:val="22"/>
        </w:rPr>
        <w:t>ŘO IOP vydává řízenou dokumentaci zahrnující celý systém implementace IOP, který je v souladu s legislativou ČR a EU. Řízená dokumentace po obsahové a formální stránce klade důraz zejména na soulad s pravidly:</w:t>
      </w:r>
    </w:p>
    <w:p w:rsidR="000524F5" w:rsidRPr="00042054" w:rsidRDefault="000524F5" w:rsidP="000524F5">
      <w:pPr>
        <w:jc w:val="both"/>
        <w:rPr>
          <w:sz w:val="22"/>
          <w:szCs w:val="22"/>
        </w:rPr>
      </w:pPr>
    </w:p>
    <w:p w:rsidR="000524F5" w:rsidRPr="00F2578F" w:rsidRDefault="000524F5" w:rsidP="000524F5">
      <w:pPr>
        <w:pStyle w:val="Odstavecseseznamem1"/>
        <w:numPr>
          <w:ilvl w:val="0"/>
          <w:numId w:val="3"/>
        </w:numPr>
        <w:jc w:val="both"/>
        <w:rPr>
          <w:bCs/>
          <w:color w:val="000000"/>
          <w:sz w:val="22"/>
          <w:szCs w:val="22"/>
        </w:rPr>
      </w:pPr>
      <w:r w:rsidRPr="00F2578F">
        <w:rPr>
          <w:bCs/>
          <w:color w:val="000000"/>
          <w:sz w:val="22"/>
          <w:szCs w:val="22"/>
        </w:rPr>
        <w:t>hospodářské soutěže,</w:t>
      </w:r>
    </w:p>
    <w:p w:rsidR="000524F5" w:rsidRPr="00F2578F" w:rsidRDefault="000524F5" w:rsidP="000524F5">
      <w:pPr>
        <w:pStyle w:val="Odstavecseseznamem1"/>
        <w:numPr>
          <w:ilvl w:val="0"/>
          <w:numId w:val="3"/>
        </w:numPr>
        <w:jc w:val="both"/>
        <w:rPr>
          <w:bCs/>
          <w:color w:val="000000"/>
          <w:sz w:val="22"/>
          <w:szCs w:val="22"/>
        </w:rPr>
      </w:pPr>
      <w:r w:rsidRPr="00F2578F">
        <w:rPr>
          <w:bCs/>
          <w:color w:val="000000"/>
          <w:sz w:val="22"/>
          <w:szCs w:val="22"/>
        </w:rPr>
        <w:t>zadávání veřejných zakázek,</w:t>
      </w:r>
    </w:p>
    <w:p w:rsidR="000524F5" w:rsidRPr="00F2578F" w:rsidRDefault="000524F5" w:rsidP="000524F5">
      <w:pPr>
        <w:pStyle w:val="Odstavecseseznamem1"/>
        <w:numPr>
          <w:ilvl w:val="0"/>
          <w:numId w:val="3"/>
        </w:numPr>
        <w:jc w:val="both"/>
        <w:rPr>
          <w:bCs/>
          <w:color w:val="000000"/>
          <w:sz w:val="22"/>
          <w:szCs w:val="22"/>
        </w:rPr>
      </w:pPr>
      <w:r w:rsidRPr="00F2578F">
        <w:rPr>
          <w:bCs/>
          <w:color w:val="000000"/>
          <w:sz w:val="22"/>
          <w:szCs w:val="22"/>
        </w:rPr>
        <w:t>veřejné podpory,</w:t>
      </w:r>
    </w:p>
    <w:p w:rsidR="000524F5" w:rsidRPr="00F2578F" w:rsidRDefault="000524F5" w:rsidP="000524F5">
      <w:pPr>
        <w:pStyle w:val="Odstavecseseznamem1"/>
        <w:numPr>
          <w:ilvl w:val="0"/>
          <w:numId w:val="3"/>
        </w:numPr>
        <w:jc w:val="both"/>
        <w:rPr>
          <w:bCs/>
          <w:color w:val="000000"/>
          <w:sz w:val="22"/>
          <w:szCs w:val="22"/>
        </w:rPr>
      </w:pPr>
      <w:r w:rsidRPr="00F2578F">
        <w:rPr>
          <w:bCs/>
          <w:color w:val="000000"/>
          <w:sz w:val="22"/>
          <w:szCs w:val="22"/>
        </w:rPr>
        <w:t>generování příjmů v projektech,</w:t>
      </w:r>
    </w:p>
    <w:p w:rsidR="000524F5" w:rsidRPr="00F2578F" w:rsidRDefault="000524F5" w:rsidP="000524F5">
      <w:pPr>
        <w:pStyle w:val="Odstavecseseznamem1"/>
        <w:numPr>
          <w:ilvl w:val="0"/>
          <w:numId w:val="3"/>
        </w:numPr>
        <w:jc w:val="both"/>
        <w:rPr>
          <w:bCs/>
          <w:color w:val="000000"/>
          <w:sz w:val="22"/>
          <w:szCs w:val="22"/>
        </w:rPr>
      </w:pPr>
      <w:r w:rsidRPr="00F2578F">
        <w:rPr>
          <w:bCs/>
          <w:color w:val="000000"/>
          <w:sz w:val="22"/>
          <w:szCs w:val="22"/>
        </w:rPr>
        <w:t>ochrany životního prostředí,</w:t>
      </w:r>
    </w:p>
    <w:p w:rsidR="002747A0" w:rsidRPr="003038EF" w:rsidRDefault="000524F5" w:rsidP="000524F5">
      <w:pPr>
        <w:pStyle w:val="Odstavecseseznamem1"/>
        <w:numPr>
          <w:ilvl w:val="0"/>
          <w:numId w:val="3"/>
        </w:numPr>
        <w:jc w:val="both"/>
        <w:rPr>
          <w:bCs/>
          <w:color w:val="000000"/>
          <w:sz w:val="22"/>
          <w:szCs w:val="22"/>
        </w:rPr>
      </w:pPr>
      <w:r w:rsidRPr="00F2578F">
        <w:rPr>
          <w:bCs/>
          <w:color w:val="000000"/>
          <w:sz w:val="22"/>
          <w:szCs w:val="22"/>
        </w:rPr>
        <w:t>dodržování rovných příležitostí.</w:t>
      </w:r>
    </w:p>
    <w:p w:rsidR="002747A0" w:rsidRDefault="002747A0" w:rsidP="000524F5">
      <w:pPr>
        <w:jc w:val="both"/>
        <w:rPr>
          <w:b/>
          <w:sz w:val="22"/>
          <w:szCs w:val="22"/>
        </w:rPr>
      </w:pPr>
    </w:p>
    <w:p w:rsidR="000524F5" w:rsidRDefault="000524F5" w:rsidP="000524F5">
      <w:pPr>
        <w:jc w:val="both"/>
        <w:rPr>
          <w:b/>
          <w:sz w:val="22"/>
          <w:szCs w:val="22"/>
        </w:rPr>
      </w:pPr>
      <w:r w:rsidRPr="008C4750">
        <w:rPr>
          <w:b/>
          <w:sz w:val="22"/>
          <w:szCs w:val="22"/>
        </w:rPr>
        <w:t>Pravidla hospodářské soutěže</w:t>
      </w:r>
      <w:bookmarkEnd w:id="62"/>
      <w:bookmarkEnd w:id="63"/>
    </w:p>
    <w:p w:rsidR="0021725A" w:rsidRDefault="0021725A" w:rsidP="000524F5">
      <w:pPr>
        <w:jc w:val="both"/>
        <w:rPr>
          <w:b/>
          <w:sz w:val="22"/>
          <w:szCs w:val="22"/>
        </w:rPr>
      </w:pPr>
    </w:p>
    <w:p w:rsidR="0021725A" w:rsidRPr="0021725A" w:rsidRDefault="0021725A" w:rsidP="000524F5">
      <w:pPr>
        <w:jc w:val="both"/>
        <w:rPr>
          <w:sz w:val="22"/>
          <w:szCs w:val="22"/>
          <w:u w:val="single"/>
        </w:rPr>
      </w:pPr>
      <w:r w:rsidRPr="0021725A">
        <w:rPr>
          <w:sz w:val="22"/>
          <w:szCs w:val="22"/>
          <w:u w:val="single"/>
        </w:rPr>
        <w:t>Legislativní rámec</w:t>
      </w:r>
    </w:p>
    <w:p w:rsidR="00C83CFA" w:rsidRDefault="00C83CFA" w:rsidP="00C83CFA">
      <w:pPr>
        <w:jc w:val="both"/>
        <w:rPr>
          <w:sz w:val="22"/>
          <w:szCs w:val="22"/>
        </w:rPr>
      </w:pPr>
      <w:r w:rsidRPr="00C83CFA">
        <w:rPr>
          <w:sz w:val="22"/>
          <w:szCs w:val="22"/>
        </w:rPr>
        <w:t xml:space="preserve">Finanční prostředky na realizaci OP jsou považovány za veřejné prostředky, na jejichž poskytnutí se vztahují příslušná pravidla EU týkající se veřejné podpory, a národní předpisy. </w:t>
      </w:r>
    </w:p>
    <w:p w:rsidR="0021725A" w:rsidRPr="00C83CFA" w:rsidRDefault="0021725A" w:rsidP="00C83CFA">
      <w:pPr>
        <w:jc w:val="both"/>
        <w:rPr>
          <w:sz w:val="22"/>
          <w:szCs w:val="22"/>
        </w:rPr>
      </w:pPr>
    </w:p>
    <w:p w:rsidR="0021725A" w:rsidRDefault="00C83CFA" w:rsidP="00C83CFA">
      <w:pPr>
        <w:jc w:val="both"/>
        <w:rPr>
          <w:sz w:val="22"/>
          <w:szCs w:val="22"/>
        </w:rPr>
      </w:pPr>
      <w:r w:rsidRPr="00C83CFA">
        <w:rPr>
          <w:sz w:val="22"/>
          <w:szCs w:val="22"/>
        </w:rPr>
        <w:t xml:space="preserve">Základní normou vymezující veřejnou podporu jsou čl. 107-108 Smlouvy o fungování Evropské unie. </w:t>
      </w:r>
      <w:r w:rsidRPr="00C83CFA">
        <w:rPr>
          <w:sz w:val="22"/>
          <w:szCs w:val="22"/>
        </w:rPr>
        <w:br/>
        <w:t>V souladu s těmito články jsou podpory poskytované v jakékoli formě státem nebo ze státních prostředků, které narušují nebo mohou narušit hospodářskou soutěž tím, že zvýhodňují určité podniky nebo určitá odvětví výroby, neslučitelné se společným trhem, pokud ovlivňují obchod mezi členskými státy. Výjimky z tohoto základního pravidla jsou dále zakotveny ve Smlouvě o fungování Evropské unie.</w:t>
      </w:r>
    </w:p>
    <w:p w:rsidR="00D75362" w:rsidRPr="00C83CFA" w:rsidRDefault="00D75362" w:rsidP="00C83CFA">
      <w:pPr>
        <w:jc w:val="both"/>
        <w:rPr>
          <w:sz w:val="22"/>
          <w:szCs w:val="22"/>
        </w:rPr>
      </w:pPr>
    </w:p>
    <w:p w:rsidR="00C83CFA" w:rsidRDefault="00C83CFA" w:rsidP="00C83CFA">
      <w:pPr>
        <w:jc w:val="both"/>
        <w:rPr>
          <w:sz w:val="22"/>
          <w:szCs w:val="22"/>
        </w:rPr>
      </w:pPr>
      <w:r w:rsidRPr="00C83CFA">
        <w:rPr>
          <w:sz w:val="22"/>
          <w:szCs w:val="22"/>
        </w:rPr>
        <w:t xml:space="preserve">V ČR je ochrana hospodářské soutěže realizována na základě zákona č. 143/2001 Sb., </w:t>
      </w:r>
      <w:r w:rsidRPr="00C83CFA">
        <w:rPr>
          <w:sz w:val="22"/>
          <w:szCs w:val="22"/>
        </w:rPr>
        <w:br/>
        <w:t>o ochraně hospodářské soutěže a o změně některých dalších zákonů, ve znění pozdějších předpisů. Ústředním orgánem státní správy, který zabezpečuje dohled nad dodržováním pravidel hospodářské soutěže, je dle zákona č. 273/1996 Sb., Úřad pro ochranu hospodářské soutěže.</w:t>
      </w:r>
    </w:p>
    <w:p w:rsidR="0021725A" w:rsidRPr="00C83CFA" w:rsidRDefault="0021725A" w:rsidP="00C83CFA">
      <w:pPr>
        <w:jc w:val="both"/>
        <w:rPr>
          <w:sz w:val="22"/>
          <w:szCs w:val="22"/>
        </w:rPr>
      </w:pPr>
    </w:p>
    <w:p w:rsidR="00C83CFA" w:rsidRDefault="00C83CFA" w:rsidP="00C83CFA">
      <w:pPr>
        <w:jc w:val="both"/>
        <w:rPr>
          <w:sz w:val="22"/>
          <w:szCs w:val="22"/>
        </w:rPr>
      </w:pPr>
      <w:r w:rsidRPr="00C83CFA">
        <w:rPr>
          <w:sz w:val="22"/>
          <w:szCs w:val="22"/>
        </w:rPr>
        <w:t xml:space="preserve">Řádné dodržování pravidel hospodářské soutěže je zakomponováno v nastavení jednotlivých OP. </w:t>
      </w:r>
      <w:r w:rsidRPr="00C83CFA">
        <w:rPr>
          <w:sz w:val="22"/>
          <w:szCs w:val="22"/>
        </w:rPr>
        <w:br/>
        <w:t>V rámci procesu posuzování žádostí o poskytnutí dotace je také zohledněn princip kontroly projektů</w:t>
      </w:r>
      <w:r w:rsidRPr="00C83CFA">
        <w:rPr>
          <w:sz w:val="22"/>
          <w:szCs w:val="22"/>
        </w:rPr>
        <w:br/>
        <w:t xml:space="preserve">z pohledu správné aplikace pravidel veřejné podpory. </w:t>
      </w:r>
    </w:p>
    <w:p w:rsidR="0088001E" w:rsidRPr="00C83CFA" w:rsidRDefault="0088001E" w:rsidP="00C83CFA">
      <w:pPr>
        <w:jc w:val="both"/>
        <w:rPr>
          <w:sz w:val="22"/>
          <w:szCs w:val="22"/>
        </w:rPr>
      </w:pPr>
    </w:p>
    <w:p w:rsidR="00C83CFA" w:rsidRPr="00C83CFA" w:rsidRDefault="00C83CFA" w:rsidP="00C83CFA">
      <w:pPr>
        <w:jc w:val="both"/>
        <w:rPr>
          <w:sz w:val="22"/>
          <w:szCs w:val="22"/>
        </w:rPr>
      </w:pPr>
      <w:r w:rsidRPr="00C83CFA">
        <w:rPr>
          <w:sz w:val="22"/>
          <w:szCs w:val="22"/>
        </w:rPr>
        <w:t xml:space="preserve">V procesu posuzování žádostí o poskytnutí </w:t>
      </w:r>
      <w:r w:rsidR="00247745" w:rsidRPr="00C83CFA">
        <w:rPr>
          <w:sz w:val="22"/>
          <w:szCs w:val="22"/>
        </w:rPr>
        <w:t xml:space="preserve">dotace </w:t>
      </w:r>
      <w:r w:rsidR="00247745">
        <w:rPr>
          <w:sz w:val="22"/>
          <w:szCs w:val="22"/>
        </w:rPr>
        <w:t>a v průběhu</w:t>
      </w:r>
      <w:r w:rsidRPr="00C83CFA">
        <w:rPr>
          <w:sz w:val="22"/>
          <w:szCs w:val="22"/>
        </w:rPr>
        <w:t xml:space="preserve"> realizace dochází ke kontrole projektů z pohledu správné aplikace pravidel veřejné podpory. V případě pochybností spojených s aplikací pravidel veřejné podpory u posuzovaného projektu, je ŘO oprávněn pozastavit řízení ve věci schválení podpory. Obnovit ho může v případě, že se prokáže, že pochybnosti byly neopodstatněné.  </w:t>
      </w:r>
    </w:p>
    <w:p w:rsidR="00C83CFA" w:rsidRPr="00C83CFA" w:rsidRDefault="00C83CFA" w:rsidP="00C83CFA">
      <w:pPr>
        <w:jc w:val="both"/>
        <w:rPr>
          <w:sz w:val="22"/>
          <w:szCs w:val="22"/>
        </w:rPr>
      </w:pPr>
      <w:r w:rsidRPr="00C83CFA">
        <w:rPr>
          <w:sz w:val="22"/>
          <w:szCs w:val="22"/>
        </w:rPr>
        <w:t xml:space="preserve">Dne 1. července 2012 nabyl účinnosti zákon č. 236/2012 Sb., kterým se mění zákon </w:t>
      </w:r>
      <w:r w:rsidRPr="00C83CFA">
        <w:rPr>
          <w:sz w:val="22"/>
          <w:szCs w:val="22"/>
        </w:rPr>
        <w:br/>
        <w:t xml:space="preserve">č. 215/2004 Sb., o úpravě některých vztahů v oblasti veřejné podpory a o změně zákona </w:t>
      </w:r>
      <w:r w:rsidRPr="00C83CFA">
        <w:rPr>
          <w:sz w:val="22"/>
          <w:szCs w:val="22"/>
        </w:rPr>
        <w:br/>
        <w:t>o podpoře výzkumu a vývoje, ve znění zákona č. 109/2009 Sb.</w:t>
      </w:r>
    </w:p>
    <w:p w:rsidR="00C83CFA" w:rsidRPr="00C83CFA" w:rsidRDefault="00C83CFA" w:rsidP="00C83CFA">
      <w:pPr>
        <w:jc w:val="both"/>
        <w:rPr>
          <w:sz w:val="22"/>
          <w:szCs w:val="22"/>
        </w:rPr>
      </w:pPr>
    </w:p>
    <w:p w:rsidR="00C83CFA" w:rsidRPr="00C83CFA" w:rsidRDefault="00C83CFA" w:rsidP="00C83CFA">
      <w:pPr>
        <w:jc w:val="both"/>
        <w:rPr>
          <w:sz w:val="22"/>
          <w:szCs w:val="22"/>
        </w:rPr>
      </w:pPr>
      <w:r w:rsidRPr="00C83CFA">
        <w:rPr>
          <w:sz w:val="22"/>
          <w:szCs w:val="22"/>
        </w:rPr>
        <w:lastRenderedPageBreak/>
        <w:t xml:space="preserve"> V roce 2012 vstoupilo v platnost několik nových předpisů EU upravujících </w:t>
      </w:r>
      <w:r w:rsidRPr="00C83CFA">
        <w:rPr>
          <w:b/>
          <w:sz w:val="22"/>
          <w:szCs w:val="22"/>
        </w:rPr>
        <w:t>pravidla pro poskytování služeb obecného hospodářského zájmu</w:t>
      </w:r>
      <w:r w:rsidRPr="00C83CFA">
        <w:rPr>
          <w:sz w:val="22"/>
          <w:szCs w:val="22"/>
        </w:rPr>
        <w:t xml:space="preserve">: </w:t>
      </w:r>
    </w:p>
    <w:p w:rsidR="00C83CFA" w:rsidRPr="00C83CFA" w:rsidRDefault="00C83CFA" w:rsidP="00C83CFA">
      <w:pPr>
        <w:numPr>
          <w:ilvl w:val="0"/>
          <w:numId w:val="49"/>
        </w:numPr>
        <w:ind w:left="714" w:hanging="357"/>
        <w:jc w:val="both"/>
        <w:rPr>
          <w:sz w:val="22"/>
          <w:szCs w:val="22"/>
        </w:rPr>
      </w:pPr>
      <w:r w:rsidRPr="00C83CFA">
        <w:rPr>
          <w:sz w:val="22"/>
          <w:szCs w:val="22"/>
        </w:rPr>
        <w:t xml:space="preserve">Rozhodnutí Komise ze dne 20. prosince 2011 o použití čl. 106 odst. 2 Smlouvy </w:t>
      </w:r>
      <w:r w:rsidRPr="00C83CFA">
        <w:rPr>
          <w:sz w:val="22"/>
          <w:szCs w:val="22"/>
        </w:rPr>
        <w:br/>
        <w:t xml:space="preserve">o fungování Evropské unie na státní podporu ve formě vyrovnávací platby za závazek veřejné služby udělené určitým podnikům pověřeným poskytováním služeb obecného hospodářského zájmu (2012/21/EU); (platné od 31. ledna 2012), </w:t>
      </w:r>
    </w:p>
    <w:p w:rsidR="00C83CFA" w:rsidRPr="00C83CFA" w:rsidRDefault="00C83CFA" w:rsidP="00C83CFA">
      <w:pPr>
        <w:numPr>
          <w:ilvl w:val="0"/>
          <w:numId w:val="49"/>
        </w:numPr>
        <w:ind w:left="714" w:hanging="357"/>
        <w:jc w:val="both"/>
        <w:rPr>
          <w:sz w:val="22"/>
          <w:szCs w:val="22"/>
        </w:rPr>
      </w:pPr>
      <w:r w:rsidRPr="00C83CFA">
        <w:rPr>
          <w:sz w:val="22"/>
          <w:szCs w:val="22"/>
        </w:rPr>
        <w:t xml:space="preserve">Rámec Evropské unie pro státní podporu ve formě vyrovnávací platby za závazek veřejné služby (2012/c8/03); (platný od 31. ledna 2012), </w:t>
      </w:r>
    </w:p>
    <w:p w:rsidR="00C83CFA" w:rsidRDefault="00C83CFA" w:rsidP="00C83CFA">
      <w:pPr>
        <w:numPr>
          <w:ilvl w:val="0"/>
          <w:numId w:val="49"/>
        </w:numPr>
        <w:ind w:left="714" w:hanging="357"/>
        <w:jc w:val="both"/>
        <w:rPr>
          <w:sz w:val="22"/>
          <w:szCs w:val="22"/>
        </w:rPr>
      </w:pPr>
      <w:r w:rsidRPr="00C83CFA">
        <w:rPr>
          <w:sz w:val="22"/>
          <w:szCs w:val="22"/>
        </w:rPr>
        <w:t>Sdělení Komise o použití pravidel Evropské unie v oblasti státní podpory na vyrovnávací platbu udělenou za poskytování služeb obecného hospodářského zájmu (2012/c8/02); (vydané 11. ledna 2012).</w:t>
      </w:r>
    </w:p>
    <w:p w:rsidR="003A52DA" w:rsidRPr="00C83CFA" w:rsidRDefault="003A52DA" w:rsidP="003A52DA">
      <w:pPr>
        <w:ind w:left="714"/>
        <w:jc w:val="both"/>
        <w:rPr>
          <w:sz w:val="22"/>
          <w:szCs w:val="22"/>
        </w:rPr>
      </w:pPr>
    </w:p>
    <w:p w:rsidR="00C83CFA" w:rsidRPr="00C83CFA" w:rsidRDefault="00C83CFA" w:rsidP="00C83CFA">
      <w:pPr>
        <w:jc w:val="both"/>
        <w:rPr>
          <w:sz w:val="22"/>
          <w:szCs w:val="22"/>
        </w:rPr>
      </w:pPr>
      <w:r w:rsidRPr="00C83CFA">
        <w:rPr>
          <w:sz w:val="22"/>
          <w:szCs w:val="22"/>
        </w:rPr>
        <w:t xml:space="preserve">Od 1. července 2014 jsou v ČR v rámci </w:t>
      </w:r>
      <w:r w:rsidRPr="00C83CFA">
        <w:rPr>
          <w:b/>
          <w:sz w:val="22"/>
          <w:szCs w:val="22"/>
        </w:rPr>
        <w:t xml:space="preserve">de </w:t>
      </w:r>
      <w:proofErr w:type="spellStart"/>
      <w:r w:rsidRPr="00C83CFA">
        <w:rPr>
          <w:b/>
          <w:sz w:val="22"/>
          <w:szCs w:val="22"/>
        </w:rPr>
        <w:t>minimis</w:t>
      </w:r>
      <w:proofErr w:type="spellEnd"/>
      <w:r w:rsidRPr="00C83CFA">
        <w:rPr>
          <w:rStyle w:val="Znakapoznpodarou"/>
          <w:sz w:val="22"/>
          <w:szCs w:val="22"/>
        </w:rPr>
        <w:footnoteReference w:id="9"/>
      </w:r>
      <w:r w:rsidRPr="00C83CFA">
        <w:rPr>
          <w:sz w:val="22"/>
          <w:szCs w:val="22"/>
        </w:rPr>
        <w:t xml:space="preserve"> aplikovány tyto právní předpisy:</w:t>
      </w:r>
    </w:p>
    <w:p w:rsidR="00C83CFA" w:rsidRPr="00C83CFA" w:rsidRDefault="00C83CFA" w:rsidP="00C83CFA">
      <w:pPr>
        <w:numPr>
          <w:ilvl w:val="0"/>
          <w:numId w:val="49"/>
        </w:numPr>
        <w:jc w:val="both"/>
        <w:rPr>
          <w:sz w:val="22"/>
          <w:szCs w:val="22"/>
        </w:rPr>
      </w:pPr>
      <w:r w:rsidRPr="00C83CFA">
        <w:rPr>
          <w:sz w:val="22"/>
          <w:szCs w:val="22"/>
        </w:rPr>
        <w:t xml:space="preserve">Nařízení Komise (EU) č. 360/2012 ze dne 25. dubna 2012 o použití článků 107 </w:t>
      </w:r>
      <w:r w:rsidRPr="00C83CFA">
        <w:rPr>
          <w:sz w:val="22"/>
          <w:szCs w:val="22"/>
        </w:rPr>
        <w:br/>
        <w:t xml:space="preserve">a 108 Smlouvy o fungování Evropské unie na podporu de </w:t>
      </w:r>
      <w:proofErr w:type="spellStart"/>
      <w:r w:rsidRPr="00C83CFA">
        <w:rPr>
          <w:sz w:val="22"/>
          <w:szCs w:val="22"/>
        </w:rPr>
        <w:t>minimis</w:t>
      </w:r>
      <w:proofErr w:type="spellEnd"/>
      <w:r w:rsidRPr="00C83CFA">
        <w:rPr>
          <w:sz w:val="22"/>
          <w:szCs w:val="22"/>
        </w:rPr>
        <w:t xml:space="preserve"> udílenou podnikům poskytujícím služby obecného hospodářského zájmu (platné od 28. dubna 2012),</w:t>
      </w:r>
    </w:p>
    <w:p w:rsidR="00C83CFA" w:rsidRPr="00C83CFA" w:rsidRDefault="00C83CFA" w:rsidP="00C83CFA">
      <w:pPr>
        <w:numPr>
          <w:ilvl w:val="0"/>
          <w:numId w:val="49"/>
        </w:numPr>
        <w:jc w:val="both"/>
        <w:rPr>
          <w:sz w:val="22"/>
          <w:szCs w:val="22"/>
        </w:rPr>
      </w:pPr>
      <w:r w:rsidRPr="00C83CFA">
        <w:rPr>
          <w:sz w:val="22"/>
          <w:szCs w:val="22"/>
        </w:rPr>
        <w:t xml:space="preserve">Nařízení Komise (EU) č. 1407/2013 ze dne 18. prosince 2013 o použití článků 107 </w:t>
      </w:r>
      <w:r w:rsidRPr="00C83CFA">
        <w:rPr>
          <w:sz w:val="22"/>
          <w:szCs w:val="22"/>
        </w:rPr>
        <w:br/>
        <w:t xml:space="preserve">a 108 Smlouvy o fungování Evropské unie na podporu de </w:t>
      </w:r>
      <w:proofErr w:type="spellStart"/>
      <w:r w:rsidRPr="00C83CFA">
        <w:rPr>
          <w:sz w:val="22"/>
          <w:szCs w:val="22"/>
        </w:rPr>
        <w:t>minimis</w:t>
      </w:r>
      <w:proofErr w:type="spellEnd"/>
      <w:r w:rsidRPr="00C83CFA">
        <w:rPr>
          <w:sz w:val="22"/>
          <w:szCs w:val="22"/>
        </w:rPr>
        <w:t>,</w:t>
      </w:r>
    </w:p>
    <w:p w:rsidR="00C83CFA" w:rsidRPr="00C83CFA" w:rsidRDefault="00C83CFA" w:rsidP="00C83CFA">
      <w:pPr>
        <w:numPr>
          <w:ilvl w:val="0"/>
          <w:numId w:val="49"/>
        </w:numPr>
        <w:jc w:val="both"/>
        <w:rPr>
          <w:sz w:val="22"/>
          <w:szCs w:val="22"/>
        </w:rPr>
      </w:pPr>
      <w:r w:rsidRPr="00C83CFA">
        <w:rPr>
          <w:sz w:val="22"/>
          <w:szCs w:val="22"/>
        </w:rPr>
        <w:t xml:space="preserve">Nařízení Komise (EU) č. 1408/2013 ze dne 18. prosince 2013 o použití článků 107 </w:t>
      </w:r>
      <w:r w:rsidRPr="00C83CFA">
        <w:rPr>
          <w:sz w:val="22"/>
          <w:szCs w:val="22"/>
        </w:rPr>
        <w:br/>
        <w:t xml:space="preserve">a 108 Smlouvy o fungování Evropské unie na podporu de </w:t>
      </w:r>
      <w:proofErr w:type="spellStart"/>
      <w:r w:rsidRPr="00C83CFA">
        <w:rPr>
          <w:sz w:val="22"/>
          <w:szCs w:val="22"/>
        </w:rPr>
        <w:t>minimis</w:t>
      </w:r>
      <w:proofErr w:type="spellEnd"/>
      <w:r w:rsidRPr="00C83CFA">
        <w:rPr>
          <w:sz w:val="22"/>
          <w:szCs w:val="22"/>
        </w:rPr>
        <w:t xml:space="preserve"> v odvětví zemědělství,</w:t>
      </w:r>
    </w:p>
    <w:p w:rsidR="00C83CFA" w:rsidRDefault="00C83CFA" w:rsidP="00C83CFA">
      <w:pPr>
        <w:numPr>
          <w:ilvl w:val="0"/>
          <w:numId w:val="49"/>
        </w:numPr>
        <w:jc w:val="both"/>
        <w:rPr>
          <w:sz w:val="22"/>
          <w:szCs w:val="22"/>
        </w:rPr>
      </w:pPr>
      <w:r w:rsidRPr="00C83CFA">
        <w:rPr>
          <w:sz w:val="22"/>
          <w:szCs w:val="22"/>
        </w:rPr>
        <w:t xml:space="preserve">Nařízení Komise (EU) č. 717/2014 ze dne 27. června 2014 o použití článků 107 </w:t>
      </w:r>
      <w:r w:rsidRPr="00C83CFA">
        <w:rPr>
          <w:sz w:val="22"/>
          <w:szCs w:val="22"/>
        </w:rPr>
        <w:br/>
        <w:t xml:space="preserve">a 108 Smlouvy o fungování Evropské unie na podporu de </w:t>
      </w:r>
      <w:proofErr w:type="spellStart"/>
      <w:r w:rsidRPr="00C83CFA">
        <w:rPr>
          <w:sz w:val="22"/>
          <w:szCs w:val="22"/>
        </w:rPr>
        <w:t>minimis</w:t>
      </w:r>
      <w:proofErr w:type="spellEnd"/>
      <w:r w:rsidRPr="00C83CFA">
        <w:rPr>
          <w:sz w:val="22"/>
          <w:szCs w:val="22"/>
        </w:rPr>
        <w:t xml:space="preserve"> v odvětví rybolovu </w:t>
      </w:r>
      <w:r w:rsidRPr="00C83CFA">
        <w:rPr>
          <w:sz w:val="22"/>
          <w:szCs w:val="22"/>
        </w:rPr>
        <w:br/>
        <w:t>a akvakultury.</w:t>
      </w:r>
    </w:p>
    <w:p w:rsidR="003A52DA" w:rsidRPr="00C83CFA" w:rsidRDefault="003A52DA" w:rsidP="003A52DA">
      <w:pPr>
        <w:ind w:left="720"/>
        <w:jc w:val="both"/>
        <w:rPr>
          <w:sz w:val="22"/>
          <w:szCs w:val="22"/>
        </w:rPr>
      </w:pPr>
    </w:p>
    <w:p w:rsidR="0088001E" w:rsidRPr="00C83CFA" w:rsidRDefault="0088001E" w:rsidP="0088001E">
      <w:pPr>
        <w:jc w:val="both"/>
        <w:rPr>
          <w:sz w:val="22"/>
          <w:szCs w:val="22"/>
        </w:rPr>
      </w:pPr>
      <w:r w:rsidRPr="00C83CFA">
        <w:rPr>
          <w:sz w:val="22"/>
          <w:szCs w:val="22"/>
        </w:rPr>
        <w:t xml:space="preserve">V oblasti blokových výjimek </w:t>
      </w:r>
      <w:r>
        <w:rPr>
          <w:sz w:val="22"/>
          <w:szCs w:val="22"/>
        </w:rPr>
        <w:t>bylo</w:t>
      </w:r>
      <w:r w:rsidRPr="00C83CFA">
        <w:rPr>
          <w:sz w:val="22"/>
          <w:szCs w:val="22"/>
        </w:rPr>
        <w:t xml:space="preserve"> přij</w:t>
      </w:r>
      <w:r>
        <w:rPr>
          <w:sz w:val="22"/>
          <w:szCs w:val="22"/>
        </w:rPr>
        <w:t>a</w:t>
      </w:r>
      <w:r w:rsidRPr="00C83CFA">
        <w:rPr>
          <w:sz w:val="22"/>
          <w:szCs w:val="22"/>
        </w:rPr>
        <w:t>t</w:t>
      </w:r>
      <w:r>
        <w:rPr>
          <w:sz w:val="22"/>
          <w:szCs w:val="22"/>
        </w:rPr>
        <w:t>o</w:t>
      </w:r>
      <w:r w:rsidRPr="00C83CFA">
        <w:rPr>
          <w:sz w:val="22"/>
          <w:szCs w:val="22"/>
        </w:rPr>
        <w:t xml:space="preserve"> klíčové Nařízení Komise (EU) č. 651/2014 ze dne 17. června 2014, kterým se</w:t>
      </w:r>
      <w:r>
        <w:rPr>
          <w:sz w:val="22"/>
          <w:szCs w:val="22"/>
        </w:rPr>
        <w:t xml:space="preserve"> </w:t>
      </w:r>
      <w:r w:rsidRPr="00C83CFA">
        <w:rPr>
          <w:sz w:val="22"/>
          <w:szCs w:val="22"/>
        </w:rPr>
        <w:t>v souladu s čl. 107 a 108 Smlouvy prohlašují určité kategorie podpory za slučitelné</w:t>
      </w:r>
      <w:r>
        <w:rPr>
          <w:sz w:val="22"/>
          <w:szCs w:val="22"/>
        </w:rPr>
        <w:t xml:space="preserve"> </w:t>
      </w:r>
      <w:r w:rsidRPr="00C83CFA">
        <w:rPr>
          <w:sz w:val="22"/>
          <w:szCs w:val="22"/>
        </w:rPr>
        <w:t>s vnitřním trhem (tzv. Obecné nařízení o blokových výjimkách) s</w:t>
      </w:r>
      <w:r>
        <w:rPr>
          <w:sz w:val="22"/>
          <w:szCs w:val="22"/>
        </w:rPr>
        <w:t> </w:t>
      </w:r>
      <w:r w:rsidRPr="00C83CFA">
        <w:rPr>
          <w:sz w:val="22"/>
          <w:szCs w:val="22"/>
        </w:rPr>
        <w:t>účinností</w:t>
      </w:r>
      <w:r>
        <w:rPr>
          <w:sz w:val="22"/>
          <w:szCs w:val="22"/>
        </w:rPr>
        <w:t xml:space="preserve"> </w:t>
      </w:r>
      <w:r w:rsidRPr="00C83CFA">
        <w:rPr>
          <w:sz w:val="22"/>
          <w:szCs w:val="22"/>
        </w:rPr>
        <w:t>od 1. července 2014.</w:t>
      </w:r>
    </w:p>
    <w:p w:rsidR="00C83CFA" w:rsidRDefault="00C83CFA" w:rsidP="000524F5">
      <w:pPr>
        <w:jc w:val="both"/>
        <w:rPr>
          <w:b/>
          <w:sz w:val="22"/>
          <w:szCs w:val="22"/>
        </w:rPr>
      </w:pPr>
    </w:p>
    <w:p w:rsidR="000524F5" w:rsidRPr="0021725A" w:rsidRDefault="0021725A" w:rsidP="000524F5">
      <w:pPr>
        <w:jc w:val="both"/>
        <w:rPr>
          <w:sz w:val="22"/>
          <w:szCs w:val="22"/>
          <w:u w:val="single"/>
        </w:rPr>
      </w:pPr>
      <w:r w:rsidRPr="0021725A">
        <w:rPr>
          <w:sz w:val="22"/>
          <w:szCs w:val="22"/>
          <w:u w:val="single"/>
        </w:rPr>
        <w:t>Pravidla hospodářské soutěže v</w:t>
      </w:r>
      <w:r>
        <w:rPr>
          <w:sz w:val="22"/>
          <w:szCs w:val="22"/>
          <w:u w:val="single"/>
        </w:rPr>
        <w:t xml:space="preserve"> </w:t>
      </w:r>
      <w:r w:rsidRPr="0021725A">
        <w:rPr>
          <w:sz w:val="22"/>
          <w:szCs w:val="22"/>
          <w:u w:val="single"/>
        </w:rPr>
        <w:t xml:space="preserve">IOP </w:t>
      </w:r>
    </w:p>
    <w:p w:rsidR="000524F5" w:rsidRPr="00042054" w:rsidRDefault="000524F5" w:rsidP="000524F5">
      <w:pPr>
        <w:jc w:val="both"/>
        <w:rPr>
          <w:sz w:val="22"/>
          <w:szCs w:val="22"/>
        </w:rPr>
      </w:pPr>
      <w:r w:rsidRPr="00042054">
        <w:rPr>
          <w:sz w:val="22"/>
          <w:szCs w:val="22"/>
        </w:rPr>
        <w:t xml:space="preserve">Ve smyslu zákona č. 215/2004 Sb., o úpravě některých vztahů v oblasti veřejné podpory, v platném znění, a zákona č.137/2006 Sb., o veřejných zakázkách, v platném znění, ÚOHS zabezpečuje mimo jiné koordinaci a monitoring v oblasti veřejných zakázek a veřejné podpory. Novelami zákona </w:t>
      </w:r>
      <w:r w:rsidR="0021725A">
        <w:rPr>
          <w:sz w:val="22"/>
          <w:szCs w:val="22"/>
        </w:rPr>
        <w:br/>
      </w:r>
      <w:r w:rsidRPr="00042054">
        <w:rPr>
          <w:sz w:val="22"/>
          <w:szCs w:val="22"/>
        </w:rPr>
        <w:t xml:space="preserve">č. 215/2004 Sb. provedenými zákonem č. 109/2009 Sb. včetně navazující prováděcí vyhlášky </w:t>
      </w:r>
      <w:r w:rsidR="0021725A">
        <w:rPr>
          <w:sz w:val="22"/>
          <w:szCs w:val="22"/>
        </w:rPr>
        <w:br/>
      </w:r>
      <w:r w:rsidRPr="00042054">
        <w:rPr>
          <w:sz w:val="22"/>
          <w:szCs w:val="22"/>
        </w:rPr>
        <w:t>č. 465/2009 Sb. z 15.</w:t>
      </w:r>
      <w:r>
        <w:rPr>
          <w:sz w:val="22"/>
          <w:szCs w:val="22"/>
        </w:rPr>
        <w:t xml:space="preserve"> </w:t>
      </w:r>
      <w:r w:rsidRPr="00042054">
        <w:rPr>
          <w:sz w:val="22"/>
          <w:szCs w:val="22"/>
        </w:rPr>
        <w:t>12.</w:t>
      </w:r>
      <w:r>
        <w:rPr>
          <w:sz w:val="22"/>
          <w:szCs w:val="22"/>
        </w:rPr>
        <w:t xml:space="preserve"> </w:t>
      </w:r>
      <w:r w:rsidRPr="00042054">
        <w:rPr>
          <w:sz w:val="22"/>
          <w:szCs w:val="22"/>
        </w:rPr>
        <w:t>2009</w:t>
      </w:r>
      <w:r w:rsidR="0021725A">
        <w:rPr>
          <w:sz w:val="22"/>
          <w:szCs w:val="22"/>
        </w:rPr>
        <w:t xml:space="preserve"> </w:t>
      </w:r>
      <w:r w:rsidRPr="00042054">
        <w:rPr>
          <w:sz w:val="22"/>
          <w:szCs w:val="22"/>
        </w:rPr>
        <w:t xml:space="preserve">a zákonem č. 236/2012 Sb. byl v České republice zřízen centrální registr podpor malého rozsahu, do kterého jsou od 1. ledna 2010 všichni poskytovatelé povinni zaznamenávat údaje o podporách malého rozsahu. V IOP se tato povinnost vztahuje na oblast intervence 3.1 Služby v oblasti sociální integrace, aktivita 3.1c) Sociální ekonomika, kde je poskytovatelem dotace MPSV. </w:t>
      </w:r>
    </w:p>
    <w:p w:rsidR="000524F5" w:rsidRPr="00042054" w:rsidRDefault="000524F5" w:rsidP="000524F5">
      <w:pPr>
        <w:jc w:val="both"/>
        <w:rPr>
          <w:sz w:val="22"/>
          <w:szCs w:val="22"/>
        </w:rPr>
      </w:pPr>
    </w:p>
    <w:p w:rsidR="00915D52" w:rsidRDefault="000524F5" w:rsidP="00915D52">
      <w:pPr>
        <w:jc w:val="both"/>
        <w:rPr>
          <w:sz w:val="22"/>
          <w:szCs w:val="22"/>
        </w:rPr>
      </w:pPr>
      <w:r w:rsidRPr="00042054">
        <w:rPr>
          <w:sz w:val="22"/>
          <w:szCs w:val="22"/>
        </w:rPr>
        <w:t>Dodržování pravidel hospodářské soutěže je zakomponováno</w:t>
      </w:r>
      <w:r>
        <w:rPr>
          <w:sz w:val="22"/>
          <w:szCs w:val="22"/>
        </w:rPr>
        <w:t xml:space="preserve"> </w:t>
      </w:r>
      <w:r w:rsidRPr="00042054">
        <w:rPr>
          <w:sz w:val="22"/>
          <w:szCs w:val="22"/>
        </w:rPr>
        <w:t xml:space="preserve">do kontrol přijatelnosti žádostí </w:t>
      </w:r>
      <w:r>
        <w:rPr>
          <w:sz w:val="22"/>
          <w:szCs w:val="22"/>
        </w:rPr>
        <w:br/>
      </w:r>
      <w:r w:rsidRPr="00042054">
        <w:rPr>
          <w:sz w:val="22"/>
          <w:szCs w:val="22"/>
        </w:rPr>
        <w:t xml:space="preserve">o poskytnutí dotace, do analýz rizik projektů a do kontrolních listů pro provádění administrativních kontrol a kontrol na místě. Povinnou součástí výzvy k předkládání </w:t>
      </w:r>
      <w:r>
        <w:rPr>
          <w:sz w:val="22"/>
          <w:szCs w:val="22"/>
        </w:rPr>
        <w:t>žádostí o dotaci</w:t>
      </w:r>
      <w:r w:rsidRPr="00042054">
        <w:rPr>
          <w:sz w:val="22"/>
          <w:szCs w:val="22"/>
        </w:rPr>
        <w:t xml:space="preserve"> a příručky pro žadatele a příjemce je podle Operačního manuálu IOP informace o pravidlech zadávání zakázek</w:t>
      </w:r>
      <w:r>
        <w:rPr>
          <w:sz w:val="22"/>
          <w:szCs w:val="22"/>
        </w:rPr>
        <w:t xml:space="preserve"> </w:t>
      </w:r>
      <w:r>
        <w:rPr>
          <w:sz w:val="22"/>
          <w:szCs w:val="22"/>
        </w:rPr>
        <w:br/>
        <w:t>a veřejné podpory</w:t>
      </w:r>
      <w:r w:rsidRPr="00042054">
        <w:rPr>
          <w:sz w:val="22"/>
          <w:szCs w:val="22"/>
        </w:rPr>
        <w:t xml:space="preserve">. </w:t>
      </w:r>
      <w:bookmarkStart w:id="64" w:name="_Toc198369908"/>
      <w:bookmarkStart w:id="65" w:name="_Toc200774700"/>
    </w:p>
    <w:p w:rsidR="00915D52" w:rsidRDefault="00915D52" w:rsidP="00915D52">
      <w:pPr>
        <w:jc w:val="both"/>
        <w:rPr>
          <w:sz w:val="22"/>
          <w:szCs w:val="22"/>
        </w:rPr>
      </w:pPr>
    </w:p>
    <w:p w:rsidR="00915D52" w:rsidRDefault="00915D52" w:rsidP="00915D52">
      <w:pPr>
        <w:jc w:val="both"/>
        <w:rPr>
          <w:sz w:val="22"/>
          <w:szCs w:val="22"/>
        </w:rPr>
      </w:pPr>
    </w:p>
    <w:p w:rsidR="00915D52" w:rsidRDefault="00915D52" w:rsidP="00915D52">
      <w:pPr>
        <w:jc w:val="both"/>
        <w:rPr>
          <w:sz w:val="22"/>
          <w:szCs w:val="22"/>
        </w:rPr>
      </w:pPr>
    </w:p>
    <w:p w:rsidR="00915D52" w:rsidRDefault="00915D52" w:rsidP="00915D52">
      <w:pPr>
        <w:jc w:val="both"/>
        <w:rPr>
          <w:sz w:val="22"/>
          <w:szCs w:val="22"/>
        </w:rPr>
      </w:pPr>
    </w:p>
    <w:p w:rsidR="00915D52" w:rsidRDefault="00915D52" w:rsidP="00915D52">
      <w:pPr>
        <w:jc w:val="both"/>
        <w:rPr>
          <w:sz w:val="22"/>
          <w:szCs w:val="22"/>
        </w:rPr>
      </w:pPr>
    </w:p>
    <w:p w:rsidR="00915D52" w:rsidRDefault="00915D52" w:rsidP="00915D52">
      <w:pPr>
        <w:jc w:val="both"/>
        <w:rPr>
          <w:sz w:val="22"/>
          <w:szCs w:val="22"/>
        </w:rPr>
      </w:pPr>
    </w:p>
    <w:p w:rsidR="00915D52" w:rsidRDefault="00915D52" w:rsidP="00915D52">
      <w:pPr>
        <w:jc w:val="both"/>
        <w:rPr>
          <w:sz w:val="22"/>
          <w:szCs w:val="22"/>
        </w:rPr>
      </w:pPr>
    </w:p>
    <w:p w:rsidR="000524F5" w:rsidRDefault="000524F5" w:rsidP="00915D52">
      <w:pPr>
        <w:jc w:val="both"/>
        <w:rPr>
          <w:b/>
          <w:sz w:val="22"/>
          <w:szCs w:val="22"/>
        </w:rPr>
      </w:pPr>
      <w:r w:rsidRPr="008C4750">
        <w:rPr>
          <w:b/>
          <w:sz w:val="22"/>
          <w:szCs w:val="22"/>
        </w:rPr>
        <w:lastRenderedPageBreak/>
        <w:t>Zadávání zakázek</w:t>
      </w:r>
      <w:bookmarkEnd w:id="64"/>
      <w:bookmarkEnd w:id="65"/>
      <w:r w:rsidRPr="008C4750">
        <w:rPr>
          <w:b/>
          <w:sz w:val="22"/>
          <w:szCs w:val="22"/>
        </w:rPr>
        <w:t xml:space="preserve"> </w:t>
      </w:r>
    </w:p>
    <w:p w:rsidR="00915D52" w:rsidRDefault="00C4393C" w:rsidP="00C4393C">
      <w:pPr>
        <w:keepNext/>
        <w:jc w:val="both"/>
        <w:rPr>
          <w:sz w:val="22"/>
          <w:szCs w:val="22"/>
        </w:rPr>
      </w:pPr>
      <w:r w:rsidRPr="0088476C">
        <w:rPr>
          <w:sz w:val="22"/>
          <w:szCs w:val="22"/>
        </w:rPr>
        <w:t xml:space="preserve">V případě zadávání veřejných zakázek vyplývá z programové dokumentace </w:t>
      </w:r>
      <w:r>
        <w:rPr>
          <w:sz w:val="22"/>
          <w:szCs w:val="22"/>
        </w:rPr>
        <w:t>I</w:t>
      </w:r>
      <w:r w:rsidRPr="0088476C">
        <w:rPr>
          <w:sz w:val="22"/>
          <w:szCs w:val="22"/>
        </w:rPr>
        <w:t xml:space="preserve">OP pro všechny příjemce povinnost postupovat v souladu se zákonem č. 137/2006 Sb., o veřejných zakázkách, ve znění pozdějších předpisů, který </w:t>
      </w:r>
      <w:r>
        <w:rPr>
          <w:sz w:val="22"/>
          <w:szCs w:val="22"/>
        </w:rPr>
        <w:t>transponoval</w:t>
      </w:r>
      <w:r w:rsidRPr="0088476C">
        <w:rPr>
          <w:sz w:val="22"/>
          <w:szCs w:val="22"/>
        </w:rPr>
        <w:t xml:space="preserve"> evropské zadávací směrnice 2004/17/ES a 2004/18/ES</w:t>
      </w:r>
      <w:r>
        <w:rPr>
          <w:sz w:val="22"/>
          <w:szCs w:val="22"/>
        </w:rPr>
        <w:t xml:space="preserve">. </w:t>
      </w:r>
    </w:p>
    <w:p w:rsidR="00915D52" w:rsidRDefault="00915D52" w:rsidP="00C4393C">
      <w:pPr>
        <w:keepNext/>
        <w:jc w:val="both"/>
        <w:rPr>
          <w:sz w:val="22"/>
          <w:szCs w:val="22"/>
        </w:rPr>
      </w:pPr>
    </w:p>
    <w:p w:rsidR="009E1DD6" w:rsidRDefault="00C4393C" w:rsidP="00C4393C">
      <w:pPr>
        <w:keepNext/>
        <w:jc w:val="both"/>
        <w:rPr>
          <w:sz w:val="22"/>
          <w:szCs w:val="22"/>
        </w:rPr>
      </w:pPr>
      <w:r>
        <w:rPr>
          <w:sz w:val="22"/>
          <w:szCs w:val="22"/>
        </w:rPr>
        <w:t xml:space="preserve">Zadávání zakázek mimo režim zákona o veřejných zakázkách upravuji </w:t>
      </w:r>
      <w:r w:rsidRPr="002A24E9">
        <w:rPr>
          <w:sz w:val="22"/>
          <w:szCs w:val="22"/>
        </w:rPr>
        <w:t xml:space="preserve">Závazné postupy pro zadávání zakázek spolufinancovaných ze zdrojů EU, nespadajících pod aplikaci zákona č. 137/2006 Sb., </w:t>
      </w:r>
      <w:r w:rsidR="003054AD">
        <w:rPr>
          <w:sz w:val="22"/>
          <w:szCs w:val="22"/>
        </w:rPr>
        <w:br/>
      </w:r>
      <w:r w:rsidRPr="002A24E9">
        <w:rPr>
          <w:sz w:val="22"/>
          <w:szCs w:val="22"/>
        </w:rPr>
        <w:t>o veřejných zakázkách, v programovém období 2007 – 2013</w:t>
      </w:r>
      <w:r>
        <w:rPr>
          <w:sz w:val="22"/>
          <w:szCs w:val="22"/>
        </w:rPr>
        <w:t>, a některé další povinnosti mohou být stanoveny v Příručkách pro žadatele a příjemce.</w:t>
      </w:r>
    </w:p>
    <w:p w:rsidR="009E1DD6" w:rsidRDefault="009E1DD6" w:rsidP="00C4393C">
      <w:pPr>
        <w:keepNext/>
        <w:jc w:val="both"/>
        <w:rPr>
          <w:sz w:val="22"/>
          <w:szCs w:val="22"/>
        </w:rPr>
      </w:pPr>
    </w:p>
    <w:p w:rsidR="00C4393C" w:rsidRPr="00042054" w:rsidRDefault="00C4393C" w:rsidP="00C4393C">
      <w:pPr>
        <w:keepNext/>
        <w:jc w:val="both"/>
        <w:rPr>
          <w:sz w:val="22"/>
          <w:szCs w:val="22"/>
        </w:rPr>
      </w:pPr>
      <w:r>
        <w:rPr>
          <w:sz w:val="22"/>
          <w:szCs w:val="22"/>
        </w:rPr>
        <w:t xml:space="preserve">K 1. červnu 2014 byly aktualizovány </w:t>
      </w:r>
      <w:r w:rsidRPr="002A24E9">
        <w:rPr>
          <w:sz w:val="22"/>
          <w:szCs w:val="22"/>
        </w:rPr>
        <w:t>Závaz</w:t>
      </w:r>
      <w:r>
        <w:rPr>
          <w:sz w:val="22"/>
          <w:szCs w:val="22"/>
        </w:rPr>
        <w:t>né</w:t>
      </w:r>
      <w:r w:rsidRPr="002A24E9">
        <w:rPr>
          <w:sz w:val="22"/>
          <w:szCs w:val="22"/>
        </w:rPr>
        <w:t xml:space="preserve"> postup</w:t>
      </w:r>
      <w:r>
        <w:rPr>
          <w:sz w:val="22"/>
          <w:szCs w:val="22"/>
        </w:rPr>
        <w:t>y</w:t>
      </w:r>
      <w:r w:rsidRPr="002A24E9">
        <w:rPr>
          <w:sz w:val="22"/>
          <w:szCs w:val="22"/>
        </w:rPr>
        <w:t xml:space="preserve"> pro zadávání zakázek spolufinancovaných </w:t>
      </w:r>
      <w:r w:rsidR="00D75362">
        <w:rPr>
          <w:sz w:val="22"/>
          <w:szCs w:val="22"/>
        </w:rPr>
        <w:br/>
      </w:r>
      <w:r w:rsidRPr="002A24E9">
        <w:rPr>
          <w:sz w:val="22"/>
          <w:szCs w:val="22"/>
        </w:rPr>
        <w:t>ze zdrojů EU, nespadajících pod aplikaci zákona č. 137/2006 Sb., o veřejných zakázkách, v programovém období 2007 – 2013</w:t>
      </w:r>
      <w:r>
        <w:rPr>
          <w:sz w:val="22"/>
          <w:szCs w:val="22"/>
        </w:rPr>
        <w:t xml:space="preserve"> (dále jen „Závazné postupy“),</w:t>
      </w:r>
      <w:r w:rsidRPr="002A24E9">
        <w:rPr>
          <w:sz w:val="22"/>
          <w:szCs w:val="22"/>
        </w:rPr>
        <w:t xml:space="preserve"> v souvislosti s rozhodnutím rozhodnutí Evropské komise C(2013) 9527 k uplatňování finančních oprav, kter</w:t>
      </w:r>
      <w:r>
        <w:rPr>
          <w:sz w:val="22"/>
          <w:szCs w:val="22"/>
        </w:rPr>
        <w:t>ým</w:t>
      </w:r>
      <w:r w:rsidRPr="002A24E9">
        <w:rPr>
          <w:sz w:val="22"/>
          <w:szCs w:val="22"/>
        </w:rPr>
        <w:t xml:space="preserve"> </w:t>
      </w:r>
      <w:r>
        <w:rPr>
          <w:sz w:val="22"/>
          <w:szCs w:val="22"/>
        </w:rPr>
        <w:t>byl nahrazen</w:t>
      </w:r>
      <w:r w:rsidRPr="002A24E9">
        <w:rPr>
          <w:sz w:val="22"/>
          <w:szCs w:val="22"/>
        </w:rPr>
        <w:t xml:space="preserve"> předchozí metodický pokyn COCOF 07/0037/03 k uplatňování sankcí.</w:t>
      </w:r>
      <w:r>
        <w:rPr>
          <w:sz w:val="22"/>
          <w:szCs w:val="22"/>
        </w:rPr>
        <w:t xml:space="preserve"> Aktuální verze Závazných postupů je vždy přílohou příslušné Příručky pro žadatele a příjemce.</w:t>
      </w:r>
    </w:p>
    <w:p w:rsidR="00C4393C" w:rsidRPr="0088476C" w:rsidRDefault="00C4393C" w:rsidP="00C4393C">
      <w:pPr>
        <w:keepNext/>
        <w:jc w:val="both"/>
        <w:rPr>
          <w:sz w:val="22"/>
          <w:szCs w:val="22"/>
        </w:rPr>
      </w:pPr>
    </w:p>
    <w:p w:rsidR="00C4393C" w:rsidRPr="00A519D8" w:rsidRDefault="00C4393C" w:rsidP="00C4393C">
      <w:pPr>
        <w:keepNext/>
        <w:jc w:val="both"/>
        <w:rPr>
          <w:sz w:val="22"/>
          <w:szCs w:val="22"/>
        </w:rPr>
      </w:pPr>
      <w:r w:rsidRPr="00A519D8">
        <w:rPr>
          <w:sz w:val="22"/>
          <w:szCs w:val="22"/>
        </w:rPr>
        <w:t xml:space="preserve">Zákonné opatření senátu 341/2013 Sb., které nabylo účinnosti 1. ledna 2014, přineslo do </w:t>
      </w:r>
      <w:r>
        <w:rPr>
          <w:sz w:val="22"/>
          <w:szCs w:val="22"/>
        </w:rPr>
        <w:t xml:space="preserve">zákona </w:t>
      </w:r>
      <w:r w:rsidR="003054AD">
        <w:rPr>
          <w:sz w:val="22"/>
          <w:szCs w:val="22"/>
        </w:rPr>
        <w:br/>
      </w:r>
      <w:r>
        <w:rPr>
          <w:sz w:val="22"/>
          <w:szCs w:val="22"/>
        </w:rPr>
        <w:t>o veřejných zakázkách</w:t>
      </w:r>
      <w:r w:rsidRPr="00A519D8">
        <w:rPr>
          <w:sz w:val="22"/>
          <w:szCs w:val="22"/>
        </w:rPr>
        <w:t xml:space="preserve"> následující změny - zvýšení limitu pro zakázky malého rozsahu na dodávky </w:t>
      </w:r>
      <w:r w:rsidR="00D75362">
        <w:rPr>
          <w:sz w:val="22"/>
          <w:szCs w:val="22"/>
        </w:rPr>
        <w:br/>
      </w:r>
      <w:r w:rsidRPr="00A519D8">
        <w:rPr>
          <w:sz w:val="22"/>
          <w:szCs w:val="22"/>
        </w:rPr>
        <w:t xml:space="preserve">a služby z 1 mil. Kč na 2 mil. Kč a na stavební práce z 3 mil. Kč na 6 mil. Kč, nový mechanismus, který umožňuje pokračovat v zadávacím řízení a zadat zakázku i v případě, že zadavatel obdrží pouze jednu nabídku, zrušení institutu osoby se zvláštní způsobilostí </w:t>
      </w:r>
      <w:r>
        <w:rPr>
          <w:sz w:val="22"/>
          <w:szCs w:val="22"/>
        </w:rPr>
        <w:t xml:space="preserve">a </w:t>
      </w:r>
      <w:r w:rsidRPr="00A519D8">
        <w:rPr>
          <w:sz w:val="22"/>
          <w:szCs w:val="22"/>
        </w:rPr>
        <w:t>povinnost</w:t>
      </w:r>
      <w:r>
        <w:rPr>
          <w:sz w:val="22"/>
          <w:szCs w:val="22"/>
        </w:rPr>
        <w:t>i</w:t>
      </w:r>
      <w:r w:rsidRPr="00A519D8">
        <w:rPr>
          <w:sz w:val="22"/>
          <w:szCs w:val="22"/>
        </w:rPr>
        <w:t xml:space="preserve"> zveřejnit předběžné oznámení v případě opakovaných zadávacích řízení. </w:t>
      </w:r>
    </w:p>
    <w:p w:rsidR="00C4393C" w:rsidRPr="0088476C" w:rsidRDefault="00C4393C" w:rsidP="00C4393C">
      <w:pPr>
        <w:keepNext/>
        <w:jc w:val="both"/>
        <w:rPr>
          <w:sz w:val="22"/>
          <w:szCs w:val="22"/>
        </w:rPr>
      </w:pPr>
    </w:p>
    <w:p w:rsidR="0088001E" w:rsidRPr="0088476C" w:rsidRDefault="0088001E" w:rsidP="0088001E">
      <w:pPr>
        <w:keepNext/>
        <w:jc w:val="both"/>
        <w:rPr>
          <w:sz w:val="22"/>
          <w:szCs w:val="22"/>
        </w:rPr>
      </w:pPr>
      <w:r w:rsidRPr="0088476C">
        <w:rPr>
          <w:sz w:val="22"/>
          <w:szCs w:val="22"/>
        </w:rPr>
        <w:t xml:space="preserve">Transparentní zadávání veřejných zakázek je jedním z hlavních principů implementace </w:t>
      </w:r>
      <w:r w:rsidR="00D75362">
        <w:rPr>
          <w:sz w:val="22"/>
          <w:szCs w:val="22"/>
        </w:rPr>
        <w:br/>
      </w:r>
      <w:r w:rsidRPr="0088476C">
        <w:rPr>
          <w:sz w:val="22"/>
          <w:szCs w:val="22"/>
        </w:rPr>
        <w:t xml:space="preserve">OP spolufinancovaných z rozpočtu EU, který </w:t>
      </w:r>
      <w:r>
        <w:rPr>
          <w:sz w:val="22"/>
          <w:szCs w:val="22"/>
        </w:rPr>
        <w:t>po</w:t>
      </w:r>
      <w:r w:rsidRPr="0088476C">
        <w:rPr>
          <w:sz w:val="22"/>
          <w:szCs w:val="22"/>
        </w:rPr>
        <w:t>dle legislativy EU musí být striktně dodržován, kontrolován</w:t>
      </w:r>
      <w:r>
        <w:rPr>
          <w:sz w:val="22"/>
          <w:szCs w:val="22"/>
        </w:rPr>
        <w:t xml:space="preserve"> </w:t>
      </w:r>
      <w:r w:rsidRPr="0088476C">
        <w:rPr>
          <w:sz w:val="22"/>
          <w:szCs w:val="22"/>
        </w:rPr>
        <w:t>a při jeho porušení mají být stanoveny adekvátní sankce</w:t>
      </w:r>
    </w:p>
    <w:p w:rsidR="0088001E" w:rsidRPr="00042054" w:rsidRDefault="0088001E" w:rsidP="0088001E">
      <w:pPr>
        <w:keepNext/>
        <w:jc w:val="both"/>
        <w:rPr>
          <w:sz w:val="22"/>
          <w:szCs w:val="22"/>
        </w:rPr>
      </w:pPr>
    </w:p>
    <w:p w:rsidR="0088001E" w:rsidRPr="00042054" w:rsidRDefault="0088001E" w:rsidP="0088001E">
      <w:pPr>
        <w:jc w:val="both"/>
        <w:rPr>
          <w:sz w:val="22"/>
          <w:szCs w:val="22"/>
        </w:rPr>
      </w:pPr>
      <w:r>
        <w:rPr>
          <w:sz w:val="22"/>
          <w:szCs w:val="22"/>
        </w:rPr>
        <w:t>V průběhu roku 2014 Ř</w:t>
      </w:r>
      <w:r w:rsidRPr="00042054">
        <w:rPr>
          <w:sz w:val="22"/>
          <w:szCs w:val="22"/>
        </w:rPr>
        <w:t>O IOP</w:t>
      </w:r>
      <w:r>
        <w:rPr>
          <w:sz w:val="22"/>
          <w:szCs w:val="22"/>
        </w:rPr>
        <w:t xml:space="preserve"> aktualizoval</w:t>
      </w:r>
      <w:r w:rsidRPr="00042054">
        <w:rPr>
          <w:sz w:val="22"/>
          <w:szCs w:val="22"/>
        </w:rPr>
        <w:t xml:space="preserve"> </w:t>
      </w:r>
      <w:r>
        <w:rPr>
          <w:sz w:val="22"/>
          <w:szCs w:val="22"/>
        </w:rPr>
        <w:t xml:space="preserve">metodickým pokynem č. 48 kontrolní listy k veřejným zakázkám, aby pokrývaly </w:t>
      </w:r>
      <w:r w:rsidRPr="002A639F">
        <w:rPr>
          <w:sz w:val="22"/>
          <w:szCs w:val="22"/>
        </w:rPr>
        <w:t xml:space="preserve">minimální rozsah kontroly </w:t>
      </w:r>
      <w:r>
        <w:rPr>
          <w:sz w:val="22"/>
          <w:szCs w:val="22"/>
        </w:rPr>
        <w:t>po</w:t>
      </w:r>
      <w:r w:rsidRPr="002A639F">
        <w:rPr>
          <w:sz w:val="22"/>
          <w:szCs w:val="22"/>
        </w:rPr>
        <w:t>dle kontrolních listů Evropské komise</w:t>
      </w:r>
      <w:r>
        <w:rPr>
          <w:sz w:val="22"/>
          <w:szCs w:val="22"/>
        </w:rPr>
        <w:t>. Souhrnnou informaci o metodických pokynech uvádí kapitola 2.4.</w:t>
      </w:r>
    </w:p>
    <w:p w:rsidR="00C4393C" w:rsidRPr="00042054" w:rsidRDefault="00C4393C" w:rsidP="00C4393C">
      <w:pPr>
        <w:jc w:val="both"/>
        <w:rPr>
          <w:sz w:val="22"/>
          <w:szCs w:val="22"/>
        </w:rPr>
      </w:pPr>
    </w:p>
    <w:p w:rsidR="00C4393C" w:rsidRDefault="00C4393C" w:rsidP="00C4393C">
      <w:pPr>
        <w:keepNext/>
        <w:jc w:val="both"/>
        <w:rPr>
          <w:sz w:val="22"/>
          <w:szCs w:val="22"/>
        </w:rPr>
      </w:pPr>
      <w:r w:rsidRPr="00042054">
        <w:rPr>
          <w:sz w:val="22"/>
          <w:szCs w:val="22"/>
        </w:rPr>
        <w:t>V IOP jsou prováděny kontroly všech zadávacích řízení. Příjemce je povinen předložit</w:t>
      </w:r>
      <w:r>
        <w:rPr>
          <w:sz w:val="22"/>
          <w:szCs w:val="22"/>
        </w:rPr>
        <w:t xml:space="preserve"> zadávací podmínky zakázek v režimu zákona o veřejných zakázkách ke konzultaci před vyhlášením zadávacího řízení a </w:t>
      </w:r>
      <w:r w:rsidRPr="0084255C">
        <w:rPr>
          <w:sz w:val="22"/>
          <w:szCs w:val="22"/>
        </w:rPr>
        <w:t>dokumentaci k průběhu zadávacího řízení před uzavřením smlouvy</w:t>
      </w:r>
      <w:r w:rsidRPr="00042054">
        <w:rPr>
          <w:sz w:val="22"/>
          <w:szCs w:val="22"/>
        </w:rPr>
        <w:t>.</w:t>
      </w:r>
      <w:r>
        <w:rPr>
          <w:sz w:val="22"/>
          <w:szCs w:val="22"/>
        </w:rPr>
        <w:t xml:space="preserve"> Pokud je to možné, </w:t>
      </w:r>
      <w:r w:rsidRPr="002A24E9">
        <w:rPr>
          <w:sz w:val="22"/>
          <w:szCs w:val="22"/>
        </w:rPr>
        <w:t>všechna zadávací/výběrová řízení</w:t>
      </w:r>
      <w:r>
        <w:rPr>
          <w:sz w:val="22"/>
          <w:szCs w:val="22"/>
        </w:rPr>
        <w:t xml:space="preserve"> jsou kontrolovány</w:t>
      </w:r>
      <w:r w:rsidRPr="002A24E9">
        <w:rPr>
          <w:sz w:val="22"/>
          <w:szCs w:val="22"/>
        </w:rPr>
        <w:t xml:space="preserve"> již při jejich přípravě a před uzavřením smlouvy. Všechny zakázky </w:t>
      </w:r>
      <w:r>
        <w:rPr>
          <w:sz w:val="22"/>
          <w:szCs w:val="22"/>
        </w:rPr>
        <w:t xml:space="preserve">jsou </w:t>
      </w:r>
      <w:r w:rsidRPr="002A24E9">
        <w:rPr>
          <w:sz w:val="22"/>
          <w:szCs w:val="22"/>
        </w:rPr>
        <w:t xml:space="preserve">kompletně zkontrolovány nejpozději při kontrole žádosti </w:t>
      </w:r>
      <w:r>
        <w:rPr>
          <w:sz w:val="22"/>
          <w:szCs w:val="22"/>
        </w:rPr>
        <w:br/>
      </w:r>
      <w:r w:rsidRPr="002A24E9">
        <w:rPr>
          <w:sz w:val="22"/>
          <w:szCs w:val="22"/>
        </w:rPr>
        <w:t>o platbu, bezprostředně následující po jejich zadání.</w:t>
      </w:r>
      <w:r>
        <w:rPr>
          <w:sz w:val="22"/>
          <w:szCs w:val="22"/>
        </w:rPr>
        <w:t xml:space="preserve"> </w:t>
      </w:r>
      <w:r w:rsidRPr="00042054">
        <w:rPr>
          <w:sz w:val="22"/>
          <w:szCs w:val="22"/>
        </w:rPr>
        <w:t xml:space="preserve"> ZS vyplňuje kontrolní list a zpracovává stanovisko k výběrovému nebo zadávacímu řízení, zjištěné nedostatky a návrhy na nápravná opatření projednává s</w:t>
      </w:r>
      <w:r>
        <w:rPr>
          <w:sz w:val="22"/>
          <w:szCs w:val="22"/>
        </w:rPr>
        <w:t> </w:t>
      </w:r>
      <w:r w:rsidRPr="00042054">
        <w:rPr>
          <w:sz w:val="22"/>
          <w:szCs w:val="22"/>
        </w:rPr>
        <w:t>příjemcem</w:t>
      </w:r>
      <w:r>
        <w:rPr>
          <w:sz w:val="22"/>
          <w:szCs w:val="22"/>
        </w:rPr>
        <w:t>.</w:t>
      </w:r>
    </w:p>
    <w:p w:rsidR="000524F5" w:rsidRPr="00042054" w:rsidRDefault="000524F5" w:rsidP="000524F5">
      <w:pPr>
        <w:jc w:val="both"/>
        <w:rPr>
          <w:b/>
          <w:sz w:val="22"/>
          <w:szCs w:val="22"/>
        </w:rPr>
      </w:pPr>
    </w:p>
    <w:p w:rsidR="000524F5" w:rsidRDefault="000524F5" w:rsidP="000524F5">
      <w:pPr>
        <w:jc w:val="both"/>
        <w:rPr>
          <w:b/>
          <w:sz w:val="22"/>
          <w:szCs w:val="22"/>
        </w:rPr>
      </w:pPr>
      <w:r w:rsidRPr="00042054">
        <w:rPr>
          <w:b/>
          <w:sz w:val="22"/>
          <w:szCs w:val="22"/>
        </w:rPr>
        <w:t>Veřejná podpora</w:t>
      </w:r>
    </w:p>
    <w:p w:rsidR="00007C94" w:rsidRDefault="00007C94" w:rsidP="00007C94">
      <w:pPr>
        <w:rPr>
          <w:sz w:val="22"/>
          <w:szCs w:val="22"/>
        </w:rPr>
      </w:pPr>
      <w:r w:rsidRPr="00042054">
        <w:rPr>
          <w:sz w:val="22"/>
          <w:szCs w:val="22"/>
        </w:rPr>
        <w:t>V IOP je poskytována podpora v následujících úrovních:</w:t>
      </w:r>
    </w:p>
    <w:p w:rsidR="00007C94" w:rsidRPr="00FD67F6" w:rsidRDefault="00007C94" w:rsidP="00007C94">
      <w:pPr>
        <w:numPr>
          <w:ilvl w:val="0"/>
          <w:numId w:val="17"/>
        </w:numPr>
        <w:suppressAutoHyphens/>
        <w:jc w:val="both"/>
        <w:rPr>
          <w:sz w:val="22"/>
          <w:szCs w:val="22"/>
        </w:rPr>
      </w:pPr>
      <w:r w:rsidRPr="00FD67F6">
        <w:rPr>
          <w:sz w:val="22"/>
          <w:szCs w:val="22"/>
        </w:rPr>
        <w:t xml:space="preserve">podpora kompatibilní s pravidlem de </w:t>
      </w:r>
      <w:proofErr w:type="spellStart"/>
      <w:r w:rsidRPr="00FD67F6">
        <w:rPr>
          <w:sz w:val="22"/>
          <w:szCs w:val="22"/>
        </w:rPr>
        <w:t>minimis</w:t>
      </w:r>
      <w:proofErr w:type="spellEnd"/>
      <w:r w:rsidRPr="00FD67F6">
        <w:rPr>
          <w:sz w:val="22"/>
          <w:szCs w:val="22"/>
        </w:rPr>
        <w:t xml:space="preserve"> podle nařízení Komise (ES) č.1998/2006 </w:t>
      </w:r>
      <w:r w:rsidRPr="00FD67F6">
        <w:rPr>
          <w:sz w:val="22"/>
          <w:szCs w:val="22"/>
        </w:rPr>
        <w:br/>
        <w:t xml:space="preserve">o použití článků 107 a 108 Smlouvy na podporu de </w:t>
      </w:r>
      <w:proofErr w:type="spellStart"/>
      <w:r w:rsidRPr="00FD67F6">
        <w:rPr>
          <w:sz w:val="22"/>
          <w:szCs w:val="22"/>
        </w:rPr>
        <w:t>minimis</w:t>
      </w:r>
      <w:proofErr w:type="spellEnd"/>
      <w:r w:rsidRPr="00FD67F6">
        <w:rPr>
          <w:sz w:val="22"/>
          <w:szCs w:val="22"/>
        </w:rPr>
        <w:t xml:space="preserve">; týká se aktivity 3.1c), (poskytovatelem podpory je MPSV); do centrálního registru podpor malého rozsahu musí poskytovatelé zaznamenávat od 1. ledna 2010 poskytnutí každé podpory malého rozsahu do </w:t>
      </w:r>
      <w:r w:rsidRPr="00FD67F6">
        <w:rPr>
          <w:sz w:val="22"/>
          <w:szCs w:val="22"/>
        </w:rPr>
        <w:br/>
        <w:t>5 pracovních dní ode dne vydání Rozhodnutí o poskytnutí dotace, od 1. 7. 2014 je podpora poskytována dle Nařízení Komise (EU) č. 1407/2013 ze dne 18. prosince 2013 o použití člán</w:t>
      </w:r>
      <w:r w:rsidRPr="00661F9F">
        <w:rPr>
          <w:sz w:val="22"/>
          <w:szCs w:val="22"/>
        </w:rPr>
        <w:t xml:space="preserve">ků 107 </w:t>
      </w:r>
      <w:r w:rsidRPr="00FD67F6">
        <w:rPr>
          <w:sz w:val="22"/>
          <w:szCs w:val="22"/>
        </w:rPr>
        <w:t xml:space="preserve">a 108 Smlouvy o fungování Evropské unie na podporu de </w:t>
      </w:r>
      <w:proofErr w:type="spellStart"/>
      <w:r w:rsidRPr="00FD67F6">
        <w:rPr>
          <w:sz w:val="22"/>
          <w:szCs w:val="22"/>
        </w:rPr>
        <w:t>minimis</w:t>
      </w:r>
      <w:proofErr w:type="spellEnd"/>
      <w:r w:rsidRPr="00FD67F6">
        <w:rPr>
          <w:sz w:val="22"/>
          <w:szCs w:val="22"/>
        </w:rPr>
        <w:t>,</w:t>
      </w:r>
    </w:p>
    <w:p w:rsidR="00007C94" w:rsidRPr="00042054" w:rsidRDefault="00007C94" w:rsidP="00007C94">
      <w:pPr>
        <w:tabs>
          <w:tab w:val="left" w:pos="720"/>
        </w:tabs>
        <w:suppressAutoHyphens/>
        <w:jc w:val="both"/>
        <w:rPr>
          <w:sz w:val="22"/>
          <w:szCs w:val="22"/>
        </w:rPr>
      </w:pPr>
    </w:p>
    <w:p w:rsidR="00007C94" w:rsidRDefault="00007C94" w:rsidP="00007C94">
      <w:pPr>
        <w:numPr>
          <w:ilvl w:val="0"/>
          <w:numId w:val="17"/>
        </w:numPr>
        <w:tabs>
          <w:tab w:val="left" w:pos="720"/>
        </w:tabs>
        <w:suppressAutoHyphens/>
        <w:ind w:left="714" w:hanging="357"/>
        <w:jc w:val="both"/>
        <w:rPr>
          <w:sz w:val="22"/>
          <w:szCs w:val="22"/>
        </w:rPr>
      </w:pPr>
      <w:r w:rsidRPr="00042054">
        <w:rPr>
          <w:sz w:val="22"/>
          <w:szCs w:val="22"/>
        </w:rPr>
        <w:t>podpora poskytovaná v oblasti intervence 5.2, aktivity týkající se regenerace bytových domů, schválená Evropskou komisí dne 10.</w:t>
      </w:r>
      <w:r>
        <w:rPr>
          <w:sz w:val="22"/>
          <w:szCs w:val="22"/>
        </w:rPr>
        <w:t xml:space="preserve"> 12. </w:t>
      </w:r>
      <w:r w:rsidRPr="00042054">
        <w:rPr>
          <w:sz w:val="22"/>
          <w:szCs w:val="22"/>
        </w:rPr>
        <w:t xml:space="preserve">2008 </w:t>
      </w:r>
      <w:proofErr w:type="gramStart"/>
      <w:r w:rsidRPr="00042054">
        <w:rPr>
          <w:sz w:val="22"/>
          <w:szCs w:val="22"/>
        </w:rPr>
        <w:t>rozhodnutím K(2008</w:t>
      </w:r>
      <w:proofErr w:type="gramEnd"/>
      <w:r w:rsidRPr="00042054">
        <w:rPr>
          <w:sz w:val="22"/>
          <w:szCs w:val="22"/>
        </w:rPr>
        <w:t xml:space="preserve">) 7845, Evropská komise potvrdila, že navrhovaný režim podpory představuje </w:t>
      </w:r>
      <w:r>
        <w:rPr>
          <w:sz w:val="22"/>
          <w:szCs w:val="22"/>
        </w:rPr>
        <w:t>veřejnou</w:t>
      </w:r>
      <w:r w:rsidRPr="00042054">
        <w:rPr>
          <w:sz w:val="22"/>
          <w:szCs w:val="22"/>
        </w:rPr>
        <w:t xml:space="preserve"> podporu ve smyslu čl. 107 odst. 1 Smlouvy o fungování EU, poskytovatelem dotace je MMR</w:t>
      </w:r>
      <w:r>
        <w:rPr>
          <w:sz w:val="22"/>
          <w:szCs w:val="22"/>
        </w:rPr>
        <w:t>.</w:t>
      </w:r>
    </w:p>
    <w:p w:rsidR="00007C94" w:rsidRDefault="00007C94" w:rsidP="00007C94">
      <w:pPr>
        <w:tabs>
          <w:tab w:val="left" w:pos="720"/>
        </w:tabs>
        <w:suppressAutoHyphens/>
        <w:jc w:val="both"/>
        <w:rPr>
          <w:sz w:val="22"/>
          <w:szCs w:val="22"/>
        </w:rPr>
      </w:pPr>
      <w:r w:rsidRPr="00042054">
        <w:rPr>
          <w:sz w:val="22"/>
          <w:szCs w:val="22"/>
        </w:rPr>
        <w:lastRenderedPageBreak/>
        <w:t xml:space="preserve">  </w:t>
      </w:r>
    </w:p>
    <w:p w:rsidR="00007C94" w:rsidRPr="00583D47" w:rsidRDefault="00007C94" w:rsidP="00007C94">
      <w:pPr>
        <w:suppressAutoHyphens/>
        <w:ind w:left="714"/>
        <w:jc w:val="both"/>
        <w:rPr>
          <w:sz w:val="2"/>
          <w:szCs w:val="2"/>
        </w:rPr>
      </w:pPr>
    </w:p>
    <w:p w:rsidR="00007C94" w:rsidRDefault="00007C94" w:rsidP="00007C94">
      <w:pPr>
        <w:pStyle w:val="Prosttext"/>
        <w:jc w:val="both"/>
        <w:rPr>
          <w:rFonts w:ascii="Times New Roman" w:hAnsi="Times New Roman"/>
          <w:sz w:val="22"/>
        </w:rPr>
      </w:pPr>
      <w:r w:rsidRPr="007F5D60">
        <w:rPr>
          <w:rFonts w:ascii="Times New Roman" w:hAnsi="Times New Roman"/>
          <w:sz w:val="22"/>
        </w:rPr>
        <w:t xml:space="preserve">ŘO dne 19. 7. 2012 zažádal o zahájení procesu </w:t>
      </w:r>
      <w:proofErr w:type="spellStart"/>
      <w:r w:rsidRPr="007F5D60">
        <w:rPr>
          <w:rFonts w:ascii="Times New Roman" w:hAnsi="Times New Roman"/>
          <w:sz w:val="22"/>
        </w:rPr>
        <w:t>pre</w:t>
      </w:r>
      <w:proofErr w:type="spellEnd"/>
      <w:r w:rsidRPr="007F5D60">
        <w:rPr>
          <w:rFonts w:ascii="Times New Roman" w:hAnsi="Times New Roman"/>
          <w:sz w:val="22"/>
        </w:rPr>
        <w:t>-notifikace změny podpory N 342/2008</w:t>
      </w:r>
      <w:r>
        <w:rPr>
          <w:rFonts w:ascii="Times New Roman" w:hAnsi="Times New Roman"/>
          <w:sz w:val="22"/>
        </w:rPr>
        <w:t>– Česká republika Bydlení a sociální program pro problematické oblasti</w:t>
      </w:r>
      <w:r w:rsidRPr="007F5D60">
        <w:rPr>
          <w:rFonts w:ascii="Times New Roman" w:hAnsi="Times New Roman"/>
          <w:sz w:val="22"/>
        </w:rPr>
        <w:t xml:space="preserve">, schválené Rozhodnutím </w:t>
      </w:r>
      <w:proofErr w:type="gramStart"/>
      <w:r w:rsidRPr="007F5D60">
        <w:rPr>
          <w:rFonts w:ascii="Times New Roman" w:hAnsi="Times New Roman"/>
          <w:sz w:val="22"/>
        </w:rPr>
        <w:t>Komise K(2008</w:t>
      </w:r>
      <w:proofErr w:type="gramEnd"/>
      <w:r w:rsidRPr="007F5D60">
        <w:rPr>
          <w:rFonts w:ascii="Times New Roman" w:hAnsi="Times New Roman"/>
          <w:sz w:val="22"/>
        </w:rPr>
        <w:t>) 7845 ze dne 10.</w:t>
      </w:r>
      <w:r>
        <w:rPr>
          <w:rFonts w:ascii="Times New Roman" w:hAnsi="Times New Roman"/>
          <w:sz w:val="22"/>
        </w:rPr>
        <w:t xml:space="preserve"> </w:t>
      </w:r>
      <w:r w:rsidRPr="007F5D60">
        <w:rPr>
          <w:rFonts w:ascii="Times New Roman" w:hAnsi="Times New Roman"/>
          <w:sz w:val="22"/>
        </w:rPr>
        <w:t>12.</w:t>
      </w:r>
      <w:r>
        <w:rPr>
          <w:rFonts w:ascii="Times New Roman" w:hAnsi="Times New Roman"/>
          <w:sz w:val="22"/>
        </w:rPr>
        <w:t xml:space="preserve"> </w:t>
      </w:r>
      <w:r w:rsidRPr="007F5D60">
        <w:rPr>
          <w:rFonts w:ascii="Times New Roman" w:hAnsi="Times New Roman"/>
          <w:sz w:val="22"/>
        </w:rPr>
        <w:t xml:space="preserve">2008, s dodatkem o finanční nástroj JESSICA. </w:t>
      </w:r>
      <w:r>
        <w:rPr>
          <w:rFonts w:ascii="Times New Roman" w:hAnsi="Times New Roman"/>
          <w:sz w:val="22"/>
        </w:rPr>
        <w:t>Proces</w:t>
      </w:r>
      <w:r w:rsidRPr="007F5D60">
        <w:rPr>
          <w:rFonts w:ascii="Times New Roman" w:hAnsi="Times New Roman"/>
          <w:sz w:val="22"/>
        </w:rPr>
        <w:t xml:space="preserve"> notifikace </w:t>
      </w:r>
      <w:r>
        <w:rPr>
          <w:rFonts w:ascii="Times New Roman" w:hAnsi="Times New Roman"/>
          <w:sz w:val="22"/>
        </w:rPr>
        <w:t xml:space="preserve">byl ukončen </w:t>
      </w:r>
      <w:r w:rsidRPr="007F5D60">
        <w:rPr>
          <w:rFonts w:ascii="Times New Roman" w:hAnsi="Times New Roman"/>
          <w:sz w:val="22"/>
        </w:rPr>
        <w:t>23.</w:t>
      </w:r>
      <w:r>
        <w:rPr>
          <w:rFonts w:ascii="Times New Roman" w:hAnsi="Times New Roman"/>
          <w:sz w:val="22"/>
        </w:rPr>
        <w:t xml:space="preserve"> </w:t>
      </w:r>
      <w:r w:rsidRPr="007F5D60">
        <w:rPr>
          <w:rFonts w:ascii="Times New Roman" w:hAnsi="Times New Roman"/>
          <w:sz w:val="22"/>
        </w:rPr>
        <w:t>1.</w:t>
      </w:r>
      <w:r>
        <w:rPr>
          <w:rFonts w:ascii="Times New Roman" w:hAnsi="Times New Roman"/>
          <w:sz w:val="22"/>
        </w:rPr>
        <w:t xml:space="preserve"> </w:t>
      </w:r>
      <w:r w:rsidRPr="007F5D60">
        <w:rPr>
          <w:rFonts w:ascii="Times New Roman" w:hAnsi="Times New Roman"/>
          <w:sz w:val="22"/>
        </w:rPr>
        <w:t>2013</w:t>
      </w:r>
      <w:r>
        <w:rPr>
          <w:rFonts w:ascii="Times New Roman" w:hAnsi="Times New Roman"/>
          <w:sz w:val="22"/>
        </w:rPr>
        <w:t xml:space="preserve"> </w:t>
      </w:r>
      <w:r w:rsidRPr="007F5D60">
        <w:rPr>
          <w:rFonts w:ascii="Times New Roman" w:hAnsi="Times New Roman"/>
          <w:sz w:val="22"/>
        </w:rPr>
        <w:t xml:space="preserve">vydáním Rozhodnutí Komise </w:t>
      </w:r>
      <w:r>
        <w:rPr>
          <w:rFonts w:ascii="Times New Roman" w:hAnsi="Times New Roman"/>
          <w:sz w:val="22"/>
        </w:rPr>
        <w:t xml:space="preserve">C(2013) 109 ve věci státní podpory SA.35176 (2012/N) – Česká republika Změny schváleného režimu N 342/2008 „Bydlení a sociální program pro problematické oblasti“ </w:t>
      </w:r>
      <w:r w:rsidRPr="007F5D60">
        <w:rPr>
          <w:rFonts w:ascii="Times New Roman" w:hAnsi="Times New Roman"/>
          <w:sz w:val="22"/>
        </w:rPr>
        <w:t>ke změnám původního režimu veřejné podpory</w:t>
      </w:r>
      <w:r>
        <w:rPr>
          <w:rFonts w:ascii="Times New Roman" w:hAnsi="Times New Roman"/>
          <w:sz w:val="22"/>
        </w:rPr>
        <w:t xml:space="preserve">. </w:t>
      </w:r>
    </w:p>
    <w:p w:rsidR="00007C94" w:rsidRPr="004574EC" w:rsidRDefault="00007C94" w:rsidP="00007C94">
      <w:pPr>
        <w:jc w:val="both"/>
        <w:rPr>
          <w:sz w:val="22"/>
          <w:szCs w:val="22"/>
        </w:rPr>
      </w:pPr>
      <w:r w:rsidRPr="004574EC">
        <w:rPr>
          <w:sz w:val="22"/>
          <w:szCs w:val="22"/>
        </w:rPr>
        <w:t xml:space="preserve">Evropská komise prodloužila dobu použitelnosti mapy regionální podpory. Regionální podpora </w:t>
      </w:r>
      <w:r w:rsidR="00451A40">
        <w:rPr>
          <w:sz w:val="22"/>
          <w:szCs w:val="22"/>
        </w:rPr>
        <w:t>mohla</w:t>
      </w:r>
      <w:r w:rsidR="00451A40" w:rsidRPr="004574EC">
        <w:rPr>
          <w:sz w:val="22"/>
          <w:szCs w:val="22"/>
        </w:rPr>
        <w:t xml:space="preserve"> </w:t>
      </w:r>
      <w:r w:rsidRPr="004574EC">
        <w:rPr>
          <w:sz w:val="22"/>
          <w:szCs w:val="22"/>
        </w:rPr>
        <w:t>být na základě podmínek stanovených prodlouženou mapou regionální podpory poskytována na území České republiky do 30.</w:t>
      </w:r>
      <w:r>
        <w:rPr>
          <w:sz w:val="22"/>
          <w:szCs w:val="22"/>
        </w:rPr>
        <w:t xml:space="preserve"> </w:t>
      </w:r>
      <w:r w:rsidRPr="004574EC">
        <w:rPr>
          <w:sz w:val="22"/>
          <w:szCs w:val="22"/>
        </w:rPr>
        <w:t>6.</w:t>
      </w:r>
      <w:r>
        <w:rPr>
          <w:sz w:val="22"/>
          <w:szCs w:val="22"/>
        </w:rPr>
        <w:t xml:space="preserve"> </w:t>
      </w:r>
      <w:r w:rsidRPr="004574EC">
        <w:rPr>
          <w:sz w:val="22"/>
          <w:szCs w:val="22"/>
        </w:rPr>
        <w:t xml:space="preserve">2014 včetně. </w:t>
      </w:r>
    </w:p>
    <w:p w:rsidR="00007C94" w:rsidRPr="004574EC" w:rsidRDefault="00007C94" w:rsidP="00007C94">
      <w:pPr>
        <w:spacing w:before="100" w:beforeAutospacing="1" w:after="100" w:afterAutospacing="1"/>
        <w:jc w:val="both"/>
        <w:rPr>
          <w:sz w:val="22"/>
          <w:szCs w:val="22"/>
        </w:rPr>
      </w:pPr>
      <w:r w:rsidRPr="004574EC">
        <w:rPr>
          <w:sz w:val="22"/>
          <w:szCs w:val="22"/>
        </w:rPr>
        <w:t>V rozhodnutí ze dne 24.</w:t>
      </w:r>
      <w:r>
        <w:rPr>
          <w:sz w:val="22"/>
          <w:szCs w:val="22"/>
        </w:rPr>
        <w:t xml:space="preserve"> </w:t>
      </w:r>
      <w:r w:rsidRPr="004574EC">
        <w:rPr>
          <w:sz w:val="22"/>
          <w:szCs w:val="22"/>
        </w:rPr>
        <w:t>10.</w:t>
      </w:r>
      <w:r>
        <w:rPr>
          <w:sz w:val="22"/>
          <w:szCs w:val="22"/>
        </w:rPr>
        <w:t xml:space="preserve"> </w:t>
      </w:r>
      <w:r w:rsidRPr="004574EC">
        <w:rPr>
          <w:sz w:val="22"/>
          <w:szCs w:val="22"/>
        </w:rPr>
        <w:t>2013 Evropská komise konstatovala, že prodloužení mapy regionální podpory na období 2007</w:t>
      </w:r>
      <w:r>
        <w:rPr>
          <w:sz w:val="22"/>
          <w:szCs w:val="22"/>
        </w:rPr>
        <w:t xml:space="preserve"> </w:t>
      </w:r>
      <w:r w:rsidRPr="004574EC">
        <w:rPr>
          <w:sz w:val="22"/>
          <w:szCs w:val="22"/>
        </w:rPr>
        <w:t>-</w:t>
      </w:r>
      <w:r>
        <w:rPr>
          <w:sz w:val="22"/>
          <w:szCs w:val="22"/>
        </w:rPr>
        <w:t xml:space="preserve"> </w:t>
      </w:r>
      <w:r w:rsidRPr="004574EC">
        <w:rPr>
          <w:sz w:val="22"/>
          <w:szCs w:val="22"/>
        </w:rPr>
        <w:t>2013 do 30.</w:t>
      </w:r>
      <w:r>
        <w:rPr>
          <w:sz w:val="22"/>
          <w:szCs w:val="22"/>
        </w:rPr>
        <w:t xml:space="preserve"> </w:t>
      </w:r>
      <w:r w:rsidRPr="004574EC">
        <w:rPr>
          <w:sz w:val="22"/>
          <w:szCs w:val="22"/>
        </w:rPr>
        <w:t>6.</w:t>
      </w:r>
      <w:r>
        <w:rPr>
          <w:sz w:val="22"/>
          <w:szCs w:val="22"/>
        </w:rPr>
        <w:t xml:space="preserve"> </w:t>
      </w:r>
      <w:r w:rsidRPr="004574EC">
        <w:rPr>
          <w:sz w:val="22"/>
          <w:szCs w:val="22"/>
        </w:rPr>
        <w:t>2014 splňuje podmínky stanovené v pokynech k regionální podpoře na období 2007</w:t>
      </w:r>
      <w:r>
        <w:rPr>
          <w:sz w:val="22"/>
          <w:szCs w:val="22"/>
        </w:rPr>
        <w:t xml:space="preserve"> </w:t>
      </w:r>
      <w:r w:rsidRPr="004574EC">
        <w:rPr>
          <w:sz w:val="22"/>
          <w:szCs w:val="22"/>
        </w:rPr>
        <w:t>-</w:t>
      </w:r>
      <w:r>
        <w:rPr>
          <w:sz w:val="22"/>
          <w:szCs w:val="22"/>
        </w:rPr>
        <w:t xml:space="preserve"> </w:t>
      </w:r>
      <w:r w:rsidRPr="004574EC">
        <w:rPr>
          <w:sz w:val="22"/>
          <w:szCs w:val="22"/>
        </w:rPr>
        <w:t>2013 a současně splňuje podmínky pro prodloužení doby použitelnosti mapy stanovené nově přijatými pokyny pro regionální podporu na období 2014</w:t>
      </w:r>
      <w:r>
        <w:rPr>
          <w:sz w:val="22"/>
          <w:szCs w:val="22"/>
        </w:rPr>
        <w:t xml:space="preserve"> </w:t>
      </w:r>
      <w:r w:rsidRPr="004574EC">
        <w:rPr>
          <w:sz w:val="22"/>
          <w:szCs w:val="22"/>
        </w:rPr>
        <w:t>-</w:t>
      </w:r>
      <w:r>
        <w:rPr>
          <w:sz w:val="22"/>
          <w:szCs w:val="22"/>
        </w:rPr>
        <w:t xml:space="preserve"> </w:t>
      </w:r>
      <w:r w:rsidRPr="004574EC">
        <w:rPr>
          <w:sz w:val="22"/>
          <w:szCs w:val="22"/>
        </w:rPr>
        <w:t>2020.</w:t>
      </w:r>
    </w:p>
    <w:p w:rsidR="000524F5" w:rsidRDefault="000524F5" w:rsidP="00007C94">
      <w:pPr>
        <w:jc w:val="both"/>
        <w:rPr>
          <w:sz w:val="22"/>
          <w:szCs w:val="22"/>
        </w:rPr>
      </w:pPr>
      <w:r w:rsidRPr="00042054">
        <w:rPr>
          <w:sz w:val="22"/>
          <w:szCs w:val="22"/>
        </w:rPr>
        <w:t xml:space="preserve">Problematika veřejné podpory se </w:t>
      </w:r>
      <w:r>
        <w:rPr>
          <w:sz w:val="22"/>
          <w:szCs w:val="22"/>
        </w:rPr>
        <w:t xml:space="preserve">v projektech </w:t>
      </w:r>
      <w:r w:rsidRPr="00042054">
        <w:rPr>
          <w:sz w:val="22"/>
          <w:szCs w:val="22"/>
        </w:rPr>
        <w:t xml:space="preserve">sleduje: </w:t>
      </w:r>
    </w:p>
    <w:p w:rsidR="000524F5" w:rsidRPr="004574EC" w:rsidRDefault="000524F5" w:rsidP="000524F5">
      <w:pPr>
        <w:pStyle w:val="Odstavecseseznamem"/>
        <w:numPr>
          <w:ilvl w:val="0"/>
          <w:numId w:val="24"/>
        </w:numPr>
        <w:jc w:val="both"/>
        <w:rPr>
          <w:sz w:val="22"/>
          <w:szCs w:val="22"/>
        </w:rPr>
      </w:pPr>
      <w:r>
        <w:rPr>
          <w:sz w:val="22"/>
          <w:szCs w:val="22"/>
        </w:rPr>
        <w:t xml:space="preserve">při kontrole přijatelnosti projektu, jedním </w:t>
      </w:r>
      <w:r w:rsidRPr="00042054">
        <w:rPr>
          <w:sz w:val="22"/>
          <w:szCs w:val="22"/>
        </w:rPr>
        <w:t xml:space="preserve">ze specifických kritérií přijatelnosti projektů je posouzení, zda je projekt v souladu s pravidly veřejné podpory pro příslušnou oblast </w:t>
      </w:r>
      <w:r>
        <w:rPr>
          <w:sz w:val="22"/>
          <w:szCs w:val="22"/>
        </w:rPr>
        <w:t>intervence,</w:t>
      </w:r>
    </w:p>
    <w:p w:rsidR="000524F5" w:rsidRPr="00042054" w:rsidRDefault="000524F5" w:rsidP="000524F5">
      <w:pPr>
        <w:numPr>
          <w:ilvl w:val="0"/>
          <w:numId w:val="17"/>
        </w:numPr>
        <w:tabs>
          <w:tab w:val="left" w:pos="720"/>
        </w:tabs>
        <w:suppressAutoHyphens/>
        <w:ind w:left="714" w:hanging="357"/>
        <w:jc w:val="both"/>
        <w:rPr>
          <w:sz w:val="22"/>
          <w:szCs w:val="22"/>
        </w:rPr>
      </w:pPr>
      <w:r w:rsidRPr="00042054">
        <w:rPr>
          <w:sz w:val="22"/>
          <w:szCs w:val="22"/>
        </w:rPr>
        <w:t>na základě monitorovacích zpráv o průběhu realizace projektů,</w:t>
      </w:r>
    </w:p>
    <w:p w:rsidR="000524F5" w:rsidRPr="00042054" w:rsidRDefault="000524F5" w:rsidP="000524F5">
      <w:pPr>
        <w:numPr>
          <w:ilvl w:val="0"/>
          <w:numId w:val="17"/>
        </w:numPr>
        <w:tabs>
          <w:tab w:val="left" w:pos="720"/>
        </w:tabs>
        <w:suppressAutoHyphens/>
        <w:ind w:left="714" w:hanging="357"/>
        <w:jc w:val="both"/>
        <w:rPr>
          <w:sz w:val="22"/>
          <w:szCs w:val="22"/>
        </w:rPr>
      </w:pPr>
      <w:r w:rsidRPr="00042054">
        <w:rPr>
          <w:sz w:val="22"/>
          <w:szCs w:val="22"/>
        </w:rPr>
        <w:t>při kontrole žádostí o platbu,</w:t>
      </w:r>
    </w:p>
    <w:p w:rsidR="000524F5" w:rsidRPr="00042054" w:rsidRDefault="000524F5" w:rsidP="000524F5">
      <w:pPr>
        <w:numPr>
          <w:ilvl w:val="0"/>
          <w:numId w:val="17"/>
        </w:numPr>
        <w:tabs>
          <w:tab w:val="left" w:pos="720"/>
        </w:tabs>
        <w:suppressAutoHyphens/>
        <w:ind w:left="714" w:hanging="357"/>
        <w:jc w:val="both"/>
        <w:rPr>
          <w:sz w:val="22"/>
          <w:szCs w:val="22"/>
        </w:rPr>
      </w:pPr>
      <w:r w:rsidRPr="00042054">
        <w:rPr>
          <w:sz w:val="22"/>
          <w:szCs w:val="22"/>
        </w:rPr>
        <w:t xml:space="preserve">při analýzách rizik projektů, </w:t>
      </w:r>
    </w:p>
    <w:p w:rsidR="000524F5" w:rsidRPr="00042054" w:rsidRDefault="000524F5" w:rsidP="000524F5">
      <w:pPr>
        <w:numPr>
          <w:ilvl w:val="0"/>
          <w:numId w:val="17"/>
        </w:numPr>
        <w:tabs>
          <w:tab w:val="left" w:pos="720"/>
        </w:tabs>
        <w:suppressAutoHyphens/>
        <w:ind w:left="714" w:hanging="357"/>
        <w:jc w:val="both"/>
        <w:rPr>
          <w:sz w:val="22"/>
          <w:szCs w:val="22"/>
        </w:rPr>
      </w:pPr>
      <w:r w:rsidRPr="00042054">
        <w:rPr>
          <w:sz w:val="22"/>
          <w:szCs w:val="22"/>
        </w:rPr>
        <w:t>při kontrolách projektu ex-ante, interim a ex-post,</w:t>
      </w:r>
    </w:p>
    <w:p w:rsidR="000524F5" w:rsidRPr="00042054" w:rsidRDefault="000524F5" w:rsidP="000524F5">
      <w:pPr>
        <w:numPr>
          <w:ilvl w:val="0"/>
          <w:numId w:val="17"/>
        </w:numPr>
        <w:tabs>
          <w:tab w:val="left" w:pos="720"/>
        </w:tabs>
        <w:suppressAutoHyphens/>
        <w:ind w:left="714" w:hanging="357"/>
        <w:jc w:val="both"/>
        <w:rPr>
          <w:sz w:val="22"/>
          <w:szCs w:val="22"/>
        </w:rPr>
      </w:pPr>
      <w:r w:rsidRPr="00042054">
        <w:rPr>
          <w:sz w:val="22"/>
          <w:szCs w:val="22"/>
        </w:rPr>
        <w:t>při auditu vzorku operací</w:t>
      </w:r>
      <w:r>
        <w:rPr>
          <w:sz w:val="22"/>
          <w:szCs w:val="22"/>
        </w:rPr>
        <w:t>,</w:t>
      </w:r>
      <w:r w:rsidRPr="00042054">
        <w:rPr>
          <w:sz w:val="22"/>
          <w:szCs w:val="22"/>
        </w:rPr>
        <w:t xml:space="preserve"> prováděném auditním </w:t>
      </w:r>
      <w:r>
        <w:rPr>
          <w:sz w:val="22"/>
          <w:szCs w:val="22"/>
        </w:rPr>
        <w:t>orgán</w:t>
      </w:r>
      <w:r w:rsidRPr="00042054">
        <w:rPr>
          <w:sz w:val="22"/>
          <w:szCs w:val="22"/>
        </w:rPr>
        <w:t>em,</w:t>
      </w:r>
    </w:p>
    <w:p w:rsidR="000524F5" w:rsidRPr="00042054" w:rsidRDefault="000524F5" w:rsidP="000524F5">
      <w:pPr>
        <w:numPr>
          <w:ilvl w:val="0"/>
          <w:numId w:val="17"/>
        </w:numPr>
        <w:tabs>
          <w:tab w:val="left" w:pos="720"/>
        </w:tabs>
        <w:suppressAutoHyphens/>
        <w:ind w:left="714" w:hanging="357"/>
        <w:jc w:val="both"/>
        <w:rPr>
          <w:b/>
          <w:sz w:val="22"/>
          <w:szCs w:val="22"/>
        </w:rPr>
      </w:pPr>
      <w:r w:rsidRPr="00042054">
        <w:rPr>
          <w:sz w:val="22"/>
          <w:szCs w:val="22"/>
        </w:rPr>
        <w:t>při šetření podezření na nesrovnalost.</w:t>
      </w:r>
    </w:p>
    <w:p w:rsidR="000524F5" w:rsidRPr="00042054" w:rsidRDefault="000524F5" w:rsidP="000524F5">
      <w:pPr>
        <w:suppressAutoHyphens/>
        <w:jc w:val="both"/>
        <w:rPr>
          <w:b/>
          <w:sz w:val="22"/>
          <w:szCs w:val="22"/>
        </w:rPr>
      </w:pPr>
    </w:p>
    <w:p w:rsidR="000524F5" w:rsidRDefault="000524F5" w:rsidP="000524F5">
      <w:pPr>
        <w:suppressAutoHyphens/>
        <w:jc w:val="both"/>
        <w:rPr>
          <w:b/>
          <w:sz w:val="22"/>
          <w:szCs w:val="22"/>
        </w:rPr>
      </w:pPr>
      <w:r w:rsidRPr="00042054">
        <w:rPr>
          <w:b/>
          <w:sz w:val="22"/>
          <w:szCs w:val="22"/>
        </w:rPr>
        <w:t>Projekty generující příjmy</w:t>
      </w:r>
    </w:p>
    <w:p w:rsidR="000524F5" w:rsidRDefault="000524F5" w:rsidP="000524F5">
      <w:pPr>
        <w:pStyle w:val="Zkladntext"/>
        <w:spacing w:after="0"/>
        <w:jc w:val="both"/>
        <w:rPr>
          <w:sz w:val="22"/>
          <w:szCs w:val="22"/>
        </w:rPr>
      </w:pPr>
      <w:r w:rsidRPr="00042054">
        <w:rPr>
          <w:sz w:val="22"/>
          <w:szCs w:val="22"/>
        </w:rPr>
        <w:t>Projektem vytvářejícím příjmy se podle čl. 55 Obecného nařízení rozumí jakýkoli projekt, který zahrnuje:</w:t>
      </w:r>
    </w:p>
    <w:p w:rsidR="000524F5" w:rsidRPr="00042054" w:rsidRDefault="000524F5" w:rsidP="000524F5">
      <w:pPr>
        <w:pStyle w:val="Zkladntext"/>
        <w:spacing w:after="0"/>
        <w:jc w:val="both"/>
        <w:rPr>
          <w:sz w:val="22"/>
          <w:szCs w:val="22"/>
        </w:rPr>
      </w:pPr>
    </w:p>
    <w:p w:rsidR="000524F5" w:rsidRPr="00042054" w:rsidRDefault="000524F5" w:rsidP="000524F5">
      <w:pPr>
        <w:pStyle w:val="Zkladntext"/>
        <w:numPr>
          <w:ilvl w:val="0"/>
          <w:numId w:val="18"/>
        </w:numPr>
        <w:spacing w:after="0"/>
        <w:jc w:val="both"/>
        <w:rPr>
          <w:sz w:val="22"/>
          <w:szCs w:val="22"/>
        </w:rPr>
      </w:pPr>
      <w:r w:rsidRPr="00042054">
        <w:rPr>
          <w:sz w:val="22"/>
          <w:szCs w:val="22"/>
        </w:rPr>
        <w:t>investice do infrastruktury, za jejíž používání se účtují poplatky hrazené přímo uživateli,</w:t>
      </w:r>
    </w:p>
    <w:p w:rsidR="000524F5" w:rsidRPr="00042054" w:rsidRDefault="000524F5" w:rsidP="000524F5">
      <w:pPr>
        <w:pStyle w:val="Zkladntext"/>
        <w:numPr>
          <w:ilvl w:val="0"/>
          <w:numId w:val="18"/>
        </w:numPr>
        <w:spacing w:after="0"/>
        <w:jc w:val="both"/>
        <w:rPr>
          <w:sz w:val="22"/>
          <w:szCs w:val="22"/>
        </w:rPr>
      </w:pPr>
      <w:r w:rsidRPr="00042054">
        <w:rPr>
          <w:sz w:val="22"/>
          <w:szCs w:val="22"/>
        </w:rPr>
        <w:t>prodej nebo pronájem pozemků či budov,</w:t>
      </w:r>
    </w:p>
    <w:p w:rsidR="000524F5" w:rsidRPr="007F5D60" w:rsidRDefault="000524F5" w:rsidP="000524F5">
      <w:pPr>
        <w:pStyle w:val="Zkladntext"/>
        <w:numPr>
          <w:ilvl w:val="0"/>
          <w:numId w:val="19"/>
        </w:numPr>
        <w:spacing w:after="0"/>
        <w:jc w:val="both"/>
        <w:rPr>
          <w:sz w:val="22"/>
          <w:szCs w:val="22"/>
        </w:rPr>
      </w:pPr>
      <w:r w:rsidRPr="007F5D60">
        <w:rPr>
          <w:sz w:val="22"/>
          <w:szCs w:val="22"/>
        </w:rPr>
        <w:t xml:space="preserve">jiné poskytování služeb za úplatu. </w:t>
      </w:r>
    </w:p>
    <w:p w:rsidR="000524F5" w:rsidRPr="00042054" w:rsidRDefault="000524F5" w:rsidP="000524F5">
      <w:pPr>
        <w:pStyle w:val="Zkladntext"/>
        <w:spacing w:after="0"/>
        <w:ind w:left="315"/>
        <w:jc w:val="both"/>
        <w:rPr>
          <w:sz w:val="22"/>
          <w:szCs w:val="22"/>
        </w:rPr>
      </w:pPr>
    </w:p>
    <w:p w:rsidR="000524F5" w:rsidRDefault="000524F5" w:rsidP="000524F5">
      <w:pPr>
        <w:jc w:val="both"/>
        <w:rPr>
          <w:sz w:val="22"/>
          <w:szCs w:val="22"/>
        </w:rPr>
      </w:pPr>
      <w:r w:rsidRPr="00042054">
        <w:rPr>
          <w:sz w:val="22"/>
          <w:szCs w:val="22"/>
        </w:rPr>
        <w:t xml:space="preserve">Operační manuál IOP stanovuje postupy pro projekty vytvářející příjmy, jejichž celkové náklady přesahují 1 mil. EUR a které zároveň splňují další podmínky uvedené v čl. 55 obecného nařízení. V IOP jsou postupy pro projekty vytvářející příjmy vyžadované </w:t>
      </w:r>
      <w:r>
        <w:rPr>
          <w:sz w:val="22"/>
          <w:szCs w:val="22"/>
        </w:rPr>
        <w:t>o</w:t>
      </w:r>
      <w:r w:rsidRPr="00042054">
        <w:rPr>
          <w:sz w:val="22"/>
          <w:szCs w:val="22"/>
        </w:rPr>
        <w:t>becným nařízením aplikovány na všechny projekty, jejichž celkové plánované výdaje uvedené v projektové žádosti jsou vyšší nebo rovny 20 mil. Kč.</w:t>
      </w:r>
    </w:p>
    <w:p w:rsidR="000524F5" w:rsidRPr="00042054" w:rsidRDefault="000524F5" w:rsidP="000524F5">
      <w:pPr>
        <w:jc w:val="both"/>
        <w:rPr>
          <w:sz w:val="22"/>
          <w:szCs w:val="22"/>
        </w:rPr>
      </w:pPr>
    </w:p>
    <w:p w:rsidR="00D42584" w:rsidRDefault="000524F5" w:rsidP="000524F5">
      <w:pPr>
        <w:jc w:val="both"/>
        <w:rPr>
          <w:sz w:val="22"/>
          <w:szCs w:val="22"/>
        </w:rPr>
      </w:pPr>
      <w:r w:rsidRPr="00042054">
        <w:rPr>
          <w:sz w:val="22"/>
          <w:szCs w:val="22"/>
        </w:rPr>
        <w:t>Zjednodušené postupy jsou s ohledem na zdravé finanční řízení aplikovány na projekty</w:t>
      </w:r>
      <w:r>
        <w:rPr>
          <w:sz w:val="22"/>
          <w:szCs w:val="22"/>
        </w:rPr>
        <w:t xml:space="preserve"> s</w:t>
      </w:r>
      <w:r w:rsidRPr="00042054">
        <w:rPr>
          <w:sz w:val="22"/>
          <w:szCs w:val="22"/>
        </w:rPr>
        <w:t xml:space="preserve"> celkov</w:t>
      </w:r>
      <w:r>
        <w:rPr>
          <w:sz w:val="22"/>
          <w:szCs w:val="22"/>
        </w:rPr>
        <w:t>ými</w:t>
      </w:r>
      <w:r w:rsidRPr="00042054">
        <w:rPr>
          <w:sz w:val="22"/>
          <w:szCs w:val="22"/>
        </w:rPr>
        <w:t xml:space="preserve"> plánovan</w:t>
      </w:r>
      <w:r>
        <w:rPr>
          <w:sz w:val="22"/>
          <w:szCs w:val="22"/>
        </w:rPr>
        <w:t>ými</w:t>
      </w:r>
      <w:r w:rsidRPr="00042054">
        <w:rPr>
          <w:sz w:val="22"/>
          <w:szCs w:val="22"/>
        </w:rPr>
        <w:t xml:space="preserve"> výdaj</w:t>
      </w:r>
      <w:r>
        <w:rPr>
          <w:sz w:val="22"/>
          <w:szCs w:val="22"/>
        </w:rPr>
        <w:t>i</w:t>
      </w:r>
      <w:r w:rsidRPr="00042054">
        <w:rPr>
          <w:sz w:val="22"/>
          <w:szCs w:val="22"/>
        </w:rPr>
        <w:t xml:space="preserve"> nižší</w:t>
      </w:r>
      <w:r>
        <w:rPr>
          <w:sz w:val="22"/>
          <w:szCs w:val="22"/>
        </w:rPr>
        <w:t>mi</w:t>
      </w:r>
      <w:r w:rsidRPr="00042054">
        <w:rPr>
          <w:sz w:val="22"/>
          <w:szCs w:val="22"/>
        </w:rPr>
        <w:t xml:space="preserve"> než 20 mil. Kč</w:t>
      </w:r>
      <w:r>
        <w:rPr>
          <w:sz w:val="22"/>
          <w:szCs w:val="22"/>
        </w:rPr>
        <w:t>,</w:t>
      </w:r>
      <w:r w:rsidRPr="00042054">
        <w:rPr>
          <w:sz w:val="22"/>
          <w:szCs w:val="22"/>
        </w:rPr>
        <w:t xml:space="preserve"> které zároveň generují příjmy. </w:t>
      </w:r>
    </w:p>
    <w:p w:rsidR="00A92782" w:rsidRDefault="00A92782" w:rsidP="000524F5">
      <w:pPr>
        <w:jc w:val="both"/>
        <w:rPr>
          <w:sz w:val="22"/>
          <w:szCs w:val="22"/>
        </w:rPr>
      </w:pPr>
    </w:p>
    <w:p w:rsidR="00A92782" w:rsidRDefault="00A92782" w:rsidP="00A92782">
      <w:pPr>
        <w:pStyle w:val="Tabulkanzev"/>
        <w:numPr>
          <w:ilvl w:val="0"/>
          <w:numId w:val="0"/>
        </w:numPr>
        <w:jc w:val="left"/>
      </w:pPr>
      <w:bookmarkStart w:id="66" w:name="_Toc416431812"/>
    </w:p>
    <w:p w:rsidR="00A92782" w:rsidRDefault="00A92782" w:rsidP="00A92782"/>
    <w:p w:rsidR="00A92782" w:rsidRDefault="00A92782" w:rsidP="00A92782"/>
    <w:p w:rsidR="00A92782" w:rsidRDefault="00A92782" w:rsidP="00A92782"/>
    <w:p w:rsidR="00A92782" w:rsidRDefault="00A92782" w:rsidP="00A92782"/>
    <w:p w:rsidR="00A92782" w:rsidRDefault="00A92782" w:rsidP="00A92782"/>
    <w:p w:rsidR="00A92782" w:rsidRDefault="00A92782" w:rsidP="00A92782"/>
    <w:p w:rsidR="00A92782" w:rsidRDefault="00A92782" w:rsidP="00A92782"/>
    <w:p w:rsidR="00A92782" w:rsidRDefault="00A92782" w:rsidP="00A92782"/>
    <w:p w:rsidR="00A92782" w:rsidRDefault="00A92782" w:rsidP="00A92782"/>
    <w:p w:rsidR="00A92782" w:rsidRDefault="00A92782" w:rsidP="00A92782">
      <w:pPr>
        <w:pStyle w:val="Tabulkanzev"/>
        <w:numPr>
          <w:ilvl w:val="0"/>
          <w:numId w:val="0"/>
        </w:numPr>
        <w:jc w:val="left"/>
      </w:pPr>
    </w:p>
    <w:p w:rsidR="000524F5" w:rsidRPr="000524F5" w:rsidRDefault="000524F5" w:rsidP="00A92782">
      <w:pPr>
        <w:pStyle w:val="Tabulkanzev"/>
      </w:pPr>
      <w:r w:rsidRPr="000524F5">
        <w:lastRenderedPageBreak/>
        <w:t>Přehled výzev v IOP, umožňujících předložit projekt generující příjmy</w:t>
      </w:r>
      <w:bookmarkEnd w:id="66"/>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4A0" w:firstRow="1" w:lastRow="0" w:firstColumn="1" w:lastColumn="0" w:noHBand="0" w:noVBand="1"/>
      </w:tblPr>
      <w:tblGrid>
        <w:gridCol w:w="816"/>
        <w:gridCol w:w="2930"/>
        <w:gridCol w:w="2379"/>
        <w:gridCol w:w="2936"/>
      </w:tblGrid>
      <w:tr w:rsidR="000524F5" w:rsidRPr="00042054" w:rsidTr="007C3993">
        <w:trPr>
          <w:trHeight w:val="412"/>
          <w:tblHeader/>
          <w:jc w:val="center"/>
        </w:trPr>
        <w:tc>
          <w:tcPr>
            <w:tcW w:w="450" w:type="pct"/>
            <w:shd w:val="clear" w:color="auto" w:fill="C2D69B" w:themeFill="accent3" w:themeFillTint="99"/>
          </w:tcPr>
          <w:p w:rsidR="000524F5" w:rsidRPr="00042054" w:rsidRDefault="000524F5" w:rsidP="009A1F69">
            <w:pPr>
              <w:keepNext/>
              <w:rPr>
                <w:sz w:val="18"/>
                <w:szCs w:val="18"/>
              </w:rPr>
            </w:pPr>
          </w:p>
        </w:tc>
        <w:tc>
          <w:tcPr>
            <w:tcW w:w="1617" w:type="pct"/>
            <w:shd w:val="clear" w:color="auto" w:fill="C2D69B" w:themeFill="accent3" w:themeFillTint="99"/>
            <w:vAlign w:val="center"/>
          </w:tcPr>
          <w:p w:rsidR="000524F5" w:rsidRPr="00042054" w:rsidRDefault="000524F5" w:rsidP="009A1F69">
            <w:pPr>
              <w:keepNext/>
              <w:jc w:val="center"/>
              <w:rPr>
                <w:b/>
                <w:sz w:val="18"/>
                <w:szCs w:val="18"/>
              </w:rPr>
            </w:pPr>
            <w:r w:rsidRPr="00042054">
              <w:rPr>
                <w:b/>
                <w:sz w:val="18"/>
                <w:szCs w:val="18"/>
              </w:rPr>
              <w:t>Číslo výzvy a poskytovatel dotace</w:t>
            </w:r>
          </w:p>
        </w:tc>
        <w:tc>
          <w:tcPr>
            <w:tcW w:w="1313" w:type="pct"/>
            <w:shd w:val="clear" w:color="auto" w:fill="C2D69B" w:themeFill="accent3" w:themeFillTint="99"/>
            <w:vAlign w:val="center"/>
          </w:tcPr>
          <w:p w:rsidR="000524F5" w:rsidRPr="00042054" w:rsidRDefault="000524F5" w:rsidP="009A1F69">
            <w:pPr>
              <w:keepNext/>
              <w:jc w:val="center"/>
              <w:rPr>
                <w:b/>
                <w:sz w:val="18"/>
                <w:szCs w:val="18"/>
              </w:rPr>
            </w:pPr>
            <w:r w:rsidRPr="00042054">
              <w:rPr>
                <w:b/>
                <w:sz w:val="18"/>
                <w:szCs w:val="18"/>
              </w:rPr>
              <w:t>Podporovaná aktivita</w:t>
            </w:r>
          </w:p>
        </w:tc>
        <w:tc>
          <w:tcPr>
            <w:tcW w:w="1620" w:type="pct"/>
            <w:shd w:val="clear" w:color="auto" w:fill="C2D69B" w:themeFill="accent3" w:themeFillTint="99"/>
            <w:vAlign w:val="center"/>
          </w:tcPr>
          <w:p w:rsidR="000524F5" w:rsidRPr="00042054" w:rsidRDefault="000524F5" w:rsidP="009A1F69">
            <w:pPr>
              <w:keepNext/>
              <w:jc w:val="center"/>
              <w:rPr>
                <w:b/>
                <w:sz w:val="18"/>
                <w:szCs w:val="18"/>
              </w:rPr>
            </w:pPr>
            <w:r w:rsidRPr="00042054">
              <w:rPr>
                <w:b/>
                <w:sz w:val="18"/>
                <w:szCs w:val="18"/>
              </w:rPr>
              <w:t>Datum vyhlášení výzvy</w:t>
            </w:r>
          </w:p>
        </w:tc>
      </w:tr>
      <w:tr w:rsidR="000524F5" w:rsidRPr="00042054" w:rsidTr="007C3993">
        <w:trPr>
          <w:trHeight w:val="362"/>
          <w:jc w:val="center"/>
        </w:trPr>
        <w:tc>
          <w:tcPr>
            <w:tcW w:w="450" w:type="pct"/>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1.</w:t>
            </w:r>
          </w:p>
        </w:tc>
        <w:tc>
          <w:tcPr>
            <w:tcW w:w="1617" w:type="pct"/>
            <w:vAlign w:val="center"/>
          </w:tcPr>
          <w:p w:rsidR="000524F5" w:rsidRPr="00B11FFC" w:rsidRDefault="000524F5" w:rsidP="009A1F69">
            <w:pPr>
              <w:keepNext/>
              <w:jc w:val="center"/>
            </w:pPr>
            <w:r w:rsidRPr="00B11FFC">
              <w:t>1. výzva MZD</w:t>
            </w:r>
          </w:p>
        </w:tc>
        <w:tc>
          <w:tcPr>
            <w:tcW w:w="1313" w:type="pct"/>
            <w:vAlign w:val="center"/>
          </w:tcPr>
          <w:p w:rsidR="000524F5" w:rsidRPr="00B11FFC" w:rsidRDefault="000524F5" w:rsidP="009A1F69">
            <w:pPr>
              <w:keepNext/>
              <w:jc w:val="center"/>
            </w:pPr>
            <w:r w:rsidRPr="00B11FFC">
              <w:t>3.2a</w:t>
            </w:r>
          </w:p>
        </w:tc>
        <w:tc>
          <w:tcPr>
            <w:tcW w:w="1620" w:type="pct"/>
            <w:vAlign w:val="center"/>
          </w:tcPr>
          <w:p w:rsidR="000524F5" w:rsidRPr="00B11FFC" w:rsidRDefault="000524F5" w:rsidP="009A1F69">
            <w:pPr>
              <w:keepNext/>
              <w:jc w:val="center"/>
            </w:pPr>
            <w:r w:rsidRPr="00B11FFC">
              <w:t>7. 5. 2008</w:t>
            </w:r>
          </w:p>
        </w:tc>
      </w:tr>
      <w:tr w:rsidR="000524F5" w:rsidRPr="00042054" w:rsidTr="007C3993">
        <w:trPr>
          <w:trHeight w:val="362"/>
          <w:jc w:val="center"/>
        </w:trPr>
        <w:tc>
          <w:tcPr>
            <w:tcW w:w="450" w:type="pct"/>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2.</w:t>
            </w:r>
          </w:p>
        </w:tc>
        <w:tc>
          <w:tcPr>
            <w:tcW w:w="1617" w:type="pct"/>
            <w:vAlign w:val="center"/>
          </w:tcPr>
          <w:p w:rsidR="000524F5" w:rsidRPr="00B11FFC" w:rsidRDefault="000524F5" w:rsidP="009A1F69">
            <w:pPr>
              <w:keepNext/>
              <w:jc w:val="center"/>
            </w:pPr>
            <w:r w:rsidRPr="00B11FFC">
              <w:t>2. výzva MV</w:t>
            </w:r>
          </w:p>
        </w:tc>
        <w:tc>
          <w:tcPr>
            <w:tcW w:w="1313" w:type="pct"/>
            <w:vAlign w:val="center"/>
          </w:tcPr>
          <w:p w:rsidR="000524F5" w:rsidRPr="00B11FFC" w:rsidRDefault="000524F5" w:rsidP="009A1F69">
            <w:pPr>
              <w:keepNext/>
              <w:jc w:val="center"/>
            </w:pPr>
            <w:r w:rsidRPr="00B11FFC">
              <w:t>2.1c</w:t>
            </w:r>
          </w:p>
        </w:tc>
        <w:tc>
          <w:tcPr>
            <w:tcW w:w="1620" w:type="pct"/>
            <w:vAlign w:val="center"/>
          </w:tcPr>
          <w:p w:rsidR="000524F5" w:rsidRPr="00B11FFC" w:rsidRDefault="000524F5" w:rsidP="009A1F69">
            <w:pPr>
              <w:keepNext/>
              <w:jc w:val="center"/>
            </w:pPr>
            <w:r w:rsidRPr="00B11FFC">
              <w:t>1. 12. 2008</w:t>
            </w:r>
          </w:p>
        </w:tc>
      </w:tr>
      <w:tr w:rsidR="000524F5" w:rsidRPr="00042054" w:rsidTr="007C3993">
        <w:trPr>
          <w:trHeight w:val="362"/>
          <w:jc w:val="center"/>
        </w:trPr>
        <w:tc>
          <w:tcPr>
            <w:tcW w:w="450" w:type="pct"/>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3.</w:t>
            </w:r>
          </w:p>
        </w:tc>
        <w:tc>
          <w:tcPr>
            <w:tcW w:w="1617" w:type="pct"/>
            <w:vAlign w:val="center"/>
          </w:tcPr>
          <w:p w:rsidR="000524F5" w:rsidRPr="00B11FFC" w:rsidRDefault="000524F5" w:rsidP="009A1F69">
            <w:pPr>
              <w:keepNext/>
              <w:jc w:val="center"/>
            </w:pPr>
            <w:r w:rsidRPr="00B11FFC">
              <w:t>1. výzva MK</w:t>
            </w:r>
          </w:p>
        </w:tc>
        <w:tc>
          <w:tcPr>
            <w:tcW w:w="1313" w:type="pct"/>
            <w:vAlign w:val="center"/>
          </w:tcPr>
          <w:p w:rsidR="000524F5" w:rsidRPr="00B11FFC" w:rsidRDefault="000524F5" w:rsidP="009A1F69">
            <w:pPr>
              <w:keepNext/>
              <w:jc w:val="center"/>
            </w:pPr>
            <w:r w:rsidRPr="00B11FFC">
              <w:t>5.1a, 5.1b</w:t>
            </w:r>
          </w:p>
        </w:tc>
        <w:tc>
          <w:tcPr>
            <w:tcW w:w="1620" w:type="pct"/>
            <w:vAlign w:val="center"/>
          </w:tcPr>
          <w:p w:rsidR="000524F5" w:rsidRPr="00B11FFC" w:rsidRDefault="000524F5" w:rsidP="009A1F69">
            <w:pPr>
              <w:keepNext/>
              <w:jc w:val="center"/>
            </w:pPr>
            <w:r w:rsidRPr="00B11FFC">
              <w:t>5. 12. 2008</w:t>
            </w:r>
          </w:p>
        </w:tc>
      </w:tr>
      <w:tr w:rsidR="000524F5" w:rsidRPr="00042054" w:rsidTr="007C3993">
        <w:trPr>
          <w:trHeight w:val="362"/>
          <w:jc w:val="center"/>
        </w:trPr>
        <w:tc>
          <w:tcPr>
            <w:tcW w:w="450" w:type="pct"/>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4.</w:t>
            </w:r>
          </w:p>
        </w:tc>
        <w:tc>
          <w:tcPr>
            <w:tcW w:w="1617" w:type="pct"/>
            <w:vAlign w:val="center"/>
          </w:tcPr>
          <w:p w:rsidR="000524F5" w:rsidRPr="00B11FFC" w:rsidRDefault="000524F5" w:rsidP="009A1F69">
            <w:pPr>
              <w:keepNext/>
              <w:jc w:val="center"/>
            </w:pPr>
            <w:r w:rsidRPr="00B11FFC">
              <w:t>2. výzva MPSV</w:t>
            </w:r>
          </w:p>
        </w:tc>
        <w:tc>
          <w:tcPr>
            <w:tcW w:w="1313" w:type="pct"/>
            <w:vAlign w:val="center"/>
          </w:tcPr>
          <w:p w:rsidR="000524F5" w:rsidRPr="00B11FFC" w:rsidRDefault="000524F5" w:rsidP="009A1F69">
            <w:pPr>
              <w:keepNext/>
              <w:jc w:val="center"/>
            </w:pPr>
            <w:r w:rsidRPr="00B11FFC">
              <w:t>3.1a</w:t>
            </w:r>
          </w:p>
        </w:tc>
        <w:tc>
          <w:tcPr>
            <w:tcW w:w="1620" w:type="pct"/>
            <w:vAlign w:val="center"/>
          </w:tcPr>
          <w:p w:rsidR="000524F5" w:rsidRPr="00B11FFC" w:rsidRDefault="000524F5" w:rsidP="009A1F69">
            <w:pPr>
              <w:keepNext/>
              <w:jc w:val="center"/>
            </w:pPr>
            <w:r w:rsidRPr="00B11FFC">
              <w:t>13. 7. 2009</w:t>
            </w:r>
          </w:p>
        </w:tc>
      </w:tr>
      <w:tr w:rsidR="000524F5" w:rsidRPr="00042054" w:rsidTr="007C3993">
        <w:trPr>
          <w:trHeight w:val="362"/>
          <w:jc w:val="center"/>
        </w:trPr>
        <w:tc>
          <w:tcPr>
            <w:tcW w:w="450" w:type="pct"/>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5.</w:t>
            </w:r>
          </w:p>
        </w:tc>
        <w:tc>
          <w:tcPr>
            <w:tcW w:w="1617" w:type="pct"/>
            <w:vAlign w:val="center"/>
          </w:tcPr>
          <w:p w:rsidR="000524F5" w:rsidRPr="00B11FFC" w:rsidRDefault="000524F5" w:rsidP="009A1F69">
            <w:pPr>
              <w:keepNext/>
              <w:jc w:val="center"/>
            </w:pPr>
            <w:r w:rsidRPr="00B11FFC">
              <w:t>2. výzva MK</w:t>
            </w:r>
          </w:p>
        </w:tc>
        <w:tc>
          <w:tcPr>
            <w:tcW w:w="1313" w:type="pct"/>
            <w:vAlign w:val="center"/>
          </w:tcPr>
          <w:p w:rsidR="000524F5" w:rsidRPr="00B11FFC" w:rsidRDefault="000524F5" w:rsidP="009A1F69">
            <w:pPr>
              <w:keepNext/>
              <w:jc w:val="center"/>
            </w:pPr>
            <w:r w:rsidRPr="00B11FFC">
              <w:t>5.1c</w:t>
            </w:r>
          </w:p>
        </w:tc>
        <w:tc>
          <w:tcPr>
            <w:tcW w:w="1620" w:type="pct"/>
            <w:vAlign w:val="center"/>
          </w:tcPr>
          <w:p w:rsidR="000524F5" w:rsidRPr="00B11FFC" w:rsidRDefault="000524F5" w:rsidP="009A1F69">
            <w:pPr>
              <w:keepNext/>
              <w:jc w:val="center"/>
            </w:pPr>
            <w:r w:rsidRPr="00B11FFC">
              <w:t>25. 6. 2010</w:t>
            </w:r>
          </w:p>
        </w:tc>
      </w:tr>
      <w:tr w:rsidR="000524F5" w:rsidRPr="00042054" w:rsidTr="007C3993">
        <w:trPr>
          <w:trHeight w:val="362"/>
          <w:jc w:val="center"/>
        </w:trPr>
        <w:tc>
          <w:tcPr>
            <w:tcW w:w="450" w:type="pct"/>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6.</w:t>
            </w:r>
          </w:p>
        </w:tc>
        <w:tc>
          <w:tcPr>
            <w:tcW w:w="1617" w:type="pct"/>
            <w:vAlign w:val="center"/>
          </w:tcPr>
          <w:p w:rsidR="000524F5" w:rsidRPr="00B11FFC" w:rsidRDefault="000524F5" w:rsidP="009A1F69">
            <w:pPr>
              <w:keepNext/>
              <w:jc w:val="center"/>
            </w:pPr>
            <w:r w:rsidRPr="00B11FFC">
              <w:t>9. výzva MMR</w:t>
            </w:r>
          </w:p>
        </w:tc>
        <w:tc>
          <w:tcPr>
            <w:tcW w:w="1313" w:type="pct"/>
            <w:vAlign w:val="center"/>
          </w:tcPr>
          <w:p w:rsidR="000524F5" w:rsidRPr="00B11FFC" w:rsidRDefault="000524F5" w:rsidP="009A1F69">
            <w:pPr>
              <w:keepNext/>
              <w:jc w:val="center"/>
            </w:pPr>
            <w:r w:rsidRPr="00B11FFC">
              <w:t>4.1d</w:t>
            </w:r>
          </w:p>
        </w:tc>
        <w:tc>
          <w:tcPr>
            <w:tcW w:w="1620" w:type="pct"/>
            <w:vAlign w:val="center"/>
          </w:tcPr>
          <w:p w:rsidR="000524F5" w:rsidRPr="00B11FFC" w:rsidRDefault="000524F5" w:rsidP="009A1F69">
            <w:pPr>
              <w:keepNext/>
              <w:jc w:val="center"/>
            </w:pPr>
            <w:r w:rsidRPr="00B11FFC">
              <w:t>29. 6. 2010</w:t>
            </w:r>
          </w:p>
        </w:tc>
      </w:tr>
      <w:tr w:rsidR="000524F5" w:rsidRPr="00042054" w:rsidTr="007C3993">
        <w:trPr>
          <w:trHeight w:val="362"/>
          <w:jc w:val="center"/>
        </w:trPr>
        <w:tc>
          <w:tcPr>
            <w:tcW w:w="450" w:type="pct"/>
            <w:tcBorders>
              <w:bottom w:val="single" w:sz="6" w:space="0" w:color="4F6228"/>
            </w:tcBorders>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7.</w:t>
            </w:r>
          </w:p>
        </w:tc>
        <w:tc>
          <w:tcPr>
            <w:tcW w:w="1617" w:type="pct"/>
            <w:vAlign w:val="center"/>
          </w:tcPr>
          <w:p w:rsidR="000524F5" w:rsidRPr="00B11FFC" w:rsidRDefault="000524F5" w:rsidP="009A1F69">
            <w:pPr>
              <w:keepNext/>
              <w:jc w:val="center"/>
            </w:pPr>
            <w:r w:rsidRPr="00B11FFC">
              <w:t>6. výzva MPSV</w:t>
            </w:r>
          </w:p>
        </w:tc>
        <w:tc>
          <w:tcPr>
            <w:tcW w:w="1313" w:type="pct"/>
            <w:vAlign w:val="center"/>
          </w:tcPr>
          <w:p w:rsidR="000524F5" w:rsidRPr="00B11FFC" w:rsidRDefault="000524F5" w:rsidP="009A1F69">
            <w:pPr>
              <w:keepNext/>
              <w:jc w:val="center"/>
            </w:pPr>
            <w:r w:rsidRPr="00B11FFC">
              <w:t>3.1b</w:t>
            </w:r>
          </w:p>
        </w:tc>
        <w:tc>
          <w:tcPr>
            <w:tcW w:w="1620" w:type="pct"/>
            <w:vAlign w:val="center"/>
          </w:tcPr>
          <w:p w:rsidR="000524F5" w:rsidRPr="00B11FFC" w:rsidRDefault="000524F5" w:rsidP="009A1F69">
            <w:pPr>
              <w:keepNext/>
              <w:jc w:val="center"/>
            </w:pPr>
            <w:r w:rsidRPr="00B11FFC">
              <w:t xml:space="preserve"> 31. 5. 2011</w:t>
            </w:r>
          </w:p>
        </w:tc>
      </w:tr>
      <w:tr w:rsidR="000524F5" w:rsidRPr="00042054" w:rsidTr="007C3993">
        <w:trPr>
          <w:trHeight w:val="362"/>
          <w:jc w:val="center"/>
        </w:trPr>
        <w:tc>
          <w:tcPr>
            <w:tcW w:w="450" w:type="pct"/>
            <w:tcBorders>
              <w:top w:val="single" w:sz="6" w:space="0" w:color="4F6228"/>
              <w:bottom w:val="single" w:sz="6" w:space="0" w:color="4F6228"/>
            </w:tcBorders>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8.</w:t>
            </w:r>
          </w:p>
        </w:tc>
        <w:tc>
          <w:tcPr>
            <w:tcW w:w="1617" w:type="pct"/>
            <w:vAlign w:val="center"/>
          </w:tcPr>
          <w:p w:rsidR="000524F5" w:rsidRPr="00B11FFC" w:rsidRDefault="000524F5" w:rsidP="009A1F69">
            <w:pPr>
              <w:keepNext/>
              <w:jc w:val="center"/>
            </w:pPr>
            <w:r w:rsidRPr="00B11FFC">
              <w:t>7. výzva MPSV</w:t>
            </w:r>
          </w:p>
        </w:tc>
        <w:tc>
          <w:tcPr>
            <w:tcW w:w="1313" w:type="pct"/>
            <w:vAlign w:val="center"/>
          </w:tcPr>
          <w:p w:rsidR="000524F5" w:rsidRPr="00B11FFC" w:rsidRDefault="000524F5" w:rsidP="009A1F69">
            <w:pPr>
              <w:keepNext/>
              <w:jc w:val="center"/>
            </w:pPr>
            <w:r w:rsidRPr="00B11FFC">
              <w:t>3.1a</w:t>
            </w:r>
          </w:p>
        </w:tc>
        <w:tc>
          <w:tcPr>
            <w:tcW w:w="1620" w:type="pct"/>
            <w:vAlign w:val="center"/>
          </w:tcPr>
          <w:p w:rsidR="000524F5" w:rsidRPr="00B11FFC" w:rsidRDefault="000524F5" w:rsidP="009A1F69">
            <w:pPr>
              <w:keepNext/>
              <w:jc w:val="center"/>
            </w:pPr>
            <w:r w:rsidRPr="00B11FFC">
              <w:t>7. 7. 2011</w:t>
            </w:r>
          </w:p>
        </w:tc>
      </w:tr>
      <w:tr w:rsidR="000524F5" w:rsidRPr="00042054" w:rsidTr="007C3993">
        <w:trPr>
          <w:trHeight w:val="362"/>
          <w:jc w:val="center"/>
        </w:trPr>
        <w:tc>
          <w:tcPr>
            <w:tcW w:w="450" w:type="pct"/>
            <w:tcBorders>
              <w:top w:val="single" w:sz="6" w:space="0" w:color="4F6228"/>
              <w:bottom w:val="single" w:sz="6" w:space="0" w:color="4F6228"/>
            </w:tcBorders>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9.</w:t>
            </w:r>
          </w:p>
        </w:tc>
        <w:tc>
          <w:tcPr>
            <w:tcW w:w="1617" w:type="pct"/>
            <w:vAlign w:val="center"/>
          </w:tcPr>
          <w:p w:rsidR="000524F5" w:rsidRPr="00B11FFC" w:rsidRDefault="000524F5" w:rsidP="009A1F69">
            <w:pPr>
              <w:keepNext/>
              <w:jc w:val="center"/>
            </w:pPr>
            <w:r w:rsidRPr="00B11FFC">
              <w:t>3. výzva MK</w:t>
            </w:r>
          </w:p>
        </w:tc>
        <w:tc>
          <w:tcPr>
            <w:tcW w:w="1313" w:type="pct"/>
            <w:vAlign w:val="center"/>
          </w:tcPr>
          <w:p w:rsidR="000524F5" w:rsidRPr="00B11FFC" w:rsidRDefault="000524F5" w:rsidP="009A1F69">
            <w:pPr>
              <w:keepNext/>
              <w:jc w:val="center"/>
            </w:pPr>
            <w:r w:rsidRPr="00B11FFC">
              <w:t>5.1b</w:t>
            </w:r>
          </w:p>
        </w:tc>
        <w:tc>
          <w:tcPr>
            <w:tcW w:w="1620" w:type="pct"/>
            <w:vAlign w:val="center"/>
          </w:tcPr>
          <w:p w:rsidR="000524F5" w:rsidRPr="00B11FFC" w:rsidRDefault="000524F5" w:rsidP="009A1F69">
            <w:pPr>
              <w:keepNext/>
              <w:jc w:val="center"/>
            </w:pPr>
            <w:r w:rsidRPr="00B11FFC">
              <w:t>24. 10. 2011</w:t>
            </w:r>
          </w:p>
        </w:tc>
      </w:tr>
      <w:tr w:rsidR="000524F5" w:rsidRPr="00042054" w:rsidTr="007C3993">
        <w:trPr>
          <w:trHeight w:val="362"/>
          <w:jc w:val="center"/>
        </w:trPr>
        <w:tc>
          <w:tcPr>
            <w:tcW w:w="450" w:type="pct"/>
            <w:tcBorders>
              <w:top w:val="single" w:sz="6" w:space="0" w:color="4F6228"/>
              <w:bottom w:val="double" w:sz="4" w:space="0" w:color="4F6228"/>
            </w:tcBorders>
            <w:shd w:val="clear" w:color="auto" w:fill="FFFFFF" w:themeFill="background1"/>
            <w:vAlign w:val="center"/>
          </w:tcPr>
          <w:p w:rsidR="000524F5" w:rsidRPr="007C3993" w:rsidRDefault="000524F5" w:rsidP="009A1F69">
            <w:pPr>
              <w:keepNext/>
              <w:jc w:val="center"/>
              <w:rPr>
                <w:b/>
                <w:sz w:val="18"/>
                <w:szCs w:val="18"/>
              </w:rPr>
            </w:pPr>
            <w:r w:rsidRPr="007C3993">
              <w:rPr>
                <w:b/>
                <w:sz w:val="18"/>
                <w:szCs w:val="18"/>
              </w:rPr>
              <w:t>10.</w:t>
            </w:r>
          </w:p>
        </w:tc>
        <w:tc>
          <w:tcPr>
            <w:tcW w:w="1617" w:type="pct"/>
            <w:vAlign w:val="center"/>
          </w:tcPr>
          <w:p w:rsidR="000524F5" w:rsidRPr="00B11FFC" w:rsidRDefault="000524F5" w:rsidP="009A1F69">
            <w:pPr>
              <w:keepNext/>
              <w:jc w:val="center"/>
            </w:pPr>
            <w:r w:rsidRPr="00B11FFC">
              <w:t>13. výzva MMR</w:t>
            </w:r>
          </w:p>
        </w:tc>
        <w:tc>
          <w:tcPr>
            <w:tcW w:w="1313" w:type="pct"/>
            <w:vAlign w:val="center"/>
          </w:tcPr>
          <w:p w:rsidR="000524F5" w:rsidRPr="00B11FFC" w:rsidRDefault="000524F5" w:rsidP="009A1F69">
            <w:pPr>
              <w:keepNext/>
              <w:jc w:val="center"/>
            </w:pPr>
            <w:r w:rsidRPr="00B11FFC">
              <w:t>4.1b</w:t>
            </w:r>
          </w:p>
        </w:tc>
        <w:tc>
          <w:tcPr>
            <w:tcW w:w="1620" w:type="pct"/>
            <w:vAlign w:val="center"/>
          </w:tcPr>
          <w:p w:rsidR="000524F5" w:rsidRPr="00B11FFC" w:rsidRDefault="000524F5" w:rsidP="009A1F69">
            <w:pPr>
              <w:keepNext/>
              <w:jc w:val="center"/>
            </w:pPr>
            <w:r w:rsidRPr="00B11FFC">
              <w:t>14. 12. 2011</w:t>
            </w:r>
          </w:p>
        </w:tc>
      </w:tr>
    </w:tbl>
    <w:p w:rsidR="000524F5" w:rsidRDefault="000524F5" w:rsidP="000524F5">
      <w:pPr>
        <w:keepNext/>
        <w:rPr>
          <w:i/>
          <w:sz w:val="18"/>
          <w:szCs w:val="18"/>
        </w:rPr>
      </w:pPr>
      <w:r w:rsidRPr="00042054">
        <w:rPr>
          <w:i/>
          <w:sz w:val="18"/>
          <w:szCs w:val="18"/>
        </w:rPr>
        <w:t xml:space="preserve">Zdroj: </w:t>
      </w:r>
      <w:r>
        <w:rPr>
          <w:i/>
          <w:sz w:val="18"/>
          <w:szCs w:val="18"/>
        </w:rPr>
        <w:t>Ř</w:t>
      </w:r>
      <w:r w:rsidRPr="00042054">
        <w:rPr>
          <w:i/>
          <w:sz w:val="18"/>
          <w:szCs w:val="18"/>
        </w:rPr>
        <w:t>O IOP</w:t>
      </w:r>
    </w:p>
    <w:p w:rsidR="000524F5" w:rsidRDefault="000524F5" w:rsidP="000524F5">
      <w:pPr>
        <w:keepNext/>
        <w:rPr>
          <w:i/>
          <w:sz w:val="18"/>
          <w:szCs w:val="18"/>
        </w:rPr>
      </w:pPr>
    </w:p>
    <w:p w:rsidR="000524F5" w:rsidRPr="00BC3D16" w:rsidRDefault="000524F5" w:rsidP="000524F5">
      <w:pPr>
        <w:keepNext/>
        <w:rPr>
          <w:sz w:val="22"/>
          <w:szCs w:val="22"/>
        </w:rPr>
      </w:pPr>
      <w:r>
        <w:rPr>
          <w:sz w:val="22"/>
          <w:szCs w:val="22"/>
        </w:rPr>
        <w:t>V</w:t>
      </w:r>
      <w:r w:rsidRPr="00BC3D16">
        <w:rPr>
          <w:sz w:val="22"/>
          <w:szCs w:val="22"/>
        </w:rPr>
        <w:t xml:space="preserve"> roce </w:t>
      </w:r>
      <w:r>
        <w:rPr>
          <w:sz w:val="22"/>
          <w:szCs w:val="22"/>
        </w:rPr>
        <w:t xml:space="preserve">2012, </w:t>
      </w:r>
      <w:r w:rsidRPr="00BC3D16">
        <w:rPr>
          <w:sz w:val="22"/>
          <w:szCs w:val="22"/>
        </w:rPr>
        <w:t>201</w:t>
      </w:r>
      <w:r>
        <w:rPr>
          <w:sz w:val="22"/>
          <w:szCs w:val="22"/>
        </w:rPr>
        <w:t>3</w:t>
      </w:r>
      <w:r w:rsidRPr="00BC3D16">
        <w:rPr>
          <w:sz w:val="22"/>
          <w:szCs w:val="22"/>
        </w:rPr>
        <w:t xml:space="preserve"> </w:t>
      </w:r>
      <w:r>
        <w:rPr>
          <w:sz w:val="22"/>
          <w:szCs w:val="22"/>
        </w:rPr>
        <w:t xml:space="preserve">a 2014 </w:t>
      </w:r>
      <w:r w:rsidRPr="00BC3D16">
        <w:rPr>
          <w:sz w:val="22"/>
          <w:szCs w:val="22"/>
        </w:rPr>
        <w:t>byly vyhlášeny pouze výzvy týkající se projektů, které negenerují příjmy</w:t>
      </w:r>
      <w:r>
        <w:rPr>
          <w:sz w:val="22"/>
          <w:szCs w:val="22"/>
        </w:rPr>
        <w:t>.</w:t>
      </w:r>
    </w:p>
    <w:p w:rsidR="00C752F2" w:rsidRDefault="00C752F2" w:rsidP="000524F5">
      <w:pPr>
        <w:jc w:val="both"/>
        <w:rPr>
          <w:b/>
          <w:sz w:val="24"/>
          <w:szCs w:val="24"/>
        </w:rPr>
      </w:pPr>
    </w:p>
    <w:p w:rsidR="000524F5" w:rsidRDefault="000524F5" w:rsidP="000524F5">
      <w:pPr>
        <w:jc w:val="both"/>
        <w:rPr>
          <w:b/>
          <w:sz w:val="24"/>
          <w:szCs w:val="24"/>
        </w:rPr>
      </w:pPr>
      <w:r w:rsidRPr="00042054">
        <w:rPr>
          <w:b/>
          <w:sz w:val="24"/>
          <w:szCs w:val="24"/>
        </w:rPr>
        <w:t>Ochrana životního prostředí</w:t>
      </w:r>
    </w:p>
    <w:p w:rsidR="00A30A09" w:rsidRDefault="00A30A09" w:rsidP="00A30A09">
      <w:pPr>
        <w:jc w:val="both"/>
        <w:rPr>
          <w:sz w:val="22"/>
          <w:szCs w:val="22"/>
        </w:rPr>
      </w:pPr>
      <w:r w:rsidRPr="00A30A09">
        <w:rPr>
          <w:sz w:val="22"/>
          <w:szCs w:val="22"/>
        </w:rPr>
        <w:t>Směrnice Evropského parlamentu a Rady č. 2011/92/EU ze dne 13. prosince 2011 o posuzování vlivů některých veřejných a soukromých záměrů na životní prostředí je do právního řádu ČR transponována zákonem č. 100/2001 Sb., o posuzování vlivů na životní prostředí a o změně některých souvisejících zákonů, ve znění pozdějších předpisů (zákon EIA).</w:t>
      </w:r>
    </w:p>
    <w:p w:rsidR="00403D4D" w:rsidRPr="00A30A09" w:rsidRDefault="00403D4D" w:rsidP="00A30A09">
      <w:pPr>
        <w:jc w:val="both"/>
        <w:rPr>
          <w:sz w:val="22"/>
          <w:szCs w:val="22"/>
        </w:rPr>
      </w:pPr>
    </w:p>
    <w:p w:rsidR="0088001E" w:rsidRPr="00A30A09" w:rsidRDefault="0088001E" w:rsidP="0088001E">
      <w:pPr>
        <w:pStyle w:val="normln0"/>
        <w:rPr>
          <w:sz w:val="22"/>
          <w:szCs w:val="22"/>
        </w:rPr>
      </w:pPr>
      <w:r w:rsidRPr="00A30A09">
        <w:rPr>
          <w:sz w:val="22"/>
          <w:szCs w:val="22"/>
        </w:rPr>
        <w:t xml:space="preserve">Každý stavební záměr, který překračuje limity uvedené v přílohách zákona EIA, musí při svém předložení obsahovat vyjádření příslušného orgánu o vlivu na životní prostředí. </w:t>
      </w:r>
    </w:p>
    <w:p w:rsidR="0088001E" w:rsidRPr="00A30A09" w:rsidRDefault="0088001E" w:rsidP="0088001E">
      <w:pPr>
        <w:rPr>
          <w:sz w:val="22"/>
          <w:szCs w:val="22"/>
          <w:lang w:eastAsia="en-US"/>
        </w:rPr>
      </w:pPr>
    </w:p>
    <w:p w:rsidR="0088001E" w:rsidRPr="00A30A09" w:rsidRDefault="0088001E" w:rsidP="0088001E">
      <w:pPr>
        <w:pStyle w:val="normln0"/>
        <w:rPr>
          <w:sz w:val="22"/>
          <w:szCs w:val="22"/>
        </w:rPr>
      </w:pPr>
      <w:r w:rsidRPr="00A30A09">
        <w:rPr>
          <w:sz w:val="22"/>
          <w:szCs w:val="22"/>
        </w:rPr>
        <w:t>V souvislosti s usnesením vlády č. 1078/2014 ze dne 15. prosince 2014 je nutné upozornit na záměry, jejichž povolovací proces skončil před 1. dubnem 2015</w:t>
      </w:r>
      <w:r>
        <w:rPr>
          <w:sz w:val="22"/>
          <w:szCs w:val="22"/>
        </w:rPr>
        <w:t>.</w:t>
      </w:r>
      <w:r w:rsidRPr="00A30A09">
        <w:rPr>
          <w:sz w:val="22"/>
          <w:szCs w:val="22"/>
        </w:rPr>
        <w:t xml:space="preserve"> </w:t>
      </w:r>
      <w:r>
        <w:rPr>
          <w:sz w:val="22"/>
          <w:szCs w:val="22"/>
        </w:rPr>
        <w:t>J</w:t>
      </w:r>
      <w:r w:rsidRPr="00A30A09">
        <w:rPr>
          <w:sz w:val="22"/>
          <w:szCs w:val="22"/>
        </w:rPr>
        <w:t xml:space="preserve">de o záměry, u kterých Evropská komise prosadila zvláštní druh posouzení prostřednictvím meziresortní pracovní skupiny. Jde </w:t>
      </w:r>
      <w:r w:rsidRPr="00A30A09">
        <w:rPr>
          <w:sz w:val="22"/>
          <w:szCs w:val="22"/>
        </w:rPr>
        <w:br/>
        <w:t>o záměry, u kterých je vedeno „před-</w:t>
      </w:r>
      <w:proofErr w:type="spellStart"/>
      <w:r w:rsidRPr="00A30A09">
        <w:rPr>
          <w:sz w:val="22"/>
          <w:szCs w:val="22"/>
        </w:rPr>
        <w:t>infringementové</w:t>
      </w:r>
      <w:proofErr w:type="spellEnd"/>
      <w:r w:rsidRPr="00A30A09">
        <w:rPr>
          <w:sz w:val="22"/>
          <w:szCs w:val="22"/>
        </w:rPr>
        <w:t>“ řízení EU Pilot a o velké projekty</w:t>
      </w:r>
      <w:r w:rsidRPr="00A30A09">
        <w:rPr>
          <w:rStyle w:val="Znakapoznpodarou"/>
          <w:sz w:val="22"/>
          <w:szCs w:val="22"/>
        </w:rPr>
        <w:footnoteReference w:id="10"/>
      </w:r>
      <w:r w:rsidRPr="00A30A09">
        <w:rPr>
          <w:sz w:val="22"/>
          <w:szCs w:val="22"/>
        </w:rPr>
        <w:t xml:space="preserve">, jejichž spolufinancování z EU dosud nebylo schváleno. Tyto projekty podléhají postupům </w:t>
      </w:r>
      <w:r>
        <w:rPr>
          <w:sz w:val="22"/>
          <w:szCs w:val="22"/>
        </w:rPr>
        <w:t>po</w:t>
      </w:r>
      <w:r w:rsidRPr="00A30A09">
        <w:rPr>
          <w:sz w:val="22"/>
          <w:szCs w:val="22"/>
        </w:rPr>
        <w:t xml:space="preserve">dle přílohy zmíněného usnesení vlády.    </w:t>
      </w:r>
    </w:p>
    <w:p w:rsidR="000524F5" w:rsidRPr="00BD51B2" w:rsidRDefault="000524F5" w:rsidP="000524F5">
      <w:pPr>
        <w:jc w:val="both"/>
        <w:rPr>
          <w:sz w:val="22"/>
          <w:szCs w:val="22"/>
        </w:rPr>
      </w:pPr>
      <w:r w:rsidRPr="00042054">
        <w:rPr>
          <w:sz w:val="22"/>
          <w:szCs w:val="22"/>
        </w:rPr>
        <w:t xml:space="preserve">Problematika životního prostředí je v IOP zohledněna nejprve </w:t>
      </w:r>
      <w:r w:rsidRPr="00BD51B2">
        <w:rPr>
          <w:sz w:val="22"/>
          <w:szCs w:val="22"/>
        </w:rPr>
        <w:t xml:space="preserve">při kontrole přijatelnosti projektu, kde se </w:t>
      </w:r>
      <w:r>
        <w:rPr>
          <w:sz w:val="22"/>
          <w:szCs w:val="22"/>
        </w:rPr>
        <w:t>posuz</w:t>
      </w:r>
      <w:r w:rsidRPr="00BD51B2">
        <w:rPr>
          <w:sz w:val="22"/>
          <w:szCs w:val="22"/>
        </w:rPr>
        <w:t>uje, zda projekt nebude mít negativní vliv na horizontální kritéria, tedy ani na životní prostředí. V opačném případě je projekt vyřazen z další administrace.</w:t>
      </w:r>
    </w:p>
    <w:p w:rsidR="000524F5" w:rsidRPr="00BD51B2" w:rsidRDefault="000524F5" w:rsidP="000524F5">
      <w:pPr>
        <w:jc w:val="both"/>
        <w:rPr>
          <w:sz w:val="22"/>
          <w:szCs w:val="22"/>
        </w:rPr>
      </w:pPr>
    </w:p>
    <w:p w:rsidR="000524F5" w:rsidRPr="00042054" w:rsidRDefault="000524F5" w:rsidP="000524F5">
      <w:pPr>
        <w:jc w:val="both"/>
        <w:rPr>
          <w:sz w:val="22"/>
          <w:szCs w:val="22"/>
        </w:rPr>
      </w:pPr>
      <w:r w:rsidRPr="00BD51B2">
        <w:rPr>
          <w:sz w:val="22"/>
          <w:szCs w:val="22"/>
        </w:rPr>
        <w:t>Při hodnocení kvality projektů se zohledňuje pozitivní vliv realizace projektu na životní prostředí. OM IOP uvádí druhy aktivit, které mohou mít pozitivní vliv na</w:t>
      </w:r>
      <w:r w:rsidRPr="00042054">
        <w:rPr>
          <w:sz w:val="22"/>
          <w:szCs w:val="22"/>
        </w:rPr>
        <w:t xml:space="preserve"> životní prostředí a které mají vždy neutrální vliv. Pozitivní dopad na životní prostředí je při hodnocení projektu bodově zvýhodněn</w:t>
      </w:r>
      <w:r>
        <w:rPr>
          <w:sz w:val="22"/>
          <w:szCs w:val="22"/>
        </w:rPr>
        <w:t>ý</w:t>
      </w:r>
      <w:r w:rsidRPr="00042054">
        <w:rPr>
          <w:sz w:val="22"/>
          <w:szCs w:val="22"/>
        </w:rPr>
        <w:t xml:space="preserve"> a při další administraci a kontrolách </w:t>
      </w:r>
      <w:r>
        <w:rPr>
          <w:sz w:val="22"/>
          <w:szCs w:val="22"/>
        </w:rPr>
        <w:t xml:space="preserve">se </w:t>
      </w:r>
      <w:r w:rsidRPr="00042054">
        <w:rPr>
          <w:sz w:val="22"/>
          <w:szCs w:val="22"/>
        </w:rPr>
        <w:t>sleduje, jak projekt přispívá k jeh</w:t>
      </w:r>
      <w:r>
        <w:rPr>
          <w:sz w:val="22"/>
          <w:szCs w:val="22"/>
        </w:rPr>
        <w:t>o</w:t>
      </w:r>
      <w:r w:rsidRPr="00042054">
        <w:rPr>
          <w:sz w:val="22"/>
          <w:szCs w:val="22"/>
        </w:rPr>
        <w:t xml:space="preserve"> naplnění a udržení.</w:t>
      </w:r>
    </w:p>
    <w:p w:rsidR="000524F5" w:rsidRPr="00042054" w:rsidRDefault="000524F5" w:rsidP="000524F5">
      <w:pPr>
        <w:jc w:val="both"/>
        <w:rPr>
          <w:sz w:val="22"/>
          <w:szCs w:val="22"/>
        </w:rPr>
      </w:pPr>
    </w:p>
    <w:p w:rsidR="000524F5" w:rsidRPr="00042054" w:rsidRDefault="000524F5" w:rsidP="000524F5">
      <w:pPr>
        <w:jc w:val="both"/>
        <w:rPr>
          <w:sz w:val="22"/>
          <w:szCs w:val="22"/>
        </w:rPr>
      </w:pPr>
      <w:r w:rsidRPr="00042054">
        <w:rPr>
          <w:sz w:val="22"/>
          <w:szCs w:val="22"/>
        </w:rPr>
        <w:t>Součástí monitorovacích zpráv a hlášení o pokroku, předkládaných příjemcem, je informace o postupu naplňov</w:t>
      </w:r>
      <w:r>
        <w:rPr>
          <w:sz w:val="22"/>
          <w:szCs w:val="22"/>
        </w:rPr>
        <w:t>á</w:t>
      </w:r>
      <w:r w:rsidRPr="00042054">
        <w:rPr>
          <w:sz w:val="22"/>
          <w:szCs w:val="22"/>
        </w:rPr>
        <w:t>ní environmentálních kritérií.</w:t>
      </w:r>
    </w:p>
    <w:p w:rsidR="007C3920" w:rsidRPr="00042054" w:rsidRDefault="007C3920" w:rsidP="000524F5">
      <w:pPr>
        <w:jc w:val="both"/>
        <w:rPr>
          <w:sz w:val="22"/>
          <w:szCs w:val="22"/>
        </w:rPr>
      </w:pPr>
    </w:p>
    <w:p w:rsidR="000524F5" w:rsidRPr="00042054" w:rsidRDefault="000524F5" w:rsidP="000524F5">
      <w:pPr>
        <w:jc w:val="both"/>
        <w:rPr>
          <w:sz w:val="22"/>
          <w:szCs w:val="22"/>
        </w:rPr>
      </w:pPr>
      <w:r w:rsidRPr="00042054">
        <w:rPr>
          <w:sz w:val="22"/>
          <w:szCs w:val="22"/>
        </w:rPr>
        <w:t>Realizace projektů má pozitivní vliv na životní prostředí v:</w:t>
      </w:r>
    </w:p>
    <w:p w:rsidR="000524F5" w:rsidRPr="000612B7" w:rsidRDefault="000524F5" w:rsidP="000524F5">
      <w:pPr>
        <w:numPr>
          <w:ilvl w:val="0"/>
          <w:numId w:val="20"/>
        </w:numPr>
        <w:jc w:val="both"/>
        <w:rPr>
          <w:sz w:val="22"/>
          <w:szCs w:val="22"/>
        </w:rPr>
      </w:pPr>
      <w:r w:rsidRPr="000612B7">
        <w:rPr>
          <w:sz w:val="22"/>
          <w:szCs w:val="22"/>
        </w:rPr>
        <w:t>oblasti intervence 3.2 - využívání ekologicky šetrných materiálů a technologií s nižšími nároky na spotřebu elektrické energie,</w:t>
      </w:r>
    </w:p>
    <w:p w:rsidR="000524F5" w:rsidRPr="000612B7" w:rsidRDefault="000524F5" w:rsidP="000524F5">
      <w:pPr>
        <w:numPr>
          <w:ilvl w:val="0"/>
          <w:numId w:val="20"/>
        </w:numPr>
        <w:jc w:val="both"/>
        <w:rPr>
          <w:sz w:val="22"/>
          <w:szCs w:val="22"/>
        </w:rPr>
      </w:pPr>
      <w:r w:rsidRPr="000612B7">
        <w:rPr>
          <w:sz w:val="22"/>
          <w:szCs w:val="22"/>
        </w:rPr>
        <w:t>oblasti intervence 3.4 - prevence požárů a ekologických katastrof,</w:t>
      </w:r>
    </w:p>
    <w:p w:rsidR="000524F5" w:rsidRPr="000612B7" w:rsidRDefault="000524F5" w:rsidP="000524F5">
      <w:pPr>
        <w:numPr>
          <w:ilvl w:val="0"/>
          <w:numId w:val="20"/>
        </w:numPr>
        <w:jc w:val="both"/>
        <w:rPr>
          <w:sz w:val="22"/>
          <w:szCs w:val="22"/>
        </w:rPr>
      </w:pPr>
      <w:r w:rsidRPr="000612B7">
        <w:rPr>
          <w:sz w:val="22"/>
          <w:szCs w:val="22"/>
        </w:rPr>
        <w:lastRenderedPageBreak/>
        <w:t xml:space="preserve">prioritních </w:t>
      </w:r>
      <w:proofErr w:type="gramStart"/>
      <w:r w:rsidRPr="000612B7">
        <w:rPr>
          <w:sz w:val="22"/>
          <w:szCs w:val="22"/>
        </w:rPr>
        <w:t>osách</w:t>
      </w:r>
      <w:proofErr w:type="gramEnd"/>
      <w:r w:rsidRPr="000612B7">
        <w:rPr>
          <w:sz w:val="22"/>
          <w:szCs w:val="22"/>
        </w:rPr>
        <w:t xml:space="preserve"> 4A a 4B - projekty propagující udržitelný šetrný cestovní ruch,</w:t>
      </w:r>
    </w:p>
    <w:p w:rsidR="000524F5" w:rsidRPr="000612B7" w:rsidRDefault="000524F5" w:rsidP="000524F5">
      <w:pPr>
        <w:numPr>
          <w:ilvl w:val="0"/>
          <w:numId w:val="20"/>
        </w:numPr>
        <w:jc w:val="both"/>
        <w:rPr>
          <w:sz w:val="22"/>
          <w:szCs w:val="22"/>
        </w:rPr>
      </w:pPr>
      <w:r w:rsidRPr="000612B7">
        <w:rPr>
          <w:sz w:val="22"/>
          <w:szCs w:val="22"/>
        </w:rPr>
        <w:t>oblasti intervence 5.1 - projekty využívající při obnově památek a jejich provozu ekologicky šetrné materiály a technologie a alternativní zdroje energie</w:t>
      </w:r>
      <w:r w:rsidRPr="00FD2B1F">
        <w:rPr>
          <w:sz w:val="22"/>
          <w:szCs w:val="22"/>
        </w:rPr>
        <w:t>,</w:t>
      </w:r>
    </w:p>
    <w:p w:rsidR="000524F5" w:rsidRPr="000612B7" w:rsidRDefault="000524F5" w:rsidP="000524F5">
      <w:pPr>
        <w:numPr>
          <w:ilvl w:val="0"/>
          <w:numId w:val="20"/>
        </w:numPr>
        <w:jc w:val="both"/>
        <w:rPr>
          <w:sz w:val="22"/>
          <w:szCs w:val="22"/>
        </w:rPr>
      </w:pPr>
      <w:r w:rsidRPr="000612B7">
        <w:rPr>
          <w:sz w:val="22"/>
          <w:szCs w:val="22"/>
        </w:rPr>
        <w:t>aktivitě 5.2a) -</w:t>
      </w:r>
      <w:r w:rsidRPr="00FD2B1F">
        <w:rPr>
          <w:sz w:val="22"/>
          <w:szCs w:val="22"/>
        </w:rPr>
        <w:t xml:space="preserve"> </w:t>
      </w:r>
      <w:r w:rsidRPr="001E7FB4">
        <w:rPr>
          <w:sz w:val="22"/>
          <w:szCs w:val="22"/>
        </w:rPr>
        <w:t>projekty, které se z více než 50 % způsobilých výdajů zaměřují na rozšiřování a obnovu zeleně</w:t>
      </w:r>
      <w:r w:rsidRPr="00CE5AF8">
        <w:rPr>
          <w:sz w:val="22"/>
          <w:szCs w:val="22"/>
        </w:rPr>
        <w:t>,</w:t>
      </w:r>
    </w:p>
    <w:p w:rsidR="000524F5" w:rsidRDefault="000524F5" w:rsidP="000524F5">
      <w:pPr>
        <w:numPr>
          <w:ilvl w:val="0"/>
          <w:numId w:val="21"/>
        </w:numPr>
        <w:jc w:val="both"/>
        <w:rPr>
          <w:sz w:val="22"/>
          <w:szCs w:val="22"/>
        </w:rPr>
      </w:pPr>
      <w:r w:rsidRPr="00042054">
        <w:rPr>
          <w:sz w:val="22"/>
          <w:szCs w:val="22"/>
        </w:rPr>
        <w:t>aktivitě 5.2b) - projekty zaměřené na snižování energetické náročnosti budov</w:t>
      </w:r>
      <w:r>
        <w:rPr>
          <w:sz w:val="22"/>
          <w:szCs w:val="22"/>
        </w:rPr>
        <w:t>.</w:t>
      </w:r>
      <w:r w:rsidRPr="00042054">
        <w:rPr>
          <w:sz w:val="22"/>
          <w:szCs w:val="22"/>
        </w:rPr>
        <w:t xml:space="preserve"> </w:t>
      </w:r>
    </w:p>
    <w:p w:rsidR="000524F5" w:rsidRPr="00042054" w:rsidRDefault="000524F5" w:rsidP="000524F5">
      <w:pPr>
        <w:jc w:val="both"/>
        <w:rPr>
          <w:sz w:val="22"/>
          <w:szCs w:val="22"/>
        </w:rPr>
      </w:pPr>
    </w:p>
    <w:p w:rsidR="000524F5" w:rsidRPr="00042054" w:rsidRDefault="000524F5" w:rsidP="000524F5">
      <w:pPr>
        <w:jc w:val="both"/>
        <w:rPr>
          <w:sz w:val="22"/>
          <w:szCs w:val="22"/>
        </w:rPr>
      </w:pPr>
      <w:r w:rsidRPr="00042054">
        <w:rPr>
          <w:sz w:val="22"/>
          <w:szCs w:val="22"/>
        </w:rPr>
        <w:t>Problematik</w:t>
      </w:r>
      <w:r>
        <w:rPr>
          <w:sz w:val="22"/>
          <w:szCs w:val="22"/>
        </w:rPr>
        <w:t>u</w:t>
      </w:r>
      <w:r w:rsidRPr="00042054">
        <w:rPr>
          <w:sz w:val="22"/>
          <w:szCs w:val="22"/>
        </w:rPr>
        <w:t xml:space="preserve"> </w:t>
      </w:r>
      <w:r>
        <w:rPr>
          <w:sz w:val="22"/>
          <w:szCs w:val="22"/>
        </w:rPr>
        <w:t>vlivu projektu na životní prostředí</w:t>
      </w:r>
      <w:r w:rsidRPr="00042054">
        <w:rPr>
          <w:sz w:val="22"/>
          <w:szCs w:val="22"/>
        </w:rPr>
        <w:t xml:space="preserve"> </w:t>
      </w:r>
      <w:r>
        <w:rPr>
          <w:sz w:val="22"/>
          <w:szCs w:val="22"/>
        </w:rPr>
        <w:t>ZS povinně</w:t>
      </w:r>
      <w:r w:rsidRPr="00042054">
        <w:rPr>
          <w:sz w:val="22"/>
          <w:szCs w:val="22"/>
        </w:rPr>
        <w:t xml:space="preserve"> sleduj</w:t>
      </w:r>
      <w:r>
        <w:rPr>
          <w:sz w:val="22"/>
          <w:szCs w:val="22"/>
        </w:rPr>
        <w:t>í</w:t>
      </w:r>
      <w:r w:rsidRPr="00042054">
        <w:rPr>
          <w:sz w:val="22"/>
          <w:szCs w:val="22"/>
        </w:rPr>
        <w:t xml:space="preserve">: </w:t>
      </w:r>
    </w:p>
    <w:p w:rsidR="000524F5" w:rsidRPr="00C3492D" w:rsidRDefault="000524F5" w:rsidP="000524F5">
      <w:pPr>
        <w:numPr>
          <w:ilvl w:val="0"/>
          <w:numId w:val="22"/>
        </w:numPr>
        <w:jc w:val="both"/>
        <w:rPr>
          <w:sz w:val="22"/>
          <w:szCs w:val="22"/>
        </w:rPr>
      </w:pPr>
      <w:r>
        <w:rPr>
          <w:sz w:val="22"/>
          <w:szCs w:val="22"/>
        </w:rPr>
        <w:t>v analýzách</w:t>
      </w:r>
      <w:r w:rsidRPr="00C3492D">
        <w:rPr>
          <w:sz w:val="22"/>
          <w:szCs w:val="22"/>
        </w:rPr>
        <w:t xml:space="preserve"> rizik, </w:t>
      </w:r>
    </w:p>
    <w:p w:rsidR="000524F5" w:rsidRPr="00C3492D" w:rsidRDefault="000524F5" w:rsidP="000524F5">
      <w:pPr>
        <w:numPr>
          <w:ilvl w:val="0"/>
          <w:numId w:val="22"/>
        </w:numPr>
        <w:jc w:val="both"/>
        <w:rPr>
          <w:sz w:val="22"/>
          <w:szCs w:val="22"/>
        </w:rPr>
      </w:pPr>
      <w:r>
        <w:rPr>
          <w:sz w:val="22"/>
          <w:szCs w:val="22"/>
        </w:rPr>
        <w:t>při kontrolách</w:t>
      </w:r>
      <w:r w:rsidRPr="00C3492D">
        <w:rPr>
          <w:sz w:val="22"/>
          <w:szCs w:val="22"/>
        </w:rPr>
        <w:t xml:space="preserve"> na místě ex-ante, interim a ex-post,</w:t>
      </w:r>
    </w:p>
    <w:p w:rsidR="000524F5" w:rsidRPr="00C3492D" w:rsidRDefault="000524F5" w:rsidP="000524F5">
      <w:pPr>
        <w:numPr>
          <w:ilvl w:val="0"/>
          <w:numId w:val="22"/>
        </w:numPr>
        <w:jc w:val="both"/>
        <w:rPr>
          <w:sz w:val="22"/>
          <w:szCs w:val="22"/>
        </w:rPr>
      </w:pPr>
      <w:r>
        <w:rPr>
          <w:sz w:val="22"/>
          <w:szCs w:val="22"/>
        </w:rPr>
        <w:t>při kontrolách</w:t>
      </w:r>
      <w:r w:rsidRPr="00C3492D">
        <w:rPr>
          <w:sz w:val="22"/>
          <w:szCs w:val="22"/>
        </w:rPr>
        <w:t xml:space="preserve"> monitorovacích zpráv, </w:t>
      </w:r>
    </w:p>
    <w:p w:rsidR="000524F5" w:rsidRPr="00C3492D" w:rsidRDefault="000524F5" w:rsidP="000524F5">
      <w:pPr>
        <w:numPr>
          <w:ilvl w:val="0"/>
          <w:numId w:val="22"/>
        </w:numPr>
        <w:jc w:val="both"/>
        <w:rPr>
          <w:sz w:val="22"/>
          <w:szCs w:val="22"/>
        </w:rPr>
      </w:pPr>
      <w:r>
        <w:rPr>
          <w:sz w:val="22"/>
          <w:szCs w:val="22"/>
        </w:rPr>
        <w:t>při kontrolách</w:t>
      </w:r>
      <w:r w:rsidRPr="00C3492D">
        <w:rPr>
          <w:sz w:val="22"/>
          <w:szCs w:val="22"/>
        </w:rPr>
        <w:t xml:space="preserve"> hlášení o pokroku,</w:t>
      </w:r>
    </w:p>
    <w:p w:rsidR="000524F5" w:rsidRPr="00C3492D" w:rsidRDefault="000524F5" w:rsidP="000524F5">
      <w:pPr>
        <w:numPr>
          <w:ilvl w:val="0"/>
          <w:numId w:val="22"/>
        </w:numPr>
        <w:jc w:val="both"/>
        <w:rPr>
          <w:sz w:val="22"/>
          <w:szCs w:val="22"/>
        </w:rPr>
      </w:pPr>
      <w:r>
        <w:rPr>
          <w:sz w:val="22"/>
          <w:szCs w:val="22"/>
        </w:rPr>
        <w:t>při kontrolách</w:t>
      </w:r>
      <w:r w:rsidRPr="00C3492D">
        <w:rPr>
          <w:sz w:val="22"/>
          <w:szCs w:val="22"/>
        </w:rPr>
        <w:t xml:space="preserve"> žádostí o platbu,</w:t>
      </w:r>
    </w:p>
    <w:p w:rsidR="000524F5" w:rsidRPr="00C3492D" w:rsidRDefault="000524F5" w:rsidP="000524F5">
      <w:pPr>
        <w:numPr>
          <w:ilvl w:val="0"/>
          <w:numId w:val="22"/>
        </w:numPr>
        <w:jc w:val="both"/>
        <w:rPr>
          <w:sz w:val="22"/>
          <w:szCs w:val="22"/>
        </w:rPr>
      </w:pPr>
      <w:r>
        <w:rPr>
          <w:sz w:val="22"/>
          <w:szCs w:val="22"/>
        </w:rPr>
        <w:t xml:space="preserve">při </w:t>
      </w:r>
      <w:r w:rsidRPr="00C3492D">
        <w:rPr>
          <w:sz w:val="22"/>
          <w:szCs w:val="22"/>
        </w:rPr>
        <w:t>posuzování změn v projektu.</w:t>
      </w:r>
    </w:p>
    <w:p w:rsidR="000524F5" w:rsidRPr="00042054" w:rsidRDefault="000524F5" w:rsidP="00B92A0D">
      <w:pPr>
        <w:jc w:val="both"/>
        <w:rPr>
          <w:sz w:val="22"/>
          <w:szCs w:val="22"/>
        </w:rPr>
      </w:pPr>
    </w:p>
    <w:p w:rsidR="000524F5" w:rsidRPr="00042054" w:rsidRDefault="000524F5" w:rsidP="000524F5">
      <w:pPr>
        <w:jc w:val="both"/>
        <w:rPr>
          <w:b/>
          <w:sz w:val="24"/>
          <w:szCs w:val="24"/>
        </w:rPr>
      </w:pPr>
      <w:r w:rsidRPr="00042054">
        <w:rPr>
          <w:b/>
          <w:sz w:val="24"/>
          <w:szCs w:val="24"/>
        </w:rPr>
        <w:t xml:space="preserve">Podpora rovných příležitostí </w:t>
      </w:r>
    </w:p>
    <w:p w:rsidR="000524F5" w:rsidRPr="00042054" w:rsidRDefault="000524F5" w:rsidP="000524F5">
      <w:pPr>
        <w:jc w:val="both"/>
        <w:rPr>
          <w:sz w:val="22"/>
          <w:szCs w:val="22"/>
        </w:rPr>
      </w:pPr>
      <w:r w:rsidRPr="00042054">
        <w:rPr>
          <w:sz w:val="22"/>
          <w:szCs w:val="22"/>
        </w:rPr>
        <w:t>Princip podpory rovných příležitostí je uplatňován v souladu s Nařízením Rady (ES) č. 1083/2006.</w:t>
      </w:r>
    </w:p>
    <w:p w:rsidR="000524F5" w:rsidRPr="00042054" w:rsidRDefault="000524F5" w:rsidP="000524F5">
      <w:pPr>
        <w:jc w:val="both"/>
        <w:rPr>
          <w:sz w:val="22"/>
          <w:szCs w:val="22"/>
        </w:rPr>
      </w:pPr>
      <w:r w:rsidRPr="00042054">
        <w:rPr>
          <w:sz w:val="22"/>
          <w:szCs w:val="22"/>
        </w:rPr>
        <w:t xml:space="preserve">Problematika rovných příležitostí je v IOP zohledněna nejprve </w:t>
      </w:r>
      <w:r w:rsidRPr="00BD51B2">
        <w:rPr>
          <w:sz w:val="22"/>
          <w:szCs w:val="22"/>
        </w:rPr>
        <w:t xml:space="preserve">při kontrole přijatelnosti projektu, kde se kontroluje, zda projekt nebude mít negativní vliv na rovné příležitosti. Pokud se zjistí negativní vliv na rovné příležitosti, projekt nesplňuje kritérium přijatelnosti a je z další administrace vyřazen. </w:t>
      </w:r>
      <w:r>
        <w:rPr>
          <w:sz w:val="22"/>
          <w:szCs w:val="22"/>
        </w:rPr>
        <w:br/>
      </w:r>
      <w:r w:rsidRPr="00BD51B2">
        <w:rPr>
          <w:sz w:val="22"/>
          <w:szCs w:val="22"/>
        </w:rPr>
        <w:t>Pro hodnocení kvality projektů uvádí OM IOP druhy aktivit, které mohou mít pozitivní vliv na rovné příležitosti a které mají vždy neutrální vliv. Pozitivní dopad na rovné příležitosti je při hodnocení projektu bodově zvýhodněn</w:t>
      </w:r>
      <w:r>
        <w:rPr>
          <w:sz w:val="22"/>
          <w:szCs w:val="22"/>
        </w:rPr>
        <w:t>ý</w:t>
      </w:r>
      <w:r w:rsidRPr="00BD51B2">
        <w:rPr>
          <w:sz w:val="22"/>
          <w:szCs w:val="22"/>
        </w:rPr>
        <w:t xml:space="preserve"> a při další administr</w:t>
      </w:r>
      <w:r w:rsidRPr="00042054">
        <w:rPr>
          <w:sz w:val="22"/>
          <w:szCs w:val="22"/>
        </w:rPr>
        <w:t xml:space="preserve">aci a kontrolách </w:t>
      </w:r>
      <w:r>
        <w:rPr>
          <w:sz w:val="22"/>
          <w:szCs w:val="22"/>
        </w:rPr>
        <w:t xml:space="preserve">se </w:t>
      </w:r>
      <w:r w:rsidRPr="00042054">
        <w:rPr>
          <w:sz w:val="22"/>
          <w:szCs w:val="22"/>
        </w:rPr>
        <w:t>sled</w:t>
      </w:r>
      <w:r>
        <w:rPr>
          <w:sz w:val="22"/>
          <w:szCs w:val="22"/>
        </w:rPr>
        <w:t>uje</w:t>
      </w:r>
      <w:r w:rsidRPr="00042054">
        <w:rPr>
          <w:sz w:val="22"/>
          <w:szCs w:val="22"/>
        </w:rPr>
        <w:t>, jak projekt přispívá k jeh</w:t>
      </w:r>
      <w:r>
        <w:rPr>
          <w:sz w:val="22"/>
          <w:szCs w:val="22"/>
        </w:rPr>
        <w:t>o</w:t>
      </w:r>
      <w:r w:rsidRPr="00042054">
        <w:rPr>
          <w:sz w:val="22"/>
          <w:szCs w:val="22"/>
        </w:rPr>
        <w:t xml:space="preserve"> naplnění a udržení.</w:t>
      </w:r>
    </w:p>
    <w:p w:rsidR="000524F5" w:rsidRPr="00042054" w:rsidRDefault="000524F5" w:rsidP="000524F5">
      <w:pPr>
        <w:jc w:val="both"/>
        <w:rPr>
          <w:sz w:val="22"/>
          <w:szCs w:val="22"/>
        </w:rPr>
      </w:pPr>
    </w:p>
    <w:p w:rsidR="000524F5" w:rsidRPr="00042054" w:rsidRDefault="000524F5" w:rsidP="000524F5">
      <w:pPr>
        <w:jc w:val="both"/>
        <w:rPr>
          <w:sz w:val="22"/>
          <w:szCs w:val="22"/>
        </w:rPr>
      </w:pPr>
      <w:r w:rsidRPr="00042054">
        <w:rPr>
          <w:sz w:val="22"/>
          <w:szCs w:val="22"/>
        </w:rPr>
        <w:t>Součástí monitorovacích zpráv a hlášení o pokroku, předkládaných příjemcem, je informace a postupu naplňovaní rovných příležitostí.</w:t>
      </w:r>
    </w:p>
    <w:p w:rsidR="000524F5" w:rsidRPr="00042054" w:rsidRDefault="000524F5" w:rsidP="000524F5">
      <w:pPr>
        <w:jc w:val="both"/>
        <w:rPr>
          <w:sz w:val="22"/>
          <w:szCs w:val="22"/>
        </w:rPr>
      </w:pPr>
    </w:p>
    <w:p w:rsidR="000524F5" w:rsidRPr="00042054" w:rsidRDefault="000524F5" w:rsidP="000524F5">
      <w:pPr>
        <w:jc w:val="both"/>
        <w:rPr>
          <w:sz w:val="22"/>
          <w:szCs w:val="22"/>
        </w:rPr>
      </w:pPr>
      <w:r w:rsidRPr="00042054">
        <w:rPr>
          <w:sz w:val="22"/>
          <w:szCs w:val="22"/>
        </w:rPr>
        <w:t>Realizace projektů má pozitivní vliv na rovné příležitosti v:</w:t>
      </w:r>
    </w:p>
    <w:p w:rsidR="000524F5" w:rsidRPr="009A0F5D" w:rsidRDefault="000524F5" w:rsidP="000524F5">
      <w:pPr>
        <w:numPr>
          <w:ilvl w:val="0"/>
          <w:numId w:val="23"/>
        </w:numPr>
        <w:ind w:left="714" w:hanging="357"/>
        <w:jc w:val="both"/>
        <w:rPr>
          <w:sz w:val="22"/>
          <w:szCs w:val="22"/>
        </w:rPr>
      </w:pPr>
      <w:r w:rsidRPr="009A0F5D">
        <w:rPr>
          <w:sz w:val="22"/>
          <w:szCs w:val="22"/>
        </w:rPr>
        <w:t xml:space="preserve">oblasti intervence 3.1 – projekty sociální integrace, </w:t>
      </w:r>
    </w:p>
    <w:p w:rsidR="000524F5" w:rsidRPr="009A0F5D" w:rsidRDefault="000524F5" w:rsidP="000524F5">
      <w:pPr>
        <w:numPr>
          <w:ilvl w:val="0"/>
          <w:numId w:val="23"/>
        </w:numPr>
        <w:ind w:left="714" w:hanging="357"/>
        <w:jc w:val="both"/>
        <w:rPr>
          <w:sz w:val="22"/>
          <w:szCs w:val="22"/>
        </w:rPr>
      </w:pPr>
      <w:r w:rsidRPr="009A0F5D">
        <w:rPr>
          <w:sz w:val="22"/>
          <w:szCs w:val="22"/>
        </w:rPr>
        <w:t>oblasti intervence 3.2 – projekty prevence sociálního vyloučení osob znevýhodněných jejich zdravotním stavem nebo věkem</w:t>
      </w:r>
      <w:r>
        <w:rPr>
          <w:sz w:val="22"/>
          <w:szCs w:val="22"/>
        </w:rPr>
        <w:t>,</w:t>
      </w:r>
    </w:p>
    <w:p w:rsidR="000524F5" w:rsidRPr="009A0F5D" w:rsidRDefault="000524F5" w:rsidP="000524F5">
      <w:pPr>
        <w:numPr>
          <w:ilvl w:val="0"/>
          <w:numId w:val="23"/>
        </w:numPr>
        <w:ind w:left="714" w:hanging="357"/>
        <w:jc w:val="both"/>
        <w:rPr>
          <w:sz w:val="22"/>
          <w:szCs w:val="22"/>
        </w:rPr>
      </w:pPr>
      <w:r w:rsidRPr="009A0F5D">
        <w:rPr>
          <w:sz w:val="22"/>
          <w:szCs w:val="22"/>
        </w:rPr>
        <w:t>oblasti intervence 3.3 – projekty týkající se služeb zaměstnanosti,</w:t>
      </w:r>
    </w:p>
    <w:p w:rsidR="000524F5" w:rsidRPr="009A0F5D" w:rsidRDefault="000524F5" w:rsidP="000524F5">
      <w:pPr>
        <w:numPr>
          <w:ilvl w:val="0"/>
          <w:numId w:val="23"/>
        </w:numPr>
        <w:ind w:left="714" w:hanging="357"/>
        <w:jc w:val="both"/>
        <w:rPr>
          <w:sz w:val="22"/>
          <w:szCs w:val="22"/>
        </w:rPr>
      </w:pPr>
      <w:r w:rsidRPr="009A0F5D">
        <w:rPr>
          <w:sz w:val="22"/>
          <w:szCs w:val="22"/>
        </w:rPr>
        <w:t>aktivitě 5.2a) - zavedení bezbariérových chodníků a cest</w:t>
      </w:r>
      <w:r>
        <w:rPr>
          <w:sz w:val="22"/>
          <w:szCs w:val="22"/>
        </w:rPr>
        <w:t>,</w:t>
      </w:r>
    </w:p>
    <w:p w:rsidR="000524F5" w:rsidRPr="009A0F5D" w:rsidRDefault="000524F5" w:rsidP="000524F5">
      <w:pPr>
        <w:numPr>
          <w:ilvl w:val="0"/>
          <w:numId w:val="23"/>
        </w:numPr>
        <w:ind w:left="714" w:hanging="357"/>
        <w:jc w:val="both"/>
        <w:rPr>
          <w:sz w:val="22"/>
          <w:szCs w:val="22"/>
        </w:rPr>
      </w:pPr>
      <w:r w:rsidRPr="009A0F5D">
        <w:rPr>
          <w:sz w:val="22"/>
          <w:szCs w:val="22"/>
        </w:rPr>
        <w:t>aktivitě 5.2b) – zavedení bezbariérových přístupů do bytových domů</w:t>
      </w:r>
      <w:r>
        <w:rPr>
          <w:sz w:val="22"/>
          <w:szCs w:val="22"/>
        </w:rPr>
        <w:t>,</w:t>
      </w:r>
    </w:p>
    <w:p w:rsidR="000524F5" w:rsidRPr="00042054" w:rsidRDefault="000524F5" w:rsidP="000524F5">
      <w:pPr>
        <w:numPr>
          <w:ilvl w:val="0"/>
          <w:numId w:val="23"/>
        </w:numPr>
        <w:ind w:left="714" w:hanging="357"/>
        <w:jc w:val="both"/>
        <w:rPr>
          <w:sz w:val="22"/>
          <w:szCs w:val="22"/>
        </w:rPr>
      </w:pPr>
      <w:r w:rsidRPr="00042054">
        <w:rPr>
          <w:sz w:val="22"/>
          <w:szCs w:val="22"/>
        </w:rPr>
        <w:t>aktivitě 5.2c) – projekty zaměřené na romské komunity, jejich cílem je odstraňování příčin sociálního vyloučení.</w:t>
      </w:r>
    </w:p>
    <w:p w:rsidR="000524F5" w:rsidRPr="00042054" w:rsidRDefault="000524F5" w:rsidP="000524F5">
      <w:pPr>
        <w:jc w:val="both"/>
        <w:rPr>
          <w:sz w:val="22"/>
          <w:szCs w:val="22"/>
        </w:rPr>
      </w:pPr>
    </w:p>
    <w:p w:rsidR="000524F5" w:rsidRPr="00042054" w:rsidRDefault="000524F5" w:rsidP="000524F5">
      <w:pPr>
        <w:jc w:val="both"/>
        <w:rPr>
          <w:sz w:val="22"/>
          <w:szCs w:val="22"/>
        </w:rPr>
      </w:pPr>
      <w:r w:rsidRPr="00042054">
        <w:rPr>
          <w:sz w:val="22"/>
          <w:szCs w:val="22"/>
        </w:rPr>
        <w:t>Problematik</w:t>
      </w:r>
      <w:r>
        <w:rPr>
          <w:sz w:val="22"/>
          <w:szCs w:val="22"/>
        </w:rPr>
        <w:t xml:space="preserve">u vlivu projektu na rovné příležitosti ZS povinně </w:t>
      </w:r>
      <w:r w:rsidRPr="00042054">
        <w:rPr>
          <w:sz w:val="22"/>
          <w:szCs w:val="22"/>
        </w:rPr>
        <w:t>sleduj</w:t>
      </w:r>
      <w:r>
        <w:rPr>
          <w:sz w:val="22"/>
          <w:szCs w:val="22"/>
        </w:rPr>
        <w:t>í</w:t>
      </w:r>
      <w:r w:rsidRPr="00042054">
        <w:rPr>
          <w:sz w:val="22"/>
          <w:szCs w:val="22"/>
        </w:rPr>
        <w:t xml:space="preserve">: </w:t>
      </w:r>
    </w:p>
    <w:p w:rsidR="000524F5" w:rsidRPr="00C3492D" w:rsidRDefault="000524F5" w:rsidP="000524F5">
      <w:pPr>
        <w:numPr>
          <w:ilvl w:val="0"/>
          <w:numId w:val="23"/>
        </w:numPr>
        <w:ind w:left="714" w:hanging="357"/>
        <w:jc w:val="both"/>
        <w:rPr>
          <w:sz w:val="22"/>
          <w:szCs w:val="22"/>
        </w:rPr>
      </w:pPr>
      <w:r>
        <w:rPr>
          <w:sz w:val="22"/>
          <w:szCs w:val="22"/>
        </w:rPr>
        <w:t>v analýzách</w:t>
      </w:r>
      <w:r w:rsidRPr="00C3492D">
        <w:rPr>
          <w:sz w:val="22"/>
          <w:szCs w:val="22"/>
        </w:rPr>
        <w:t xml:space="preserve"> rizik, </w:t>
      </w:r>
    </w:p>
    <w:p w:rsidR="000524F5" w:rsidRPr="00C3492D" w:rsidRDefault="000524F5" w:rsidP="000524F5">
      <w:pPr>
        <w:numPr>
          <w:ilvl w:val="0"/>
          <w:numId w:val="23"/>
        </w:numPr>
        <w:ind w:left="714" w:hanging="357"/>
        <w:jc w:val="both"/>
        <w:rPr>
          <w:sz w:val="22"/>
          <w:szCs w:val="22"/>
        </w:rPr>
      </w:pPr>
      <w:r>
        <w:rPr>
          <w:sz w:val="22"/>
          <w:szCs w:val="22"/>
        </w:rPr>
        <w:t>při kontrolách</w:t>
      </w:r>
      <w:r w:rsidRPr="00C3492D">
        <w:rPr>
          <w:sz w:val="22"/>
          <w:szCs w:val="22"/>
        </w:rPr>
        <w:t xml:space="preserve"> na místě ex-ante, interim a ex-post,</w:t>
      </w:r>
    </w:p>
    <w:p w:rsidR="000524F5" w:rsidRPr="00C3492D" w:rsidRDefault="000524F5" w:rsidP="000524F5">
      <w:pPr>
        <w:numPr>
          <w:ilvl w:val="0"/>
          <w:numId w:val="23"/>
        </w:numPr>
        <w:ind w:left="714" w:hanging="357"/>
        <w:jc w:val="both"/>
        <w:rPr>
          <w:sz w:val="22"/>
          <w:szCs w:val="22"/>
        </w:rPr>
      </w:pPr>
      <w:r>
        <w:rPr>
          <w:sz w:val="22"/>
          <w:szCs w:val="22"/>
        </w:rPr>
        <w:t>při kontrolách</w:t>
      </w:r>
      <w:r w:rsidRPr="00C3492D">
        <w:rPr>
          <w:sz w:val="22"/>
          <w:szCs w:val="22"/>
        </w:rPr>
        <w:t xml:space="preserve"> monitorovacích zpráv, </w:t>
      </w:r>
    </w:p>
    <w:p w:rsidR="000524F5" w:rsidRPr="00C3492D" w:rsidRDefault="000524F5" w:rsidP="000524F5">
      <w:pPr>
        <w:numPr>
          <w:ilvl w:val="0"/>
          <w:numId w:val="23"/>
        </w:numPr>
        <w:ind w:left="714" w:hanging="357"/>
        <w:jc w:val="both"/>
        <w:rPr>
          <w:sz w:val="22"/>
          <w:szCs w:val="22"/>
        </w:rPr>
      </w:pPr>
      <w:r>
        <w:rPr>
          <w:sz w:val="22"/>
          <w:szCs w:val="22"/>
        </w:rPr>
        <w:t>při kontrolách</w:t>
      </w:r>
      <w:r w:rsidRPr="00C3492D">
        <w:rPr>
          <w:sz w:val="22"/>
          <w:szCs w:val="22"/>
        </w:rPr>
        <w:t xml:space="preserve"> hlášení o pokroku,</w:t>
      </w:r>
    </w:p>
    <w:p w:rsidR="000524F5" w:rsidRPr="00C3492D" w:rsidRDefault="000524F5" w:rsidP="000524F5">
      <w:pPr>
        <w:numPr>
          <w:ilvl w:val="0"/>
          <w:numId w:val="23"/>
        </w:numPr>
        <w:ind w:left="714" w:hanging="357"/>
        <w:jc w:val="both"/>
        <w:rPr>
          <w:sz w:val="22"/>
          <w:szCs w:val="22"/>
        </w:rPr>
      </w:pPr>
      <w:r>
        <w:rPr>
          <w:sz w:val="22"/>
          <w:szCs w:val="22"/>
        </w:rPr>
        <w:t>při kontrolách</w:t>
      </w:r>
      <w:r w:rsidRPr="00C3492D">
        <w:rPr>
          <w:sz w:val="22"/>
          <w:szCs w:val="22"/>
        </w:rPr>
        <w:t xml:space="preserve"> žádostí o platbu,</w:t>
      </w:r>
    </w:p>
    <w:p w:rsidR="00C2225D" w:rsidRPr="00283692" w:rsidRDefault="000524F5" w:rsidP="00323D53">
      <w:pPr>
        <w:numPr>
          <w:ilvl w:val="0"/>
          <w:numId w:val="23"/>
        </w:numPr>
        <w:ind w:left="714" w:hanging="357"/>
        <w:jc w:val="both"/>
        <w:rPr>
          <w:sz w:val="22"/>
          <w:szCs w:val="22"/>
        </w:rPr>
      </w:pPr>
      <w:r>
        <w:rPr>
          <w:sz w:val="22"/>
          <w:szCs w:val="22"/>
        </w:rPr>
        <w:t xml:space="preserve">při </w:t>
      </w:r>
      <w:r w:rsidRPr="00C3492D">
        <w:rPr>
          <w:sz w:val="22"/>
          <w:szCs w:val="22"/>
        </w:rPr>
        <w:t>posuzování změn v projektu.</w:t>
      </w:r>
      <w:bookmarkStart w:id="67" w:name="_Toc279058089"/>
    </w:p>
    <w:p w:rsidR="00C2225D" w:rsidRDefault="00C2225D" w:rsidP="00323D53">
      <w:pPr>
        <w:jc w:val="both"/>
        <w:rPr>
          <w:sz w:val="22"/>
          <w:szCs w:val="22"/>
        </w:rPr>
      </w:pPr>
    </w:p>
    <w:p w:rsidR="00B92A0D" w:rsidRDefault="00B92A0D" w:rsidP="00323D53">
      <w:pPr>
        <w:jc w:val="both"/>
        <w:rPr>
          <w:sz w:val="22"/>
          <w:szCs w:val="22"/>
        </w:rPr>
      </w:pPr>
    </w:p>
    <w:p w:rsidR="00B92A0D" w:rsidRDefault="00B92A0D" w:rsidP="00323D53">
      <w:pPr>
        <w:jc w:val="both"/>
        <w:rPr>
          <w:sz w:val="22"/>
          <w:szCs w:val="22"/>
        </w:rPr>
      </w:pPr>
    </w:p>
    <w:p w:rsidR="00B92A0D" w:rsidRDefault="00B92A0D" w:rsidP="00323D53">
      <w:pPr>
        <w:jc w:val="both"/>
        <w:rPr>
          <w:sz w:val="22"/>
          <w:szCs w:val="22"/>
        </w:rPr>
      </w:pPr>
    </w:p>
    <w:p w:rsidR="00B92A0D" w:rsidRDefault="00B92A0D" w:rsidP="00323D53">
      <w:pPr>
        <w:jc w:val="both"/>
        <w:rPr>
          <w:sz w:val="22"/>
          <w:szCs w:val="22"/>
        </w:rPr>
      </w:pPr>
    </w:p>
    <w:bookmarkEnd w:id="67"/>
    <w:p w:rsidR="00A75862" w:rsidRDefault="008C712D" w:rsidP="00BA50E1">
      <w:pPr>
        <w:pStyle w:val="Nadpis2"/>
        <w:rPr>
          <w:rFonts w:ascii="Times New Roman" w:hAnsi="Times New Roman"/>
          <w:i w:val="0"/>
        </w:rPr>
      </w:pPr>
      <w:r>
        <w:rPr>
          <w:rFonts w:ascii="Times New Roman" w:hAnsi="Times New Roman"/>
          <w:i w:val="0"/>
        </w:rPr>
        <w:lastRenderedPageBreak/>
        <w:t xml:space="preserve">  </w:t>
      </w:r>
      <w:bookmarkStart w:id="68" w:name="_Toc417024843"/>
      <w:r w:rsidR="00A75862" w:rsidRPr="009026D3">
        <w:rPr>
          <w:rFonts w:ascii="Times New Roman" w:hAnsi="Times New Roman"/>
          <w:i w:val="0"/>
        </w:rPr>
        <w:t>2.3 Problémy při realizaci programu a přijatá opatření k jejich odstranění</w:t>
      </w:r>
      <w:bookmarkEnd w:id="68"/>
    </w:p>
    <w:p w:rsidR="007A2041" w:rsidRPr="000F2A6C" w:rsidRDefault="007A2041" w:rsidP="000F2A6C">
      <w:pPr>
        <w:pStyle w:val="Nadpis3"/>
      </w:pPr>
      <w:bookmarkStart w:id="69" w:name="_Toc382407675"/>
      <w:bookmarkStart w:id="70" w:name="_Toc383084682"/>
      <w:bookmarkStart w:id="71" w:name="_Toc417024844"/>
      <w:r w:rsidRPr="000F2A6C">
        <w:t>2.3.1 Problémy zjištěné Auditním orgánem, NKÚ, Evropskou komisí</w:t>
      </w:r>
      <w:bookmarkEnd w:id="69"/>
      <w:bookmarkEnd w:id="70"/>
      <w:bookmarkEnd w:id="71"/>
    </w:p>
    <w:p w:rsidR="00506E3A" w:rsidRPr="00C05759" w:rsidRDefault="00506E3A" w:rsidP="00506E3A">
      <w:pPr>
        <w:rPr>
          <w:b/>
          <w:sz w:val="22"/>
          <w:szCs w:val="22"/>
        </w:rPr>
      </w:pPr>
      <w:bookmarkStart w:id="72" w:name="_Toc382407676"/>
      <w:bookmarkStart w:id="73" w:name="_Toc383084683"/>
      <w:r w:rsidRPr="00C05759">
        <w:rPr>
          <w:b/>
          <w:sz w:val="22"/>
          <w:szCs w:val="22"/>
        </w:rPr>
        <w:t>Audity Evropské komise</w:t>
      </w:r>
    </w:p>
    <w:p w:rsidR="00506E3A" w:rsidRPr="00963DA9" w:rsidRDefault="00506E3A" w:rsidP="00506E3A">
      <w:pPr>
        <w:rPr>
          <w:b/>
          <w:sz w:val="22"/>
          <w:szCs w:val="22"/>
          <w:u w:val="single"/>
        </w:rPr>
      </w:pPr>
    </w:p>
    <w:p w:rsidR="00506E3A" w:rsidRPr="00DE5136" w:rsidRDefault="00506E3A" w:rsidP="00506E3A">
      <w:pPr>
        <w:rPr>
          <w:b/>
          <w:i/>
          <w:sz w:val="22"/>
          <w:szCs w:val="22"/>
        </w:rPr>
      </w:pPr>
      <w:r w:rsidRPr="00DE5136">
        <w:rPr>
          <w:b/>
          <w:i/>
          <w:sz w:val="22"/>
          <w:szCs w:val="22"/>
        </w:rPr>
        <w:t>Audit Evropské komise č. 2013/CZ/REGIO/C4/1332/1</w:t>
      </w:r>
    </w:p>
    <w:p w:rsidR="00506E3A" w:rsidRPr="00825647" w:rsidRDefault="00506E3A" w:rsidP="00506E3A">
      <w:pPr>
        <w:jc w:val="both"/>
        <w:rPr>
          <w:sz w:val="22"/>
          <w:szCs w:val="22"/>
        </w:rPr>
      </w:pPr>
      <w:r w:rsidRPr="00402A0C">
        <w:rPr>
          <w:sz w:val="22"/>
          <w:szCs w:val="22"/>
        </w:rPr>
        <w:t xml:space="preserve">V dubnu 2014 zahájila EK audit na Auditním orgánu MF ČR (dále také „AO“) a u příjemců osmi vybraných projektů IOP. Auditní mise spočívala v opětovném auditu projektů, které auditoval AO při auditu operací roku 2013. Dne 5. 8. 2014 byl vydán návrh auditní zprávy v českém jazyce. </w:t>
      </w:r>
    </w:p>
    <w:p w:rsidR="00506E3A" w:rsidRPr="00402A0C" w:rsidRDefault="00506E3A" w:rsidP="00506E3A">
      <w:pPr>
        <w:jc w:val="both"/>
        <w:rPr>
          <w:sz w:val="22"/>
          <w:szCs w:val="22"/>
        </w:rPr>
      </w:pPr>
    </w:p>
    <w:p w:rsidR="00506E3A" w:rsidRPr="00402A0C" w:rsidRDefault="00506E3A" w:rsidP="00506E3A">
      <w:pPr>
        <w:jc w:val="both"/>
        <w:rPr>
          <w:sz w:val="22"/>
          <w:szCs w:val="22"/>
        </w:rPr>
      </w:pPr>
      <w:r w:rsidRPr="00402A0C">
        <w:rPr>
          <w:sz w:val="22"/>
          <w:szCs w:val="22"/>
        </w:rPr>
        <w:t>Nejvýznamnějším zjištěním auditorů byla nedostatečná strategie v oblasti investic do ICT, identifikova</w:t>
      </w:r>
      <w:r>
        <w:rPr>
          <w:sz w:val="22"/>
          <w:szCs w:val="22"/>
        </w:rPr>
        <w:t>ná</w:t>
      </w:r>
      <w:r w:rsidRPr="00402A0C">
        <w:rPr>
          <w:sz w:val="22"/>
          <w:szCs w:val="22"/>
        </w:rPr>
        <w:t xml:space="preserve"> v projekt</w:t>
      </w:r>
      <w:r>
        <w:rPr>
          <w:sz w:val="22"/>
          <w:szCs w:val="22"/>
        </w:rPr>
        <w:t>u</w:t>
      </w:r>
      <w:r w:rsidRPr="00402A0C">
        <w:rPr>
          <w:sz w:val="22"/>
          <w:szCs w:val="22"/>
        </w:rPr>
        <w:t xml:space="preserve"> Registr obyvatel (</w:t>
      </w:r>
      <w:proofErr w:type="spellStart"/>
      <w:r w:rsidRPr="00402A0C">
        <w:rPr>
          <w:sz w:val="22"/>
          <w:szCs w:val="22"/>
        </w:rPr>
        <w:t>reg</w:t>
      </w:r>
      <w:proofErr w:type="spellEnd"/>
      <w:r w:rsidRPr="00402A0C">
        <w:rPr>
          <w:sz w:val="22"/>
          <w:szCs w:val="22"/>
        </w:rPr>
        <w:t xml:space="preserve">. </w:t>
      </w:r>
      <w:proofErr w:type="gramStart"/>
      <w:r w:rsidRPr="00402A0C">
        <w:rPr>
          <w:sz w:val="22"/>
          <w:szCs w:val="22"/>
        </w:rPr>
        <w:t>č.</w:t>
      </w:r>
      <w:proofErr w:type="gramEnd"/>
      <w:r w:rsidRPr="00402A0C">
        <w:rPr>
          <w:sz w:val="22"/>
          <w:szCs w:val="22"/>
        </w:rPr>
        <w:t xml:space="preserve"> CZ.1.06/1.1.00/03.05889</w:t>
      </w:r>
      <w:r w:rsidR="00900B3F">
        <w:rPr>
          <w:sz w:val="22"/>
          <w:szCs w:val="22"/>
        </w:rPr>
        <w:t>)</w:t>
      </w:r>
      <w:r w:rsidRPr="00402A0C">
        <w:rPr>
          <w:sz w:val="22"/>
          <w:szCs w:val="22"/>
        </w:rPr>
        <w:t xml:space="preserve">. Dále auditoři EK identifikovali nedostatky s finančním dopadem </w:t>
      </w:r>
      <w:r>
        <w:rPr>
          <w:sz w:val="22"/>
          <w:szCs w:val="22"/>
        </w:rPr>
        <w:t>ve</w:t>
      </w:r>
      <w:r w:rsidRPr="00402A0C">
        <w:rPr>
          <w:sz w:val="22"/>
          <w:szCs w:val="22"/>
        </w:rPr>
        <w:t xml:space="preserve"> čtyř</w:t>
      </w:r>
      <w:r>
        <w:rPr>
          <w:sz w:val="22"/>
          <w:szCs w:val="22"/>
        </w:rPr>
        <w:t>ech</w:t>
      </w:r>
      <w:r w:rsidRPr="00402A0C">
        <w:rPr>
          <w:sz w:val="22"/>
          <w:szCs w:val="22"/>
        </w:rPr>
        <w:t xml:space="preserve"> veřejných zakázk</w:t>
      </w:r>
      <w:r>
        <w:rPr>
          <w:sz w:val="22"/>
          <w:szCs w:val="22"/>
        </w:rPr>
        <w:t>ách</w:t>
      </w:r>
      <w:r w:rsidRPr="00402A0C">
        <w:rPr>
          <w:sz w:val="22"/>
          <w:szCs w:val="22"/>
        </w:rPr>
        <w:t>. Ke zjištěním obsaženým v návrhu zprávy ŘO IOP ve spolupráci s příjemci a AO zaujal počátkem října 2014 své stanovisko. Audit EK nebyl ke dni 31. 12. 2014 ukončen.</w:t>
      </w:r>
    </w:p>
    <w:p w:rsidR="00506E3A" w:rsidRPr="00402A0C" w:rsidRDefault="00506E3A" w:rsidP="00506E3A">
      <w:pPr>
        <w:rPr>
          <w:sz w:val="22"/>
          <w:szCs w:val="22"/>
        </w:rPr>
      </w:pPr>
    </w:p>
    <w:p w:rsidR="00506E3A" w:rsidRDefault="00506E3A" w:rsidP="00506E3A">
      <w:pPr>
        <w:jc w:val="both"/>
        <w:rPr>
          <w:sz w:val="22"/>
          <w:szCs w:val="22"/>
        </w:rPr>
      </w:pPr>
      <w:r w:rsidRPr="00402A0C">
        <w:rPr>
          <w:sz w:val="22"/>
          <w:szCs w:val="22"/>
        </w:rPr>
        <w:t xml:space="preserve">AO na základě návrhu auditní zprávy akceptoval požadavek na provedení mimořádného auditu v oblasti IT projektů. Výsledky tohoto auditu budou obsažené ve Výroční kontrolní zprávě za rok 2015. </w:t>
      </w:r>
    </w:p>
    <w:p w:rsidR="00832A20" w:rsidRDefault="00832A20" w:rsidP="00506E3A">
      <w:pPr>
        <w:jc w:val="both"/>
        <w:rPr>
          <w:sz w:val="22"/>
          <w:szCs w:val="22"/>
        </w:rPr>
      </w:pPr>
    </w:p>
    <w:p w:rsidR="00832A20" w:rsidRPr="001F3757" w:rsidRDefault="00832A20" w:rsidP="00832A20">
      <w:pPr>
        <w:rPr>
          <w:b/>
          <w:i/>
          <w:sz w:val="22"/>
          <w:szCs w:val="22"/>
        </w:rPr>
      </w:pPr>
      <w:r>
        <w:rPr>
          <w:b/>
          <w:i/>
          <w:sz w:val="22"/>
          <w:szCs w:val="22"/>
        </w:rPr>
        <w:t>Audit Evropské komise č.</w:t>
      </w:r>
      <w:r w:rsidRPr="001F3757">
        <w:rPr>
          <w:b/>
          <w:i/>
          <w:sz w:val="22"/>
          <w:szCs w:val="22"/>
        </w:rPr>
        <w:t xml:space="preserve"> 2014/CZ/REGIO/C4/1349/1</w:t>
      </w:r>
    </w:p>
    <w:p w:rsidR="00832A20" w:rsidRPr="001F3757" w:rsidRDefault="00832A20" w:rsidP="00832A20">
      <w:pPr>
        <w:jc w:val="both"/>
        <w:rPr>
          <w:sz w:val="22"/>
          <w:szCs w:val="22"/>
        </w:rPr>
      </w:pPr>
      <w:r w:rsidRPr="001F3757">
        <w:rPr>
          <w:sz w:val="22"/>
          <w:szCs w:val="22"/>
        </w:rPr>
        <w:t xml:space="preserve">V dubnu 2014 byl ze strany Evropské komise zahájen audit zadávání veřejných zakázek (dále také „VZ“) na vysílací služby (tzv. audit na </w:t>
      </w:r>
      <w:proofErr w:type="spellStart"/>
      <w:r w:rsidRPr="001F3757">
        <w:rPr>
          <w:sz w:val="22"/>
          <w:szCs w:val="22"/>
        </w:rPr>
        <w:t>broadcasting</w:t>
      </w:r>
      <w:proofErr w:type="spellEnd"/>
      <w:r w:rsidRPr="001F3757">
        <w:rPr>
          <w:sz w:val="22"/>
          <w:szCs w:val="22"/>
        </w:rPr>
        <w:t xml:space="preserve">). Z hlediska OP IOP se audit týkal projektů v oblasti intervence (dále také „OI“) 4.1 příjemce České centrály cestovního ruchu a také projektu </w:t>
      </w:r>
      <w:r w:rsidR="000F5B64">
        <w:rPr>
          <w:sz w:val="22"/>
          <w:szCs w:val="22"/>
        </w:rPr>
        <w:br/>
        <w:t>oblasti intervence 1.</w:t>
      </w:r>
      <w:r w:rsidRPr="001F3757">
        <w:rPr>
          <w:sz w:val="22"/>
          <w:szCs w:val="22"/>
        </w:rPr>
        <w:t xml:space="preserve">1 příjemce MV ČR. </w:t>
      </w:r>
      <w:r>
        <w:rPr>
          <w:sz w:val="22"/>
          <w:szCs w:val="22"/>
        </w:rPr>
        <w:t xml:space="preserve">Audit nebyl </w:t>
      </w:r>
      <w:r w:rsidR="00884182">
        <w:rPr>
          <w:sz w:val="22"/>
          <w:szCs w:val="22"/>
        </w:rPr>
        <w:t xml:space="preserve">dosud finálně ukončen, nicméně </w:t>
      </w:r>
      <w:r w:rsidRPr="001F3757">
        <w:rPr>
          <w:sz w:val="22"/>
          <w:szCs w:val="22"/>
        </w:rPr>
        <w:t xml:space="preserve">v návrhu zprávy </w:t>
      </w:r>
      <w:r w:rsidR="00AF149F">
        <w:rPr>
          <w:sz w:val="22"/>
          <w:szCs w:val="22"/>
        </w:rPr>
        <w:t>nebyly</w:t>
      </w:r>
      <w:r w:rsidRPr="001F3757">
        <w:rPr>
          <w:sz w:val="22"/>
          <w:szCs w:val="22"/>
        </w:rPr>
        <w:t xml:space="preserve"> </w:t>
      </w:r>
      <w:r w:rsidR="00AF149F">
        <w:rPr>
          <w:sz w:val="22"/>
          <w:szCs w:val="22"/>
        </w:rPr>
        <w:t>identifikovány</w:t>
      </w:r>
      <w:r w:rsidRPr="001F3757">
        <w:rPr>
          <w:sz w:val="22"/>
          <w:szCs w:val="22"/>
        </w:rPr>
        <w:t xml:space="preserve"> nezpůsobilé výdaje, které by se týkaly IOP. </w:t>
      </w:r>
    </w:p>
    <w:p w:rsidR="00832A20" w:rsidRDefault="00832A20" w:rsidP="00506E3A">
      <w:pPr>
        <w:jc w:val="both"/>
        <w:rPr>
          <w:sz w:val="22"/>
          <w:szCs w:val="22"/>
        </w:rPr>
      </w:pPr>
    </w:p>
    <w:p w:rsidR="00ED1891" w:rsidRDefault="00ED1891" w:rsidP="00506E3A">
      <w:pPr>
        <w:jc w:val="both"/>
        <w:rPr>
          <w:sz w:val="22"/>
          <w:szCs w:val="22"/>
        </w:rPr>
      </w:pPr>
    </w:p>
    <w:p w:rsidR="00ED1891" w:rsidRDefault="00ED1891" w:rsidP="00506E3A">
      <w:pPr>
        <w:jc w:val="both"/>
        <w:rPr>
          <w:b/>
          <w:sz w:val="22"/>
          <w:szCs w:val="22"/>
        </w:rPr>
      </w:pPr>
      <w:r w:rsidRPr="001F3757">
        <w:rPr>
          <w:b/>
          <w:sz w:val="22"/>
          <w:szCs w:val="22"/>
        </w:rPr>
        <w:t xml:space="preserve">Kontroly </w:t>
      </w:r>
      <w:r>
        <w:rPr>
          <w:b/>
          <w:sz w:val="22"/>
          <w:szCs w:val="22"/>
        </w:rPr>
        <w:t>Nejvyššího kontrolního úřadu</w:t>
      </w:r>
    </w:p>
    <w:p w:rsidR="00ED1891" w:rsidRDefault="00ED1891" w:rsidP="00506E3A">
      <w:pPr>
        <w:jc w:val="both"/>
        <w:rPr>
          <w:b/>
          <w:sz w:val="22"/>
          <w:szCs w:val="22"/>
        </w:rPr>
      </w:pPr>
    </w:p>
    <w:p w:rsidR="001E1203" w:rsidRPr="001F3757" w:rsidRDefault="001E1203" w:rsidP="001E1203">
      <w:pPr>
        <w:jc w:val="both"/>
        <w:rPr>
          <w:b/>
          <w:i/>
          <w:sz w:val="22"/>
          <w:szCs w:val="22"/>
        </w:rPr>
      </w:pPr>
      <w:r w:rsidRPr="001F3757">
        <w:rPr>
          <w:b/>
          <w:i/>
          <w:sz w:val="22"/>
          <w:szCs w:val="22"/>
        </w:rPr>
        <w:t>Kontrolní akce NKÚ č. 13/24 „Peněžní prostředky vynakládané na projekt Národní infrastruktura pro elektronické zadávání veřejných zakázek (NIPEZ) a nákup vybraných komodit prostřednictvím e-tržišť“</w:t>
      </w:r>
    </w:p>
    <w:p w:rsidR="001E1203" w:rsidRDefault="001E1203" w:rsidP="001E1203">
      <w:pPr>
        <w:jc w:val="both"/>
        <w:rPr>
          <w:rFonts w:ascii="Arial" w:hAnsi="Arial" w:cs="Arial"/>
        </w:rPr>
      </w:pPr>
    </w:p>
    <w:p w:rsidR="001E1203" w:rsidRDefault="001E1203" w:rsidP="001E1203">
      <w:pPr>
        <w:jc w:val="both"/>
        <w:rPr>
          <w:sz w:val="22"/>
          <w:szCs w:val="22"/>
        </w:rPr>
      </w:pPr>
      <w:r w:rsidRPr="001F3757">
        <w:rPr>
          <w:b/>
          <w:sz w:val="22"/>
          <w:szCs w:val="22"/>
        </w:rPr>
        <w:t>Zaměření kontroly</w:t>
      </w:r>
      <w:r w:rsidRPr="001F3757">
        <w:rPr>
          <w:sz w:val="22"/>
          <w:szCs w:val="22"/>
        </w:rPr>
        <w:t>:</w:t>
      </w:r>
      <w:r>
        <w:rPr>
          <w:sz w:val="22"/>
          <w:szCs w:val="22"/>
        </w:rPr>
        <w:t xml:space="preserve"> </w:t>
      </w:r>
      <w:r w:rsidRPr="001F3757">
        <w:rPr>
          <w:sz w:val="22"/>
          <w:szCs w:val="22"/>
        </w:rPr>
        <w:t xml:space="preserve">NKÚ zahájil tuto kontrolní akci v červnu 2013. </w:t>
      </w:r>
      <w:r w:rsidR="00FA200F">
        <w:rPr>
          <w:sz w:val="22"/>
          <w:szCs w:val="22"/>
        </w:rPr>
        <w:t>Předmětem kontroly byl mimo jiné projekt</w:t>
      </w:r>
      <w:r w:rsidRPr="001F3757">
        <w:rPr>
          <w:sz w:val="22"/>
          <w:szCs w:val="22"/>
        </w:rPr>
        <w:t xml:space="preserve"> NIPEZ (</w:t>
      </w:r>
      <w:proofErr w:type="spellStart"/>
      <w:r w:rsidRPr="001F3757">
        <w:rPr>
          <w:sz w:val="22"/>
          <w:szCs w:val="22"/>
        </w:rPr>
        <w:t>reg</w:t>
      </w:r>
      <w:proofErr w:type="spellEnd"/>
      <w:r w:rsidRPr="001F3757">
        <w:rPr>
          <w:sz w:val="22"/>
          <w:szCs w:val="22"/>
        </w:rPr>
        <w:t xml:space="preserve">. </w:t>
      </w:r>
      <w:proofErr w:type="gramStart"/>
      <w:r w:rsidRPr="001F3757">
        <w:rPr>
          <w:sz w:val="22"/>
          <w:szCs w:val="22"/>
        </w:rPr>
        <w:t>č.</w:t>
      </w:r>
      <w:proofErr w:type="gramEnd"/>
      <w:r w:rsidRPr="001F3757">
        <w:rPr>
          <w:sz w:val="22"/>
          <w:szCs w:val="22"/>
        </w:rPr>
        <w:t xml:space="preserve"> CZ.1.06/1.1.00/07.06384)</w:t>
      </w:r>
      <w:r w:rsidR="00FA200F">
        <w:rPr>
          <w:sz w:val="22"/>
          <w:szCs w:val="22"/>
        </w:rPr>
        <w:t xml:space="preserve">, jehož příjemcem </w:t>
      </w:r>
      <w:r w:rsidRPr="001F3757">
        <w:rPr>
          <w:sz w:val="22"/>
          <w:szCs w:val="22"/>
        </w:rPr>
        <w:t xml:space="preserve"> je Ministerstvo pro místní rozvoj ČR (dále také „MMR“). Kolegium NKÚ schválilo kontrolní závěr dne 31. 3. 2014.  </w:t>
      </w:r>
    </w:p>
    <w:p w:rsidR="001E1203" w:rsidRPr="001F3757" w:rsidRDefault="001E1203" w:rsidP="001E1203">
      <w:pPr>
        <w:jc w:val="both"/>
        <w:rPr>
          <w:sz w:val="22"/>
          <w:szCs w:val="22"/>
        </w:rPr>
      </w:pPr>
    </w:p>
    <w:p w:rsidR="001E1203" w:rsidRPr="001F3757" w:rsidRDefault="001E1203" w:rsidP="001E1203">
      <w:pPr>
        <w:jc w:val="both"/>
        <w:rPr>
          <w:sz w:val="22"/>
          <w:szCs w:val="22"/>
        </w:rPr>
      </w:pPr>
      <w:r w:rsidRPr="001F3757">
        <w:rPr>
          <w:b/>
          <w:sz w:val="22"/>
          <w:szCs w:val="22"/>
        </w:rPr>
        <w:t>NKÚ zjistil ve vztahu k projektu NIPEZ následující skutečnosti</w:t>
      </w:r>
      <w:r w:rsidRPr="001F3757">
        <w:rPr>
          <w:sz w:val="22"/>
          <w:szCs w:val="22"/>
        </w:rPr>
        <w:t>:</w:t>
      </w:r>
    </w:p>
    <w:p w:rsidR="005F0D52" w:rsidRDefault="001E1203" w:rsidP="005F0D52">
      <w:pPr>
        <w:pStyle w:val="Odstavecseseznamem"/>
        <w:numPr>
          <w:ilvl w:val="0"/>
          <w:numId w:val="67"/>
        </w:numPr>
        <w:jc w:val="both"/>
        <w:rPr>
          <w:sz w:val="22"/>
          <w:szCs w:val="22"/>
        </w:rPr>
      </w:pPr>
      <w:r w:rsidRPr="005F0D52">
        <w:rPr>
          <w:sz w:val="22"/>
          <w:szCs w:val="22"/>
        </w:rPr>
        <w:t xml:space="preserve">Příprava e-tržišť byla zajištěna prostřednictvím veřejných zakázek (dále také „VZ“) a byla spolufinancována z prostředků EU. Nejzávažnějším zjištěním v této oblasti bylo neoprávněné dělení VZ, přičemž NKÚ toto mj. kvalifikoval jako porušení rozpočtové kázně a zároveň jako nesrovnalost ve </w:t>
      </w:r>
      <w:r w:rsidR="00AF149F" w:rsidRPr="005F0D52">
        <w:rPr>
          <w:sz w:val="22"/>
          <w:szCs w:val="22"/>
        </w:rPr>
        <w:t xml:space="preserve">výši až 1,445 mil. Kč. </w:t>
      </w:r>
    </w:p>
    <w:p w:rsidR="001E1203" w:rsidRPr="005F0D52" w:rsidRDefault="001E1203" w:rsidP="005F0D52">
      <w:pPr>
        <w:pStyle w:val="Odstavecseseznamem"/>
        <w:numPr>
          <w:ilvl w:val="0"/>
          <w:numId w:val="67"/>
        </w:numPr>
        <w:jc w:val="both"/>
        <w:rPr>
          <w:sz w:val="22"/>
          <w:szCs w:val="22"/>
        </w:rPr>
      </w:pPr>
      <w:r w:rsidRPr="005F0D52">
        <w:rPr>
          <w:sz w:val="22"/>
          <w:szCs w:val="22"/>
        </w:rPr>
        <w:t xml:space="preserve">Pro hodnocení projektu si MMR zvolilo monitorovací indikátor „Podíl digitalizovaných dokumentů“ s cílovou hodnotou 10 %. Tento indikátor však není navázán na hlavní cíl projektu NIPEZ, kterým je dosažení úspor. Způsob jeho výpočtu nebyl doložen v žádném z dokladů k projektu NIPEZ. V průběhu prvního roku používání e-tržišť MMR vykazovalo u tohoto indikátoru nulovou hodnotu, která neodpovídala reálnému podílu elektronicky zadaných zakázek. </w:t>
      </w:r>
    </w:p>
    <w:p w:rsidR="001E1203" w:rsidRPr="001F3757" w:rsidRDefault="001E1203" w:rsidP="001F3757">
      <w:pPr>
        <w:pStyle w:val="Odstavecseseznamem"/>
        <w:numPr>
          <w:ilvl w:val="0"/>
          <w:numId w:val="67"/>
        </w:numPr>
        <w:jc w:val="both"/>
        <w:rPr>
          <w:sz w:val="22"/>
          <w:szCs w:val="22"/>
        </w:rPr>
      </w:pPr>
      <w:r w:rsidRPr="001F3757">
        <w:rPr>
          <w:sz w:val="22"/>
          <w:szCs w:val="22"/>
        </w:rPr>
        <w:t>V koncesním řízení MMR v rozporu s právními předpisy dvakrát navýšilo Ceník, resp. jednotkové ceny za základní služby, za které MMR platí jednotlivým provozovatelům, čímž zvýšilo výdaje na provoz e-tržišť. Toto navýšení představuje riziko nehospodárnosti ve zbývajícím období platnosti koncesních smluv.</w:t>
      </w:r>
    </w:p>
    <w:p w:rsidR="001E1203" w:rsidRPr="001F3757" w:rsidRDefault="001E1203" w:rsidP="001F3757">
      <w:pPr>
        <w:pStyle w:val="Odstavecseseznamem"/>
        <w:numPr>
          <w:ilvl w:val="0"/>
          <w:numId w:val="67"/>
        </w:numPr>
        <w:jc w:val="both"/>
        <w:rPr>
          <w:sz w:val="22"/>
          <w:szCs w:val="22"/>
        </w:rPr>
      </w:pPr>
      <w:r w:rsidRPr="001F3757">
        <w:rPr>
          <w:sz w:val="22"/>
          <w:szCs w:val="22"/>
        </w:rPr>
        <w:lastRenderedPageBreak/>
        <w:t>MMR úspory ani další cíle v prvním roce provozu e-tržišť nehodnotilo. Dle výpočtu NKÚ bylo v prvním roce používání e-tržišť dosaženo pouze 320 mil. Kč „úspor“, což představuje 27 % z plánovaného cíle 1,2 mld. Kč (snížení cen nakupovaných komodit). Nejvyšší „úspory“ na trhu dodávek činily 20 % v případě zadávání VZ formou „otevřených výzev“. Nejnižší „úspora“ byla vypočtena u „přímého zadání“ na trhu služeb (4 %). E-aukce, se kterými byly spojovány nejvyšší očekávané úspory, byly realizovány v zanedbatelném počtu případů.</w:t>
      </w:r>
    </w:p>
    <w:p w:rsidR="001E1203" w:rsidRPr="001F3757" w:rsidRDefault="001E1203" w:rsidP="001F3757">
      <w:pPr>
        <w:pStyle w:val="Odstavecseseznamem"/>
        <w:numPr>
          <w:ilvl w:val="0"/>
          <w:numId w:val="67"/>
        </w:numPr>
        <w:jc w:val="both"/>
        <w:rPr>
          <w:sz w:val="22"/>
          <w:szCs w:val="22"/>
        </w:rPr>
      </w:pPr>
      <w:r w:rsidRPr="001F3757">
        <w:rPr>
          <w:sz w:val="22"/>
          <w:szCs w:val="22"/>
        </w:rPr>
        <w:t>Systém e-tržišť umožňoval zadávání chybných hodnot, neboť nebyly nastaveny funkční kontrolní mechanismy (algoritmy), které by uživatele upozornily na logické chyby. Tato skutečnost může mít vliv na správnost statistického vyhodnocení i na transparentnost uveřejňovaných informací o zadaných zakázkách.</w:t>
      </w:r>
    </w:p>
    <w:p w:rsidR="001E1203" w:rsidRPr="001F3757" w:rsidRDefault="001E1203" w:rsidP="001F3757">
      <w:pPr>
        <w:pStyle w:val="Odstavecseseznamem"/>
        <w:numPr>
          <w:ilvl w:val="0"/>
          <w:numId w:val="67"/>
        </w:numPr>
        <w:jc w:val="both"/>
        <w:rPr>
          <w:sz w:val="22"/>
          <w:szCs w:val="22"/>
        </w:rPr>
      </w:pPr>
      <w:r w:rsidRPr="001F3757">
        <w:rPr>
          <w:sz w:val="22"/>
          <w:szCs w:val="22"/>
        </w:rPr>
        <w:t xml:space="preserve">Povinnost zadávání zakázek byla dána usneseními vlády, stejně jako tomu bylo předtím </w:t>
      </w:r>
      <w:r w:rsidR="000E4DF6">
        <w:rPr>
          <w:sz w:val="22"/>
          <w:szCs w:val="22"/>
        </w:rPr>
        <w:br/>
      </w:r>
      <w:r w:rsidRPr="001F3757">
        <w:rPr>
          <w:sz w:val="22"/>
          <w:szCs w:val="22"/>
        </w:rPr>
        <w:t>u systému ICT a e-tržišť, který byl před zahájením projektu NIPEZ vyhodnocen jako nedostatečný. V UV ze dne 10. 5. 2010 č. 343 ani v UV ze dne 28. 3. 2012 č. 222 nebyl nastaven kontrolní a sankční mechanismus pro kontrolu dodržování povinnosti zadávat zakázky přes e-tržiště ve výši 100 % pro ústřední orgány státní správy a ve výši 50 % pro jejich podřízené organizace.</w:t>
      </w:r>
    </w:p>
    <w:p w:rsidR="001E1203" w:rsidRDefault="001E1203" w:rsidP="001F3757">
      <w:pPr>
        <w:pStyle w:val="Odstavecseseznamem"/>
        <w:numPr>
          <w:ilvl w:val="0"/>
          <w:numId w:val="67"/>
        </w:numPr>
        <w:jc w:val="both"/>
        <w:rPr>
          <w:sz w:val="22"/>
          <w:szCs w:val="22"/>
        </w:rPr>
      </w:pPr>
      <w:r w:rsidRPr="001F3757">
        <w:rPr>
          <w:sz w:val="22"/>
          <w:szCs w:val="22"/>
        </w:rPr>
        <w:t>MMR a Ministerstvo spravedlnosti (dále také „</w:t>
      </w:r>
      <w:proofErr w:type="spellStart"/>
      <w:r w:rsidRPr="001F3757">
        <w:rPr>
          <w:sz w:val="22"/>
          <w:szCs w:val="22"/>
        </w:rPr>
        <w:t>MSp</w:t>
      </w:r>
      <w:proofErr w:type="spellEnd"/>
      <w:r w:rsidRPr="001F3757">
        <w:rPr>
          <w:sz w:val="22"/>
          <w:szCs w:val="22"/>
        </w:rPr>
        <w:t xml:space="preserve">“) vedly evidenci objednávek a zakázek zadaných přes i mimo e-tržiště. Tuto povinnost však </w:t>
      </w:r>
      <w:proofErr w:type="spellStart"/>
      <w:r w:rsidRPr="001F3757">
        <w:rPr>
          <w:sz w:val="22"/>
          <w:szCs w:val="22"/>
        </w:rPr>
        <w:t>MSp</w:t>
      </w:r>
      <w:proofErr w:type="spellEnd"/>
      <w:r w:rsidRPr="001F3757">
        <w:rPr>
          <w:sz w:val="22"/>
          <w:szCs w:val="22"/>
        </w:rPr>
        <w:t xml:space="preserve"> nepřeneslo na své podřízené organizace a KS ÚL ani KSZ ÚL tuto evidenci nevedly. Způsob evidence tak neumožňoval kontrolu plnění vládou stanovených povinností. </w:t>
      </w:r>
    </w:p>
    <w:p w:rsidR="001E1203" w:rsidRPr="001F3757" w:rsidRDefault="001E1203" w:rsidP="001F3757">
      <w:pPr>
        <w:pStyle w:val="Odstavecseseznamem"/>
        <w:ind w:left="575"/>
        <w:jc w:val="both"/>
        <w:rPr>
          <w:sz w:val="22"/>
          <w:szCs w:val="22"/>
        </w:rPr>
      </w:pPr>
    </w:p>
    <w:p w:rsidR="005F0D52" w:rsidRDefault="001E1203" w:rsidP="000F5B64">
      <w:pPr>
        <w:jc w:val="both"/>
        <w:rPr>
          <w:sz w:val="22"/>
          <w:szCs w:val="22"/>
        </w:rPr>
      </w:pPr>
      <w:r w:rsidRPr="001F3757">
        <w:rPr>
          <w:b/>
          <w:sz w:val="22"/>
          <w:szCs w:val="22"/>
        </w:rPr>
        <w:t xml:space="preserve">Stanoviska MMR a </w:t>
      </w:r>
      <w:proofErr w:type="spellStart"/>
      <w:r w:rsidRPr="001F3757">
        <w:rPr>
          <w:b/>
          <w:sz w:val="22"/>
          <w:szCs w:val="22"/>
        </w:rPr>
        <w:t>MSp</w:t>
      </w:r>
      <w:proofErr w:type="spellEnd"/>
      <w:r w:rsidRPr="001F3757">
        <w:rPr>
          <w:b/>
          <w:sz w:val="22"/>
          <w:szCs w:val="22"/>
        </w:rPr>
        <w:t xml:space="preserve"> a přijatá opatření: </w:t>
      </w:r>
    </w:p>
    <w:p w:rsidR="001E1203" w:rsidRPr="001F3757" w:rsidRDefault="005F0D52" w:rsidP="001E1203">
      <w:pPr>
        <w:jc w:val="both"/>
        <w:rPr>
          <w:sz w:val="22"/>
          <w:szCs w:val="22"/>
        </w:rPr>
      </w:pPr>
      <w:r w:rsidRPr="000F5B64">
        <w:rPr>
          <w:sz w:val="22"/>
          <w:szCs w:val="22"/>
        </w:rPr>
        <w:t xml:space="preserve"> </w:t>
      </w:r>
      <w:r w:rsidR="001E1203" w:rsidRPr="001F3757">
        <w:rPr>
          <w:sz w:val="22"/>
          <w:szCs w:val="22"/>
        </w:rPr>
        <w:t xml:space="preserve">MMR se závěry uvedenými v kontrolním závěru neztotožňuje. MMR se zaměřilo na zjednodušení procesů zadávání VZ na e-tržišti, odstranění administrativní náročnosti a zvýšení uživatelského komfortu, čímž přispělo k zefektivnění elektronického zadávání a usnadnění přístupu dodavatelů </w:t>
      </w:r>
      <w:r w:rsidR="000F5B64">
        <w:rPr>
          <w:sz w:val="22"/>
          <w:szCs w:val="22"/>
        </w:rPr>
        <w:br/>
      </w:r>
      <w:r w:rsidR="001E1203" w:rsidRPr="001F3757">
        <w:rPr>
          <w:sz w:val="22"/>
          <w:szCs w:val="22"/>
        </w:rPr>
        <w:t xml:space="preserve">k systému e-tržišť. Úkol předložit návrh novely zákona č. 137/2006 Sb., o veřejných zakázkách, </w:t>
      </w:r>
      <w:r w:rsidR="000F5B64">
        <w:rPr>
          <w:sz w:val="22"/>
          <w:szCs w:val="22"/>
        </w:rPr>
        <w:br/>
      </w:r>
      <w:r w:rsidR="001E1203" w:rsidRPr="001F3757">
        <w:rPr>
          <w:sz w:val="22"/>
          <w:szCs w:val="22"/>
        </w:rPr>
        <w:t xml:space="preserve">a souvisejících právních předpisů, který by navrhl kontrolní a sankční mechanismus fungování elektronických tržišť veřejné správy a stanovil podmínky používání systému elektronických tržišť veřejné správy veřejnými zadavateli, stále existuje. Nastavení kontrolního a sankčního mechanismu </w:t>
      </w:r>
      <w:r w:rsidR="000F5B64">
        <w:rPr>
          <w:sz w:val="22"/>
          <w:szCs w:val="22"/>
        </w:rPr>
        <w:br/>
      </w:r>
      <w:r w:rsidR="001E1203" w:rsidRPr="001F3757">
        <w:rPr>
          <w:sz w:val="22"/>
          <w:szCs w:val="22"/>
        </w:rPr>
        <w:t xml:space="preserve">a potencionální rozšíření povinnosti využívat e-tržiště dnes nepovinnými subjekty bude analyzován </w:t>
      </w:r>
      <w:r w:rsidR="000F5B64">
        <w:rPr>
          <w:sz w:val="22"/>
          <w:szCs w:val="22"/>
        </w:rPr>
        <w:br/>
      </w:r>
      <w:r w:rsidR="001E1203" w:rsidRPr="001F3757">
        <w:rPr>
          <w:sz w:val="22"/>
          <w:szCs w:val="22"/>
        </w:rPr>
        <w:t>v rámci realizace transpozice směrnic regulujících oblast veřejného zadávání (Směrnice 2014/24/EU, Směrnice 2014/25/EU a Směrnice 2014/23/EU) do vnitrostátního právního řádu dle harmonogramu pro předložení a schválení zákona o veřejných zakázkách vládou ČR.</w:t>
      </w:r>
    </w:p>
    <w:p w:rsidR="001E1203" w:rsidRPr="001F3757" w:rsidRDefault="001E1203" w:rsidP="001E1203">
      <w:pPr>
        <w:jc w:val="both"/>
        <w:rPr>
          <w:sz w:val="22"/>
          <w:szCs w:val="22"/>
        </w:rPr>
      </w:pPr>
      <w:r w:rsidRPr="001F3757">
        <w:rPr>
          <w:sz w:val="22"/>
          <w:szCs w:val="22"/>
        </w:rPr>
        <w:t>U tohoto projektu dochází k naplnění indikátoru týkajícího se digitalizace dokumentů až po zprovoznění Národního elektronického nástroje. Splnění indikativní cílové hodnoty z programového dokumentu IOP bude vyhodnoceno podle stavu dosaženého na konci roku 2015.</w:t>
      </w:r>
    </w:p>
    <w:p w:rsidR="001E1203" w:rsidRPr="001F3757" w:rsidRDefault="001E1203" w:rsidP="001E1203">
      <w:pPr>
        <w:jc w:val="both"/>
        <w:rPr>
          <w:sz w:val="22"/>
          <w:szCs w:val="22"/>
        </w:rPr>
      </w:pPr>
      <w:r w:rsidRPr="001F3757">
        <w:rPr>
          <w:sz w:val="22"/>
          <w:szCs w:val="22"/>
        </w:rPr>
        <w:t xml:space="preserve">Ceník elektronických tržišť byl navýšen pouze jednou v souvislosti s implementací číselníku NIPEZ, </w:t>
      </w:r>
      <w:r w:rsidR="000F5B64">
        <w:rPr>
          <w:sz w:val="22"/>
          <w:szCs w:val="22"/>
        </w:rPr>
        <w:br/>
      </w:r>
      <w:r w:rsidRPr="001F3757">
        <w:rPr>
          <w:sz w:val="22"/>
          <w:szCs w:val="22"/>
        </w:rPr>
        <w:t xml:space="preserve">a to dodatkem č. 1 koncesní smlouvy. Jiný dodatek uzavřen nebyl a nebyl proto změněn ani ceník </w:t>
      </w:r>
      <w:r w:rsidR="000F5B64">
        <w:rPr>
          <w:sz w:val="22"/>
          <w:szCs w:val="22"/>
        </w:rPr>
        <w:br/>
      </w:r>
      <w:r w:rsidRPr="001F3757">
        <w:rPr>
          <w:sz w:val="22"/>
          <w:szCs w:val="22"/>
        </w:rPr>
        <w:t xml:space="preserve">e-tržišť. Dle názoru MMR byl výsledný ceník vzešlý z koncesního řízení v souladu s podmínkami koncesního řízení. Zadavatel při stanovení sjednocených jednotkových cen postupoval přesně dle </w:t>
      </w:r>
      <w:r w:rsidR="000F5B64">
        <w:rPr>
          <w:sz w:val="22"/>
          <w:szCs w:val="22"/>
        </w:rPr>
        <w:br/>
      </w:r>
      <w:proofErr w:type="spellStart"/>
      <w:r w:rsidRPr="001F3757">
        <w:rPr>
          <w:sz w:val="22"/>
          <w:szCs w:val="22"/>
        </w:rPr>
        <w:t>ust</w:t>
      </w:r>
      <w:proofErr w:type="spellEnd"/>
      <w:r w:rsidRPr="001F3757">
        <w:rPr>
          <w:sz w:val="22"/>
          <w:szCs w:val="22"/>
        </w:rPr>
        <w:t xml:space="preserve">. 9.3 koncesní dokumentace, které mu umožnilo do sjednocené jednotkové ceny nezapočítat takovou položku, která objektivně a vzhledem ke všem okolnostem (zejm. vzhledem k předmětu plnění) naplňuje znaky mimořádně nízké nabídkové ceny (§ 77 ZVZ). Takový postup, kdy byly ceny „očištěny od extrémních hodnot“, byl zvolen za účelem nalezení vhodné výchozí ceny pro jednání </w:t>
      </w:r>
      <w:r w:rsidR="000F5B64">
        <w:rPr>
          <w:sz w:val="22"/>
          <w:szCs w:val="22"/>
        </w:rPr>
        <w:br/>
      </w:r>
      <w:r w:rsidRPr="001F3757">
        <w:rPr>
          <w:sz w:val="22"/>
          <w:szCs w:val="22"/>
        </w:rPr>
        <w:t xml:space="preserve">o cenách. MMR jako vstup pro jednání muselo stanovit ceny, které by neznamenaly konec jednání proto, že by byly pro většinu budoucích provozovatelů e-tržišť nepřijatelné. </w:t>
      </w:r>
    </w:p>
    <w:p w:rsidR="001E1203" w:rsidRPr="001F3757" w:rsidRDefault="001E1203" w:rsidP="001E1203">
      <w:pPr>
        <w:jc w:val="both"/>
        <w:rPr>
          <w:sz w:val="22"/>
          <w:szCs w:val="22"/>
        </w:rPr>
      </w:pPr>
      <w:r w:rsidRPr="001F3757">
        <w:rPr>
          <w:sz w:val="22"/>
          <w:szCs w:val="22"/>
        </w:rPr>
        <w:t>Již na začátku roku 2012 bylo zřejmé, že bude schválena novela ZVZ. Nebylo však jisté, kdy a v jaké podobě bude novela ZVZ schválena, neboť nebylo zřejmé, zda během legislativního procesu nedojde ještě ke změnám novely a nebylo také zřejmé, kdy vstoupí novela v účinnost. Současně bylo zřejmé, že dojde ke změnám v číselníku NIPEZ. MMR se proto v zájmu hospodárného postupu rozhodlo předložit provozovatelům e-tržišť až upravený číselník NIPEZ, a to i s ohledem na situaci, kdy bylo zjevné, že bude posunut termín zahájení provozu e-tržišť. Pokud by MMR postupovalo tak, že by provozovatelům e-tržišť předložilo číselník NIPEZ před jeho změnou, znamenalo by to, že by po úpravě číselníku NIPEZ musela být provedena změna e-tržišť, která by byla spojena s dodatečnými náklady.</w:t>
      </w:r>
    </w:p>
    <w:p w:rsidR="001E1203" w:rsidRPr="001F3757" w:rsidRDefault="001E1203" w:rsidP="001E1203">
      <w:pPr>
        <w:jc w:val="both"/>
        <w:rPr>
          <w:sz w:val="22"/>
          <w:szCs w:val="22"/>
        </w:rPr>
      </w:pPr>
      <w:r w:rsidRPr="001F3757">
        <w:rPr>
          <w:sz w:val="22"/>
          <w:szCs w:val="22"/>
        </w:rPr>
        <w:lastRenderedPageBreak/>
        <w:t xml:space="preserve">Na základě zjištění NKÚ se MMR rozhodlo aktualizovat Závazné minimální požadavky na technickou specifikaci e-tržišť veřejné správy formou Dodatku č. 5 – implementován k 1. 4. 2014, resp. </w:t>
      </w:r>
      <w:r w:rsidR="000F5B64">
        <w:rPr>
          <w:sz w:val="22"/>
          <w:szCs w:val="22"/>
        </w:rPr>
        <w:br/>
      </w:r>
      <w:r w:rsidRPr="001F3757">
        <w:rPr>
          <w:sz w:val="22"/>
          <w:szCs w:val="22"/>
        </w:rPr>
        <w:t>k 28. 4. 2014. V rámci tohoto dodatku byla přidána validace takových položek, aby se minimalizovalo riziko nesprávnosti či snížené věrohodnosti informací poskytující řešení e-tržišť.</w:t>
      </w:r>
    </w:p>
    <w:p w:rsidR="001E1203" w:rsidRPr="001F3757" w:rsidRDefault="001E1203" w:rsidP="001E1203">
      <w:pPr>
        <w:jc w:val="both"/>
        <w:rPr>
          <w:sz w:val="22"/>
          <w:szCs w:val="22"/>
        </w:rPr>
      </w:pPr>
      <w:r w:rsidRPr="001F3757">
        <w:rPr>
          <w:sz w:val="22"/>
          <w:szCs w:val="22"/>
        </w:rPr>
        <w:t xml:space="preserve">V souvislosti s procesem registrace uživatelů e-tržišť byla po zjištění NKÚ provedena celková analýza všech registrací u všech provozovatelů a identifikovány 2 případy duplicit v registraci uživatelů. </w:t>
      </w:r>
      <w:r w:rsidR="000F5B64">
        <w:rPr>
          <w:sz w:val="22"/>
          <w:szCs w:val="22"/>
        </w:rPr>
        <w:br/>
      </w:r>
      <w:r w:rsidRPr="001F3757">
        <w:rPr>
          <w:sz w:val="22"/>
          <w:szCs w:val="22"/>
        </w:rPr>
        <w:t xml:space="preserve">V rámci obou případů byla ihned zjednána náprava a na straně provozovatelů přijatá taková opatření, aby k duplicitám již nedocházelo. MMR nedostatky vyplývající z tohoto zjištění odstranilo ještě </w:t>
      </w:r>
      <w:r w:rsidR="000E4DF6">
        <w:rPr>
          <w:sz w:val="22"/>
          <w:szCs w:val="22"/>
        </w:rPr>
        <w:br/>
      </w:r>
      <w:r w:rsidRPr="001F3757">
        <w:rPr>
          <w:sz w:val="22"/>
          <w:szCs w:val="22"/>
        </w:rPr>
        <w:t>v průběhu kontroly NKÚ.</w:t>
      </w:r>
    </w:p>
    <w:p w:rsidR="001E1203" w:rsidRPr="001F3757" w:rsidRDefault="001E1203" w:rsidP="001E1203">
      <w:pPr>
        <w:jc w:val="both"/>
        <w:rPr>
          <w:sz w:val="22"/>
          <w:szCs w:val="22"/>
        </w:rPr>
      </w:pPr>
      <w:r w:rsidRPr="001F3757">
        <w:rPr>
          <w:sz w:val="22"/>
          <w:szCs w:val="22"/>
        </w:rPr>
        <w:t xml:space="preserve">MMR je toho názoru, že nelze vyhodnocovat plnění všech cílů po prvním půlroce fungování e-tržišť, v rámci níž dochází k náběhu celého systému, seznamování se s aplikací a pravidly používání e-tržišť. Součástí Zprávy o fungování e-tržišť za rok 2013 je již také informace o přínosech e-tržišť v podobě formální kontroly postupu zadavatele a transparentnosti zadávání VZ bez vlivu na zvýšení transakčních nákladů. Pozitivní přínos vidí MMR zejména ve vztahu k přístupu malých a středních podniků na trh veřejných zakázek. Úspora vypočtená NKÚ ve výši 320 mil. Kč odpovídá stavu využívání e-tržišť za období jednoho roku od spuštění e-tržišť tj. od 1. 7. 2012 a nelze ji porovnávat s odhadem úspor MMR ve výši 1,2 mld. Kč za rok, zejména z toho důvodu, že MMR předpokládalo dle šetření elektronizace zadávání VZ širší zapojení nepovinných subjektů, např. subjektů samosprávných celků, jejichž využívání se v současnosti pohybuje v jednotkách %.    </w:t>
      </w:r>
    </w:p>
    <w:p w:rsidR="001E1203" w:rsidRPr="001F3757" w:rsidRDefault="001E1203" w:rsidP="001E1203">
      <w:pPr>
        <w:jc w:val="both"/>
        <w:rPr>
          <w:sz w:val="22"/>
          <w:szCs w:val="22"/>
        </w:rPr>
      </w:pPr>
      <w:r w:rsidRPr="001F3757">
        <w:rPr>
          <w:sz w:val="22"/>
          <w:szCs w:val="22"/>
        </w:rPr>
        <w:t xml:space="preserve">MMR má zpracované a vydané rozhodnutí ministra upravující používání e-tržišť č. 71 ze dne </w:t>
      </w:r>
      <w:r w:rsidR="005F0D52">
        <w:rPr>
          <w:sz w:val="22"/>
          <w:szCs w:val="22"/>
        </w:rPr>
        <w:br/>
      </w:r>
      <w:r w:rsidRPr="001F3757">
        <w:rPr>
          <w:sz w:val="22"/>
          <w:szCs w:val="22"/>
        </w:rPr>
        <w:t xml:space="preserve">1. </w:t>
      </w:r>
      <w:r w:rsidR="005F0D52">
        <w:rPr>
          <w:sz w:val="22"/>
          <w:szCs w:val="22"/>
        </w:rPr>
        <w:t>6.</w:t>
      </w:r>
      <w:r w:rsidRPr="001F3757">
        <w:rPr>
          <w:sz w:val="22"/>
          <w:szCs w:val="22"/>
        </w:rPr>
        <w:t xml:space="preserve"> 2012 v souladu s usnesením vlády ze dne 10. 5. 2010 č. 343 v aktuálním znění. Na základě zjištění kontroly NKÚ byl posílen dohled vedoucích pracovníků věcně příslušných zadavatelských útvarů při zadávání VZ na MMR, zejména ve vztahu k zadávání povinných komodit na e-tržišti </w:t>
      </w:r>
      <w:r w:rsidR="000F5B64">
        <w:rPr>
          <w:sz w:val="22"/>
          <w:szCs w:val="22"/>
        </w:rPr>
        <w:br/>
      </w:r>
      <w:r w:rsidRPr="001F3757">
        <w:rPr>
          <w:sz w:val="22"/>
          <w:szCs w:val="22"/>
        </w:rPr>
        <w:t xml:space="preserve">a dodržování všech předepsaných finančních limitů a lhůt. MMR aktualizovalo rozhodnutí ministra </w:t>
      </w:r>
      <w:r w:rsidR="005F0D52">
        <w:rPr>
          <w:sz w:val="22"/>
          <w:szCs w:val="22"/>
        </w:rPr>
        <w:br/>
      </w:r>
      <w:r w:rsidRPr="001F3757">
        <w:rPr>
          <w:sz w:val="22"/>
          <w:szCs w:val="22"/>
        </w:rPr>
        <w:t>(č. 83/2014), na základě něhož byl zpřesněn výčet informací předkládaných vedení MMR o zadávání VZ na e-tržištích pro účely vyhodnocení způsobu využívání e-tržišť na MMR.</w:t>
      </w:r>
    </w:p>
    <w:p w:rsidR="001E1203" w:rsidRPr="001F3757" w:rsidRDefault="001E1203" w:rsidP="001E1203">
      <w:pPr>
        <w:jc w:val="both"/>
        <w:rPr>
          <w:sz w:val="22"/>
          <w:szCs w:val="22"/>
        </w:rPr>
      </w:pPr>
    </w:p>
    <w:p w:rsidR="001E1203" w:rsidRPr="001F3757" w:rsidRDefault="001E1203" w:rsidP="001E1203">
      <w:pPr>
        <w:jc w:val="both"/>
        <w:rPr>
          <w:b/>
          <w:sz w:val="22"/>
          <w:szCs w:val="22"/>
        </w:rPr>
      </w:pPr>
      <w:r w:rsidRPr="001F3757">
        <w:rPr>
          <w:b/>
          <w:sz w:val="22"/>
          <w:szCs w:val="22"/>
        </w:rPr>
        <w:t xml:space="preserve">Usnesení vlády ČR č. 1021 ze dne 8. 12. 2014 uložilo MMR ČR připravit a realizovat opatření reagující na doporučení NKÚ v Kontrolním závěru a informovat vládu do 31. 3. 2015 o realizaci opatření.   </w:t>
      </w:r>
    </w:p>
    <w:p w:rsidR="007B46AF" w:rsidRDefault="007B46AF" w:rsidP="007B46AF">
      <w:pPr>
        <w:jc w:val="both"/>
        <w:rPr>
          <w:sz w:val="22"/>
          <w:szCs w:val="22"/>
        </w:rPr>
      </w:pPr>
      <w:r>
        <w:rPr>
          <w:sz w:val="22"/>
          <w:szCs w:val="22"/>
        </w:rPr>
        <w:t>S ohledem na zjištění uvedené výše pod bodem 1) zaevidoval ŘO IOP nesrovnalost. Další nezpůsobilé výdaje ani nesrovnalosti ŘO IOP v souvislosti s touto kontrolou neeviduje. Projekt NIPEZ je nadále ze strany ŘO IOP a ZS monitorován, a to i s ohledem na naplnění cílů projektu.</w:t>
      </w:r>
    </w:p>
    <w:p w:rsidR="001E1203" w:rsidRDefault="001E1203" w:rsidP="00ED1891">
      <w:pPr>
        <w:jc w:val="both"/>
        <w:rPr>
          <w:b/>
          <w:i/>
          <w:sz w:val="22"/>
          <w:szCs w:val="22"/>
        </w:rPr>
      </w:pPr>
    </w:p>
    <w:p w:rsidR="001E1203" w:rsidRDefault="001E1203" w:rsidP="00ED1891">
      <w:pPr>
        <w:jc w:val="both"/>
        <w:rPr>
          <w:b/>
          <w:i/>
          <w:sz w:val="22"/>
          <w:szCs w:val="22"/>
        </w:rPr>
      </w:pPr>
    </w:p>
    <w:p w:rsidR="00ED1891" w:rsidRPr="001F3757" w:rsidRDefault="00ED1891" w:rsidP="00ED1891">
      <w:pPr>
        <w:jc w:val="both"/>
        <w:rPr>
          <w:b/>
          <w:i/>
          <w:sz w:val="22"/>
          <w:szCs w:val="22"/>
        </w:rPr>
      </w:pPr>
      <w:r w:rsidRPr="001F3757">
        <w:rPr>
          <w:b/>
          <w:i/>
          <w:sz w:val="22"/>
          <w:szCs w:val="22"/>
        </w:rPr>
        <w:t>Kontrolní akce NKÚ č. 13/32 „Peněžní prostředky určené na rozvoj cestovního ruchu“</w:t>
      </w:r>
    </w:p>
    <w:p w:rsidR="00ED1891" w:rsidRDefault="00ED1891" w:rsidP="00ED1891">
      <w:pPr>
        <w:jc w:val="both"/>
        <w:rPr>
          <w:rFonts w:ascii="Arial" w:hAnsi="Arial" w:cs="Arial"/>
          <w:b/>
          <w:bCs/>
          <w:highlight w:val="yellow"/>
          <w:u w:val="single"/>
        </w:rPr>
      </w:pPr>
    </w:p>
    <w:p w:rsidR="00ED1891" w:rsidRPr="001F3757" w:rsidRDefault="00ED1891" w:rsidP="00ED1891">
      <w:pPr>
        <w:jc w:val="both"/>
        <w:rPr>
          <w:sz w:val="22"/>
          <w:szCs w:val="22"/>
        </w:rPr>
      </w:pPr>
      <w:r w:rsidRPr="001F3757">
        <w:rPr>
          <w:b/>
          <w:sz w:val="22"/>
          <w:szCs w:val="22"/>
        </w:rPr>
        <w:t>Zaměření kontroly:</w:t>
      </w:r>
      <w:r w:rsidRPr="001F3757">
        <w:rPr>
          <w:sz w:val="22"/>
          <w:szCs w:val="22"/>
        </w:rPr>
        <w:t xml:space="preserve"> Kontrolní akce NKÚ č. 13/32 byla na MMR zahájena dne 17. 9. 2013. Předmětem kontroly byla mimo jiné činnost MMR jako řídícího orgánu IOP (dále také „ŘO IOP“) </w:t>
      </w:r>
      <w:r w:rsidR="000E4DF6">
        <w:rPr>
          <w:sz w:val="22"/>
          <w:szCs w:val="22"/>
        </w:rPr>
        <w:br/>
      </w:r>
      <w:r w:rsidRPr="001F3757">
        <w:rPr>
          <w:sz w:val="22"/>
          <w:szCs w:val="22"/>
        </w:rPr>
        <w:t xml:space="preserve">ve vazbě na cestovní ruch a činnost MMR jako příjemce peněžních prostředků z IOP. Kontrolovaným obdobím byla léta 2007 – 2013, v případě věcných souvislostí i období související. </w:t>
      </w:r>
      <w:r w:rsidR="000E4DF6">
        <w:rPr>
          <w:sz w:val="22"/>
          <w:szCs w:val="22"/>
        </w:rPr>
        <w:br/>
        <w:t xml:space="preserve">Dne </w:t>
      </w:r>
      <w:r w:rsidRPr="001F3757">
        <w:rPr>
          <w:sz w:val="22"/>
          <w:szCs w:val="22"/>
        </w:rPr>
        <w:t xml:space="preserve">30. 6. 2014 Kolegium NKÚ schválilo kontrolní závěr. </w:t>
      </w:r>
    </w:p>
    <w:p w:rsidR="00ED1891" w:rsidRPr="001F3757" w:rsidRDefault="00ED1891" w:rsidP="00ED1891">
      <w:pPr>
        <w:jc w:val="both"/>
        <w:rPr>
          <w:sz w:val="22"/>
          <w:szCs w:val="22"/>
        </w:rPr>
      </w:pPr>
    </w:p>
    <w:p w:rsidR="00ED1891" w:rsidRPr="001F3757" w:rsidRDefault="00ED1891" w:rsidP="00ED1891">
      <w:pPr>
        <w:jc w:val="both"/>
        <w:rPr>
          <w:b/>
          <w:sz w:val="22"/>
          <w:szCs w:val="22"/>
        </w:rPr>
      </w:pPr>
      <w:r w:rsidRPr="001F3757">
        <w:rPr>
          <w:b/>
          <w:sz w:val="22"/>
          <w:szCs w:val="22"/>
        </w:rPr>
        <w:t>NKÚ identifikoval následující zjištění:</w:t>
      </w:r>
    </w:p>
    <w:p w:rsidR="00ED1891" w:rsidRPr="001F3757" w:rsidRDefault="00ED1891" w:rsidP="001F3757">
      <w:pPr>
        <w:pStyle w:val="Odstavecseseznamem"/>
        <w:numPr>
          <w:ilvl w:val="0"/>
          <w:numId w:val="63"/>
        </w:numPr>
        <w:jc w:val="both"/>
        <w:rPr>
          <w:sz w:val="22"/>
          <w:szCs w:val="22"/>
        </w:rPr>
      </w:pPr>
      <w:r w:rsidRPr="001F3757">
        <w:rPr>
          <w:sz w:val="22"/>
          <w:szCs w:val="22"/>
        </w:rPr>
        <w:t xml:space="preserve">Projekty Upevnění postavení České republiky a její konkurenceschopnosti v cestovním ruchu, </w:t>
      </w:r>
      <w:proofErr w:type="spellStart"/>
      <w:r w:rsidRPr="001F3757">
        <w:rPr>
          <w:sz w:val="22"/>
          <w:szCs w:val="22"/>
        </w:rPr>
        <w:t>Rebranding</w:t>
      </w:r>
      <w:proofErr w:type="spellEnd"/>
      <w:r w:rsidRPr="001F3757">
        <w:rPr>
          <w:sz w:val="22"/>
          <w:szCs w:val="22"/>
        </w:rPr>
        <w:t xml:space="preserve"> a marketingová podpora příjezdového cestovního ruchu a Česko chutná skvěle, realizované </w:t>
      </w:r>
      <w:proofErr w:type="spellStart"/>
      <w:r w:rsidRPr="001F3757">
        <w:rPr>
          <w:sz w:val="22"/>
          <w:szCs w:val="22"/>
        </w:rPr>
        <w:t>CzechTourismem</w:t>
      </w:r>
      <w:proofErr w:type="spellEnd"/>
      <w:r w:rsidRPr="001F3757">
        <w:rPr>
          <w:sz w:val="22"/>
          <w:szCs w:val="22"/>
        </w:rPr>
        <w:t xml:space="preserve">, nebyly dostatečně připraveny. Dle kontrolního závěru NKÚ vztahujícímu se k IOP </w:t>
      </w:r>
      <w:proofErr w:type="spellStart"/>
      <w:r w:rsidRPr="001F3757">
        <w:rPr>
          <w:sz w:val="22"/>
          <w:szCs w:val="22"/>
        </w:rPr>
        <w:t>CzechTourism</w:t>
      </w:r>
      <w:proofErr w:type="spellEnd"/>
      <w:r w:rsidRPr="001F3757">
        <w:rPr>
          <w:sz w:val="22"/>
          <w:szCs w:val="22"/>
        </w:rPr>
        <w:t xml:space="preserve"> v průběhu realizace měnil aktivity projektů, strukturu jejich rozpočtu, zadávací řízení, cílové hodnoty indikátorů a termíny dokončení realizace. </w:t>
      </w:r>
    </w:p>
    <w:p w:rsidR="00ED1891" w:rsidRPr="001F3757" w:rsidRDefault="00ED1891" w:rsidP="001F3757">
      <w:pPr>
        <w:pStyle w:val="Odstavecseseznamem"/>
        <w:numPr>
          <w:ilvl w:val="0"/>
          <w:numId w:val="63"/>
        </w:numPr>
        <w:jc w:val="both"/>
        <w:rPr>
          <w:sz w:val="22"/>
          <w:szCs w:val="22"/>
        </w:rPr>
      </w:pPr>
      <w:proofErr w:type="spellStart"/>
      <w:r w:rsidRPr="001F3757">
        <w:rPr>
          <w:sz w:val="22"/>
          <w:szCs w:val="22"/>
        </w:rPr>
        <w:t>CzechTourism</w:t>
      </w:r>
      <w:proofErr w:type="spellEnd"/>
      <w:r w:rsidRPr="001F3757">
        <w:rPr>
          <w:sz w:val="22"/>
          <w:szCs w:val="22"/>
        </w:rPr>
        <w:t xml:space="preserve"> nestanovil odpovídající ukazatele pro hodnocení cílů růstů rozvoje cestovního ruchu, růstu konkurenceschopnosti a zaměstnanosti a projekty hodnotil počtem kampaní </w:t>
      </w:r>
      <w:r w:rsidR="000F5B64">
        <w:rPr>
          <w:sz w:val="22"/>
          <w:szCs w:val="22"/>
        </w:rPr>
        <w:br/>
      </w:r>
      <w:r w:rsidRPr="001F3757">
        <w:rPr>
          <w:sz w:val="22"/>
          <w:szCs w:val="22"/>
        </w:rPr>
        <w:t xml:space="preserve">a marketingových produktů. </w:t>
      </w:r>
    </w:p>
    <w:p w:rsidR="00ED1891" w:rsidRPr="001F3757" w:rsidRDefault="00ED1891" w:rsidP="001F3757">
      <w:pPr>
        <w:pStyle w:val="Odstavecseseznamem"/>
        <w:numPr>
          <w:ilvl w:val="0"/>
          <w:numId w:val="63"/>
        </w:numPr>
        <w:jc w:val="both"/>
        <w:rPr>
          <w:sz w:val="22"/>
          <w:szCs w:val="22"/>
        </w:rPr>
      </w:pPr>
      <w:r w:rsidRPr="001F3757">
        <w:rPr>
          <w:sz w:val="22"/>
          <w:szCs w:val="22"/>
        </w:rPr>
        <w:t xml:space="preserve">Projekt Zavedení národního informačního portálu cestovního ruchu je zpožděn, což může vést </w:t>
      </w:r>
      <w:r w:rsidR="000F5B64">
        <w:rPr>
          <w:sz w:val="22"/>
          <w:szCs w:val="22"/>
        </w:rPr>
        <w:br/>
      </w:r>
      <w:r w:rsidRPr="001F3757">
        <w:rPr>
          <w:sz w:val="22"/>
          <w:szCs w:val="22"/>
        </w:rPr>
        <w:t xml:space="preserve">k ohrožení realizace tohoto projektu. </w:t>
      </w:r>
    </w:p>
    <w:p w:rsidR="00ED1891" w:rsidRPr="001F3757" w:rsidRDefault="00ED1891" w:rsidP="001F3757">
      <w:pPr>
        <w:pStyle w:val="Odstavecseseznamem"/>
        <w:numPr>
          <w:ilvl w:val="0"/>
          <w:numId w:val="63"/>
        </w:numPr>
        <w:jc w:val="both"/>
        <w:rPr>
          <w:sz w:val="22"/>
          <w:szCs w:val="22"/>
        </w:rPr>
      </w:pPr>
      <w:r w:rsidRPr="001F3757">
        <w:rPr>
          <w:sz w:val="22"/>
          <w:szCs w:val="22"/>
        </w:rPr>
        <w:lastRenderedPageBreak/>
        <w:t xml:space="preserve">Dle NKÚ MMR při přípravě a realizaci projektu Národní systém kvality služeb cestovního ruchu v České republice u části vynaložených prostředků nezajistilo dostatečnou efektivnost, případně hospodárnost a nelze vyloučit riziko, že MMR nebude schopno zajistit zdroje financování dalšího rozvoje a inovace tohoto systému. </w:t>
      </w:r>
    </w:p>
    <w:p w:rsidR="00ED1891" w:rsidRPr="001F3757" w:rsidRDefault="00B41F65" w:rsidP="001F3757">
      <w:pPr>
        <w:pStyle w:val="Odstavecseseznamem"/>
        <w:numPr>
          <w:ilvl w:val="0"/>
          <w:numId w:val="63"/>
        </w:numPr>
        <w:jc w:val="both"/>
        <w:rPr>
          <w:sz w:val="22"/>
          <w:szCs w:val="22"/>
        </w:rPr>
      </w:pPr>
      <w:r>
        <w:rPr>
          <w:sz w:val="22"/>
          <w:szCs w:val="22"/>
        </w:rPr>
        <w:t>D</w:t>
      </w:r>
      <w:r w:rsidR="00ED1891" w:rsidRPr="001F3757">
        <w:rPr>
          <w:sz w:val="22"/>
          <w:szCs w:val="22"/>
        </w:rPr>
        <w:t xml:space="preserve">le NKÚ proplatilo </w:t>
      </w:r>
      <w:r w:rsidRPr="001F3757">
        <w:rPr>
          <w:sz w:val="22"/>
          <w:szCs w:val="22"/>
        </w:rPr>
        <w:t xml:space="preserve">MMR </w:t>
      </w:r>
      <w:r w:rsidR="00ED1891" w:rsidRPr="001F3757">
        <w:rPr>
          <w:sz w:val="22"/>
          <w:szCs w:val="22"/>
        </w:rPr>
        <w:t xml:space="preserve">mimo jiné i výdaje externí firmě za právní poradenství za účelem tvorby zadávací dokumentace a za hodnocení uchazečů VZ, ačkoliv provádí metodické řízení procesu zadávání VZ a podílí se na přípravě souvisejících právních norem. MMR tak nehospodárně vynaložilo 230 tis. Kč. </w:t>
      </w:r>
    </w:p>
    <w:p w:rsidR="00ED1891" w:rsidRPr="001F3757" w:rsidRDefault="00ED1891" w:rsidP="00ED1891">
      <w:pPr>
        <w:jc w:val="both"/>
        <w:rPr>
          <w:sz w:val="22"/>
          <w:szCs w:val="22"/>
        </w:rPr>
      </w:pPr>
    </w:p>
    <w:p w:rsidR="001D5FE8" w:rsidRPr="001F3757" w:rsidRDefault="00ED1891" w:rsidP="001D5FE8">
      <w:pPr>
        <w:jc w:val="both"/>
        <w:rPr>
          <w:b/>
          <w:sz w:val="22"/>
          <w:szCs w:val="22"/>
        </w:rPr>
      </w:pPr>
      <w:r w:rsidRPr="001F3757">
        <w:rPr>
          <w:b/>
          <w:sz w:val="22"/>
          <w:szCs w:val="22"/>
        </w:rPr>
        <w:t xml:space="preserve">Stanovisko MMR a nápravná opatření:  </w:t>
      </w:r>
    </w:p>
    <w:p w:rsidR="001D5FE8" w:rsidRPr="001F3757" w:rsidRDefault="001D5FE8" w:rsidP="001D5FE8">
      <w:pPr>
        <w:jc w:val="both"/>
        <w:rPr>
          <w:sz w:val="22"/>
          <w:szCs w:val="22"/>
        </w:rPr>
      </w:pPr>
    </w:p>
    <w:p w:rsidR="001D5FE8" w:rsidRPr="001F3757" w:rsidRDefault="001D5FE8" w:rsidP="001F3757">
      <w:pPr>
        <w:pStyle w:val="Odstavecseseznamem"/>
        <w:numPr>
          <w:ilvl w:val="0"/>
          <w:numId w:val="64"/>
        </w:numPr>
        <w:jc w:val="both"/>
        <w:rPr>
          <w:sz w:val="22"/>
          <w:szCs w:val="22"/>
        </w:rPr>
      </w:pPr>
      <w:r w:rsidRPr="001F3757">
        <w:rPr>
          <w:sz w:val="22"/>
          <w:szCs w:val="22"/>
        </w:rPr>
        <w:t xml:space="preserve">Schvalované projekty počínaje rokem 2014 vycházejí z platné Marketingové koncepce cestovního ruchu do roku 2020, která byla schválena Ministerstvem pro místní rozvoj </w:t>
      </w:r>
      <w:r w:rsidR="000F5B64">
        <w:rPr>
          <w:sz w:val="22"/>
          <w:szCs w:val="22"/>
        </w:rPr>
        <w:br/>
      </w:r>
      <w:r w:rsidRPr="001F3757">
        <w:rPr>
          <w:sz w:val="22"/>
          <w:szCs w:val="22"/>
        </w:rPr>
        <w:t xml:space="preserve">a agenturou </w:t>
      </w:r>
      <w:proofErr w:type="spellStart"/>
      <w:r w:rsidRPr="001F3757">
        <w:rPr>
          <w:sz w:val="22"/>
          <w:szCs w:val="22"/>
        </w:rPr>
        <w:t>CzechTourism</w:t>
      </w:r>
      <w:proofErr w:type="spellEnd"/>
      <w:r w:rsidRPr="001F3757">
        <w:rPr>
          <w:sz w:val="22"/>
          <w:szCs w:val="22"/>
        </w:rPr>
        <w:t xml:space="preserve">. Marketingová koncepce bude dále rozpracována na dílčí dvouleté akční plány. Toto opatření významným způsobem ovlivní dopady nekoncepční přípravy projektů a nutnosti provádění změn v období jejich realizace.   </w:t>
      </w:r>
    </w:p>
    <w:p w:rsidR="001D5FE8" w:rsidRPr="001F3757" w:rsidRDefault="001D5FE8" w:rsidP="001F3757">
      <w:pPr>
        <w:pStyle w:val="Odstavecseseznamem"/>
        <w:numPr>
          <w:ilvl w:val="0"/>
          <w:numId w:val="64"/>
        </w:numPr>
        <w:jc w:val="both"/>
        <w:rPr>
          <w:sz w:val="22"/>
          <w:szCs w:val="22"/>
        </w:rPr>
      </w:pPr>
      <w:r w:rsidRPr="001F3757">
        <w:rPr>
          <w:sz w:val="22"/>
          <w:szCs w:val="22"/>
        </w:rPr>
        <w:t xml:space="preserve">Od roku 2014 byly MMR obnoveny nebo ustanoveny nové koordinační platformy, kterými jsou Kolegium cestovního ruchu a Meziresortní koordinační komise cestovního ruchu, prostřednictvím kterých byla zintenzivněna komunikace mezi jednotlivými aktéry cestovního ruchu, posílena meziresortní spolupráce a celkově zkvalitněna komunikace v rámci sektoru. </w:t>
      </w:r>
    </w:p>
    <w:p w:rsidR="00ED1891" w:rsidRPr="001F3757" w:rsidRDefault="001D5FE8" w:rsidP="001F3757">
      <w:pPr>
        <w:pStyle w:val="Odstavecseseznamem"/>
        <w:numPr>
          <w:ilvl w:val="0"/>
          <w:numId w:val="64"/>
        </w:numPr>
        <w:jc w:val="both"/>
        <w:rPr>
          <w:sz w:val="22"/>
          <w:szCs w:val="22"/>
        </w:rPr>
      </w:pPr>
      <w:r w:rsidRPr="001F3757">
        <w:rPr>
          <w:sz w:val="22"/>
          <w:szCs w:val="22"/>
        </w:rPr>
        <w:t xml:space="preserve">Probíhají pravidelná měsíční setkání mezi ŘO IOP jako poskytovatelem dotace, zprostředkujícím subjektem Centrem pro regionální rozvoj ČR (dále také „CRR“) </w:t>
      </w:r>
      <w:r w:rsidR="000F5B64">
        <w:rPr>
          <w:sz w:val="22"/>
          <w:szCs w:val="22"/>
        </w:rPr>
        <w:br/>
      </w:r>
      <w:r w:rsidRPr="001F3757">
        <w:rPr>
          <w:sz w:val="22"/>
          <w:szCs w:val="22"/>
        </w:rPr>
        <w:t xml:space="preserve">a příjemcem, tj. </w:t>
      </w:r>
      <w:proofErr w:type="spellStart"/>
      <w:r w:rsidRPr="001F3757">
        <w:rPr>
          <w:sz w:val="22"/>
          <w:szCs w:val="22"/>
        </w:rPr>
        <w:t>CzechTourism</w:t>
      </w:r>
      <w:proofErr w:type="spellEnd"/>
      <w:r w:rsidRPr="001F3757">
        <w:rPr>
          <w:sz w:val="22"/>
          <w:szCs w:val="22"/>
        </w:rPr>
        <w:t xml:space="preserve">. Na jednáních dochází ke kontrolám termínů plnění a příprav výběrových řízení (dále také „VŘ“) s cílem omezit rizika související s časovými posuny </w:t>
      </w:r>
      <w:r w:rsidR="000F5B64">
        <w:rPr>
          <w:sz w:val="22"/>
          <w:szCs w:val="22"/>
        </w:rPr>
        <w:br/>
      </w:r>
      <w:r w:rsidRPr="001F3757">
        <w:rPr>
          <w:sz w:val="22"/>
          <w:szCs w:val="22"/>
        </w:rPr>
        <w:t>v harmonogramech realizace plánovaných VŘ v projektu. MMR bude v návaznosti na potřeby sektoru provádět inovace systému kvality a ve spolupráci s partnery projektu dopracuje vhodné řešení udržitelnosti projektu po roce 2015. </w:t>
      </w:r>
    </w:p>
    <w:p w:rsidR="001D5FE8" w:rsidRPr="001F3757" w:rsidRDefault="001D5FE8" w:rsidP="001F3757">
      <w:pPr>
        <w:pStyle w:val="Odstavecseseznamem"/>
        <w:numPr>
          <w:ilvl w:val="0"/>
          <w:numId w:val="64"/>
        </w:numPr>
        <w:jc w:val="both"/>
        <w:rPr>
          <w:sz w:val="22"/>
          <w:szCs w:val="22"/>
        </w:rPr>
      </w:pPr>
      <w:r w:rsidRPr="001F3757">
        <w:rPr>
          <w:sz w:val="22"/>
          <w:szCs w:val="22"/>
        </w:rPr>
        <w:t>MMR ve stanovisku ke kontrolnímu závěru NKÚ</w:t>
      </w:r>
      <w:r w:rsidR="00464E54" w:rsidRPr="001F3757">
        <w:rPr>
          <w:sz w:val="22"/>
          <w:szCs w:val="22"/>
        </w:rPr>
        <w:t xml:space="preserve"> uvedenému výše jako zjištění č. 5)</w:t>
      </w:r>
      <w:r w:rsidRPr="001F3757">
        <w:rPr>
          <w:sz w:val="22"/>
          <w:szCs w:val="22"/>
        </w:rPr>
        <w:t xml:space="preserve"> </w:t>
      </w:r>
      <w:r w:rsidR="00464E54" w:rsidRPr="001F3757">
        <w:rPr>
          <w:sz w:val="22"/>
          <w:szCs w:val="22"/>
        </w:rPr>
        <w:t>uvedlo</w:t>
      </w:r>
      <w:r w:rsidRPr="001F3757">
        <w:rPr>
          <w:sz w:val="22"/>
          <w:szCs w:val="22"/>
        </w:rPr>
        <w:t xml:space="preserve">, že se jedná o objednávku, která byla uzavřena nikoliv na právní poradenství, ale na specifické poradenství k VZ týkající se IT služeb – „Vytvoření webových stránek Českého systému kvality služeb včetně komunikačního propojení a následného provozu“. Zadavatel, tj. odbor cestovního ruchu a ani odbor informatiky,  neměl dostatek odborných znalostí a kapacitu na to, aby mohl předmět VZ, podklady pro hodnocení a stanovení předpokládané hodnoty VZ stanovit sám. Zadavatel proto svěřil  tyto odborné úkoly externímu dodavateli specializovanému na IT systémy s cílem, aby zajistil kvalitní a odborné zpracování. Odborné </w:t>
      </w:r>
      <w:r w:rsidR="000E4DF6">
        <w:rPr>
          <w:sz w:val="22"/>
          <w:szCs w:val="22"/>
        </w:rPr>
        <w:br/>
      </w:r>
      <w:r w:rsidRPr="001F3757">
        <w:rPr>
          <w:sz w:val="22"/>
          <w:szCs w:val="22"/>
        </w:rPr>
        <w:t xml:space="preserve">i právní poradenství se řadí mezi uznatelné náklady projektů a každý příjemce je může využít. MMR postupovalo v souladu se stanovenou metodikou a Příručkou pro žadatele a příjemce, </w:t>
      </w:r>
      <w:r w:rsidR="000F5B64">
        <w:rPr>
          <w:sz w:val="22"/>
          <w:szCs w:val="22"/>
        </w:rPr>
        <w:br/>
      </w:r>
      <w:r w:rsidRPr="001F3757">
        <w:rPr>
          <w:sz w:val="22"/>
          <w:szCs w:val="22"/>
        </w:rPr>
        <w:t>a proto nenavrhuje u tohoto bodu opatření.</w:t>
      </w:r>
    </w:p>
    <w:p w:rsidR="001D5FE8" w:rsidRDefault="001D5FE8" w:rsidP="001F3757">
      <w:pPr>
        <w:jc w:val="both"/>
        <w:rPr>
          <w:rFonts w:ascii="Arial" w:hAnsi="Arial" w:cs="Arial"/>
        </w:rPr>
      </w:pPr>
    </w:p>
    <w:p w:rsidR="00ED1891" w:rsidRPr="000F5B64" w:rsidRDefault="00ED1891" w:rsidP="00ED1891">
      <w:pPr>
        <w:spacing w:after="120"/>
        <w:jc w:val="both"/>
        <w:rPr>
          <w:b/>
          <w:sz w:val="22"/>
          <w:szCs w:val="22"/>
        </w:rPr>
      </w:pPr>
      <w:r w:rsidRPr="000F5B64">
        <w:rPr>
          <w:b/>
          <w:sz w:val="22"/>
          <w:szCs w:val="22"/>
        </w:rPr>
        <w:t>Vláda ČR usnesením ze dne 8. 12. 2014 č. 1022 uložila MMR realizovat opatření uvedená ve stanovisku</w:t>
      </w:r>
      <w:r w:rsidR="007A751D" w:rsidRPr="000F5B64">
        <w:rPr>
          <w:b/>
          <w:sz w:val="22"/>
          <w:szCs w:val="22"/>
        </w:rPr>
        <w:t xml:space="preserve"> MMR ke kontrolnímu závěru</w:t>
      </w:r>
      <w:r w:rsidRPr="000F5B64">
        <w:rPr>
          <w:b/>
          <w:sz w:val="22"/>
          <w:szCs w:val="22"/>
        </w:rPr>
        <w:t xml:space="preserve"> s termínem jejich plnění do 30. 6. 2015</w:t>
      </w:r>
      <w:r w:rsidR="007A751D" w:rsidRPr="000F5B64">
        <w:rPr>
          <w:b/>
          <w:sz w:val="22"/>
          <w:szCs w:val="22"/>
        </w:rPr>
        <w:t>.</w:t>
      </w:r>
      <w:r w:rsidRPr="000F5B64">
        <w:rPr>
          <w:b/>
          <w:sz w:val="22"/>
          <w:szCs w:val="22"/>
        </w:rPr>
        <w:t xml:space="preserve"> </w:t>
      </w:r>
    </w:p>
    <w:p w:rsidR="000F5B64" w:rsidRDefault="000F5B64" w:rsidP="00ED1891">
      <w:pPr>
        <w:jc w:val="both"/>
        <w:rPr>
          <w:b/>
          <w:sz w:val="22"/>
          <w:szCs w:val="22"/>
        </w:rPr>
      </w:pPr>
    </w:p>
    <w:p w:rsidR="00B41F65" w:rsidRDefault="00B41F65" w:rsidP="00ED1891">
      <w:pPr>
        <w:jc w:val="both"/>
        <w:rPr>
          <w:sz w:val="22"/>
          <w:szCs w:val="22"/>
        </w:rPr>
      </w:pPr>
      <w:r w:rsidRPr="001F3757">
        <w:rPr>
          <w:sz w:val="22"/>
          <w:szCs w:val="22"/>
        </w:rPr>
        <w:t xml:space="preserve">ŘO IOP zaevidoval </w:t>
      </w:r>
      <w:r>
        <w:rPr>
          <w:sz w:val="22"/>
          <w:szCs w:val="22"/>
        </w:rPr>
        <w:t>v souvislosti se zjištěním č. 5)</w:t>
      </w:r>
      <w:r w:rsidRPr="001F3757">
        <w:rPr>
          <w:sz w:val="22"/>
          <w:szCs w:val="22"/>
        </w:rPr>
        <w:t xml:space="preserve"> nesrovnalost</w:t>
      </w:r>
      <w:r w:rsidR="00DE6F41">
        <w:rPr>
          <w:sz w:val="22"/>
          <w:szCs w:val="22"/>
        </w:rPr>
        <w:t>, případ byl předán finančnímu úřadu k dalšímu šetření</w:t>
      </w:r>
      <w:r w:rsidRPr="001F3757">
        <w:rPr>
          <w:sz w:val="22"/>
          <w:szCs w:val="22"/>
        </w:rPr>
        <w:t>.</w:t>
      </w:r>
    </w:p>
    <w:p w:rsidR="00DE6F41" w:rsidRDefault="00DE6F41" w:rsidP="00ED1891">
      <w:pPr>
        <w:jc w:val="both"/>
        <w:rPr>
          <w:sz w:val="22"/>
          <w:szCs w:val="22"/>
        </w:rPr>
      </w:pPr>
    </w:p>
    <w:p w:rsidR="00DE6F41" w:rsidRDefault="00DE6F41" w:rsidP="00E22AF8">
      <w:pPr>
        <w:jc w:val="both"/>
        <w:rPr>
          <w:b/>
          <w:i/>
          <w:sz w:val="22"/>
          <w:szCs w:val="22"/>
        </w:rPr>
      </w:pPr>
    </w:p>
    <w:p w:rsidR="00E22AF8" w:rsidRPr="001F3757" w:rsidRDefault="00E22AF8" w:rsidP="00E22AF8">
      <w:pPr>
        <w:jc w:val="both"/>
        <w:rPr>
          <w:b/>
          <w:i/>
          <w:sz w:val="22"/>
          <w:szCs w:val="22"/>
        </w:rPr>
      </w:pPr>
      <w:r w:rsidRPr="001F3757">
        <w:rPr>
          <w:b/>
          <w:i/>
          <w:sz w:val="22"/>
          <w:szCs w:val="22"/>
        </w:rPr>
        <w:t>Kontrolní akce NKÚ č. 14/02 „Peněžní prostředky vynakládané na přípravu, realizaci a provoz registru územní identifikace, adres a nemovitostí“</w:t>
      </w:r>
    </w:p>
    <w:p w:rsidR="00E22AF8" w:rsidRDefault="00E22AF8" w:rsidP="00ED1891">
      <w:pPr>
        <w:jc w:val="both"/>
        <w:rPr>
          <w:b/>
          <w:sz w:val="22"/>
          <w:szCs w:val="22"/>
        </w:rPr>
      </w:pPr>
    </w:p>
    <w:p w:rsidR="00D80A9C" w:rsidRPr="001F3757" w:rsidRDefault="00D80A9C" w:rsidP="00D80A9C">
      <w:pPr>
        <w:jc w:val="both"/>
        <w:rPr>
          <w:sz w:val="22"/>
          <w:szCs w:val="22"/>
        </w:rPr>
      </w:pPr>
      <w:r w:rsidRPr="001F3757">
        <w:rPr>
          <w:b/>
          <w:sz w:val="22"/>
          <w:szCs w:val="22"/>
        </w:rPr>
        <w:t>Zaměření kontroly:</w:t>
      </w:r>
      <w:r w:rsidRPr="001F3757">
        <w:rPr>
          <w:sz w:val="22"/>
          <w:szCs w:val="22"/>
        </w:rPr>
        <w:t xml:space="preserve"> Kontrolní akce NKÚ č. 14/02 byla zahájena v lednu 2014 na Českém úřadu zeměměřičském a katastrálním (dále také „ČÚZK“). NKÚ prověřil zejména správnost průběhu zadávacích řízení a způsob řízení projektů. </w:t>
      </w:r>
    </w:p>
    <w:p w:rsidR="00D80A9C" w:rsidRPr="001F3757" w:rsidRDefault="00D80A9C" w:rsidP="00D80A9C">
      <w:pPr>
        <w:jc w:val="both"/>
        <w:rPr>
          <w:sz w:val="22"/>
          <w:szCs w:val="22"/>
        </w:rPr>
      </w:pPr>
    </w:p>
    <w:p w:rsidR="000F5B64" w:rsidRDefault="000F5B64" w:rsidP="00D80A9C">
      <w:pPr>
        <w:jc w:val="both"/>
        <w:rPr>
          <w:b/>
          <w:sz w:val="22"/>
          <w:szCs w:val="22"/>
        </w:rPr>
      </w:pPr>
    </w:p>
    <w:p w:rsidR="00D80A9C" w:rsidRPr="001F3757" w:rsidRDefault="00D80A9C" w:rsidP="00D80A9C">
      <w:pPr>
        <w:jc w:val="both"/>
        <w:rPr>
          <w:b/>
          <w:sz w:val="22"/>
          <w:szCs w:val="22"/>
        </w:rPr>
      </w:pPr>
      <w:r w:rsidRPr="001F3757">
        <w:rPr>
          <w:b/>
          <w:sz w:val="22"/>
          <w:szCs w:val="22"/>
        </w:rPr>
        <w:lastRenderedPageBreak/>
        <w:t>Kontrolní zjištění:</w:t>
      </w:r>
    </w:p>
    <w:p w:rsidR="00D80A9C" w:rsidRPr="001F3757" w:rsidRDefault="00D80A9C" w:rsidP="001F3757">
      <w:pPr>
        <w:pStyle w:val="Odstavecseseznamem"/>
        <w:numPr>
          <w:ilvl w:val="0"/>
          <w:numId w:val="65"/>
        </w:numPr>
        <w:jc w:val="both"/>
        <w:rPr>
          <w:sz w:val="22"/>
          <w:szCs w:val="22"/>
        </w:rPr>
      </w:pPr>
      <w:r w:rsidRPr="001F3757">
        <w:rPr>
          <w:sz w:val="22"/>
          <w:szCs w:val="22"/>
        </w:rPr>
        <w:t xml:space="preserve">NKÚ vyhodnotil, že rizikem pro správnost a úplnost dat uložených v RUIAN jsou chyby </w:t>
      </w:r>
      <w:r w:rsidR="0005205F">
        <w:rPr>
          <w:sz w:val="22"/>
          <w:szCs w:val="22"/>
        </w:rPr>
        <w:br/>
      </w:r>
      <w:r w:rsidRPr="001F3757">
        <w:rPr>
          <w:sz w:val="22"/>
          <w:szCs w:val="22"/>
        </w:rPr>
        <w:t xml:space="preserve">ve zdrojových datech, která sloužila k prvotnímu naplnění RUIAN, a nedostatečná spolupráce editorů při odstraňování chyb, které ČUZK zjistil. </w:t>
      </w:r>
    </w:p>
    <w:p w:rsidR="00D80A9C" w:rsidRPr="001F3757" w:rsidRDefault="00D80A9C" w:rsidP="001F3757">
      <w:pPr>
        <w:pStyle w:val="Odstavecseseznamem"/>
        <w:numPr>
          <w:ilvl w:val="0"/>
          <w:numId w:val="65"/>
        </w:numPr>
        <w:jc w:val="both"/>
        <w:rPr>
          <w:sz w:val="22"/>
          <w:szCs w:val="22"/>
        </w:rPr>
      </w:pPr>
      <w:r w:rsidRPr="001F3757">
        <w:rPr>
          <w:sz w:val="22"/>
          <w:szCs w:val="22"/>
        </w:rPr>
        <w:t xml:space="preserve">ČUZK při realizaci RUIAN nevytvořil předpoklady pro pořízení technologické infrastruktury v potřebném a současně i přiměřeném rozsahu. Sdílená technologická infrastruktura pro ISKN, RUIAN a jeho </w:t>
      </w:r>
      <w:proofErr w:type="spellStart"/>
      <w:r w:rsidRPr="001F3757">
        <w:rPr>
          <w:sz w:val="22"/>
          <w:szCs w:val="22"/>
        </w:rPr>
        <w:t>agendové</w:t>
      </w:r>
      <w:proofErr w:type="spellEnd"/>
      <w:r w:rsidRPr="001F3757">
        <w:rPr>
          <w:sz w:val="22"/>
          <w:szCs w:val="22"/>
        </w:rPr>
        <w:t xml:space="preserve"> informační systémy vylučuje možnost sledovat celkové výdaje </w:t>
      </w:r>
      <w:r w:rsidR="0005205F">
        <w:rPr>
          <w:sz w:val="22"/>
          <w:szCs w:val="22"/>
        </w:rPr>
        <w:br/>
      </w:r>
      <w:r w:rsidRPr="001F3757">
        <w:rPr>
          <w:sz w:val="22"/>
          <w:szCs w:val="22"/>
        </w:rPr>
        <w:t>na realizaci RUIAN odděleně.</w:t>
      </w:r>
    </w:p>
    <w:p w:rsidR="00D80A9C" w:rsidRPr="001F3757" w:rsidRDefault="00D80A9C" w:rsidP="001F3757">
      <w:pPr>
        <w:pStyle w:val="Odstavecseseznamem"/>
        <w:numPr>
          <w:ilvl w:val="0"/>
          <w:numId w:val="65"/>
        </w:numPr>
        <w:jc w:val="both"/>
        <w:rPr>
          <w:sz w:val="22"/>
          <w:szCs w:val="22"/>
        </w:rPr>
      </w:pPr>
      <w:r w:rsidRPr="001F3757">
        <w:rPr>
          <w:sz w:val="22"/>
          <w:szCs w:val="22"/>
        </w:rPr>
        <w:t xml:space="preserve">ČUZK nemohl u dvou zadávacích řízení porovnat nabídkové ceny, protože nabídku podal vždy pouze jeden uchazeč. V případě jedné VZ se jedná o společnost, se kterou ČÚZK spolupracuje při provozování ISKN již od roku 1997. Došlo ke zvýšení závislosti na vybraném dodavateli </w:t>
      </w:r>
      <w:r w:rsidR="0005205F">
        <w:rPr>
          <w:sz w:val="22"/>
          <w:szCs w:val="22"/>
        </w:rPr>
        <w:br/>
      </w:r>
      <w:r w:rsidRPr="001F3757">
        <w:rPr>
          <w:sz w:val="22"/>
          <w:szCs w:val="22"/>
        </w:rPr>
        <w:t>a jeho technologiích. Kontrolou správnosti průběhu zadávacích řízení NKÚ zjistil, že ČÚZK nezveřejnil změnu požadavku na osvědčení uchazeče ze stupně DUVĚRNÉ na VYHRAZENÉ</w:t>
      </w:r>
      <w:r w:rsidR="009B6FEC">
        <w:rPr>
          <w:sz w:val="22"/>
          <w:szCs w:val="22"/>
        </w:rPr>
        <w:t>.</w:t>
      </w:r>
      <w:r w:rsidR="009B6FEC" w:rsidRPr="009B6FEC">
        <w:rPr>
          <w:sz w:val="22"/>
          <w:szCs w:val="22"/>
        </w:rPr>
        <w:t xml:space="preserve"> </w:t>
      </w:r>
    </w:p>
    <w:p w:rsidR="00D80A9C" w:rsidRDefault="00D80A9C" w:rsidP="001F3757">
      <w:pPr>
        <w:pStyle w:val="Odstavecseseznamem"/>
        <w:numPr>
          <w:ilvl w:val="0"/>
          <w:numId w:val="65"/>
        </w:numPr>
        <w:jc w:val="both"/>
        <w:rPr>
          <w:sz w:val="22"/>
          <w:szCs w:val="22"/>
        </w:rPr>
      </w:pPr>
      <w:r w:rsidRPr="001F3757">
        <w:rPr>
          <w:sz w:val="22"/>
          <w:szCs w:val="22"/>
        </w:rPr>
        <w:t xml:space="preserve">Další zjištění týkající se ZŘ/VŘ:  ČÚZK neuzavřel smlouvu o plnění VZ na pořízení technologické infrastruktury v souladu s návrhem smlouvy obsaženým v nabídce, nedodržel ani lhůtu pro stanovení smlouvy; v jednom případě byl dosavadní poskytovatel zvýhodněn tím, </w:t>
      </w:r>
      <w:r w:rsidR="0005205F">
        <w:rPr>
          <w:sz w:val="22"/>
          <w:szCs w:val="22"/>
        </w:rPr>
        <w:br/>
      </w:r>
      <w:r w:rsidRPr="001F3757">
        <w:rPr>
          <w:sz w:val="22"/>
          <w:szCs w:val="22"/>
        </w:rPr>
        <w:t xml:space="preserve">že nemusel do své nabídky zahrnout náklady na stěhování technologií; ve dvou případech neodeslal ČÚZK ve stanovené lhůtě oznámení o výsledku zadávacího řízení k uveřejnění; v případě jednoho jednacího řízení bez uveřejnění nevytvořil ČÚZK zadávací dokumentaci </w:t>
      </w:r>
      <w:r w:rsidR="000F5B64">
        <w:rPr>
          <w:sz w:val="22"/>
          <w:szCs w:val="22"/>
        </w:rPr>
        <w:br/>
      </w:r>
      <w:r w:rsidRPr="001F3757">
        <w:rPr>
          <w:sz w:val="22"/>
          <w:szCs w:val="22"/>
        </w:rPr>
        <w:t xml:space="preserve">a její náležitosti neuvedl ani ve výzvě k jednání.  </w:t>
      </w:r>
    </w:p>
    <w:p w:rsidR="00002315" w:rsidRDefault="00002315" w:rsidP="000F5B64">
      <w:pPr>
        <w:ind w:left="215"/>
        <w:jc w:val="both"/>
        <w:rPr>
          <w:sz w:val="22"/>
          <w:szCs w:val="22"/>
        </w:rPr>
      </w:pPr>
    </w:p>
    <w:p w:rsidR="00002315" w:rsidRDefault="00002315" w:rsidP="000F5B64">
      <w:pPr>
        <w:jc w:val="both"/>
        <w:rPr>
          <w:b/>
          <w:sz w:val="22"/>
          <w:szCs w:val="22"/>
        </w:rPr>
      </w:pPr>
      <w:r>
        <w:rPr>
          <w:b/>
          <w:sz w:val="22"/>
          <w:szCs w:val="22"/>
        </w:rPr>
        <w:t>N</w:t>
      </w:r>
      <w:r w:rsidRPr="001F3757">
        <w:rPr>
          <w:b/>
          <w:sz w:val="22"/>
          <w:szCs w:val="22"/>
        </w:rPr>
        <w:t>ápravná opatření</w:t>
      </w:r>
    </w:p>
    <w:p w:rsidR="00C70C59" w:rsidRDefault="00002315" w:rsidP="00ED1891">
      <w:pPr>
        <w:jc w:val="both"/>
        <w:rPr>
          <w:sz w:val="22"/>
          <w:szCs w:val="22"/>
        </w:rPr>
      </w:pPr>
      <w:r>
        <w:rPr>
          <w:sz w:val="22"/>
          <w:szCs w:val="22"/>
        </w:rPr>
        <w:t>Z</w:t>
      </w:r>
      <w:r w:rsidRPr="001F3757">
        <w:rPr>
          <w:sz w:val="22"/>
          <w:szCs w:val="22"/>
        </w:rPr>
        <w:t>jištěn</w:t>
      </w:r>
      <w:r>
        <w:rPr>
          <w:sz w:val="22"/>
          <w:szCs w:val="22"/>
        </w:rPr>
        <w:t>í uvedené pod bodem 3) identifikoval již dříve</w:t>
      </w:r>
      <w:r w:rsidRPr="001F3757">
        <w:rPr>
          <w:sz w:val="22"/>
          <w:szCs w:val="22"/>
        </w:rPr>
        <w:t xml:space="preserve"> ŘO IOP kontrolou č. 23/2010/I</w:t>
      </w:r>
      <w:r>
        <w:rPr>
          <w:sz w:val="22"/>
          <w:szCs w:val="22"/>
        </w:rPr>
        <w:t>, na základě čehož</w:t>
      </w:r>
      <w:r w:rsidRPr="001F3757">
        <w:rPr>
          <w:sz w:val="22"/>
          <w:szCs w:val="22"/>
        </w:rPr>
        <w:t xml:space="preserve"> ŘO IOP eviduje nesrovnalost</w:t>
      </w:r>
      <w:r w:rsidR="00ED1A2A">
        <w:rPr>
          <w:sz w:val="22"/>
          <w:szCs w:val="22"/>
        </w:rPr>
        <w:t xml:space="preserve"> a případ byl předán ÚOHS a FÚ k dalšímu šetření</w:t>
      </w:r>
      <w:r w:rsidRPr="001F3757">
        <w:rPr>
          <w:sz w:val="22"/>
          <w:szCs w:val="22"/>
        </w:rPr>
        <w:t xml:space="preserve">. </w:t>
      </w:r>
      <w:r w:rsidR="00BB289A">
        <w:rPr>
          <w:sz w:val="22"/>
          <w:szCs w:val="22"/>
        </w:rPr>
        <w:t xml:space="preserve">Další nesrovnalosti kontrola NKÚ neidentifikovala. </w:t>
      </w:r>
      <w:r>
        <w:rPr>
          <w:sz w:val="22"/>
          <w:szCs w:val="22"/>
        </w:rPr>
        <w:t xml:space="preserve">Projekt je nadále monitorován ze strany ŘO IOP i ZS, je pravidelně auditován ze strany AO. </w:t>
      </w:r>
    </w:p>
    <w:p w:rsidR="00002315" w:rsidRDefault="00002315" w:rsidP="00ED1891">
      <w:pPr>
        <w:jc w:val="both"/>
        <w:rPr>
          <w:sz w:val="22"/>
          <w:szCs w:val="22"/>
        </w:rPr>
      </w:pPr>
    </w:p>
    <w:p w:rsidR="00002315" w:rsidRPr="001F3757" w:rsidRDefault="00002315" w:rsidP="00ED1891">
      <w:pPr>
        <w:jc w:val="both"/>
        <w:rPr>
          <w:sz w:val="22"/>
          <w:szCs w:val="22"/>
        </w:rPr>
      </w:pPr>
    </w:p>
    <w:p w:rsidR="00C70C59" w:rsidRPr="001F3757" w:rsidRDefault="00C70C59" w:rsidP="00C70C59">
      <w:pPr>
        <w:jc w:val="both"/>
        <w:rPr>
          <w:b/>
          <w:i/>
          <w:sz w:val="22"/>
          <w:szCs w:val="22"/>
        </w:rPr>
      </w:pPr>
      <w:r w:rsidRPr="001F3757">
        <w:rPr>
          <w:b/>
          <w:i/>
          <w:sz w:val="22"/>
          <w:szCs w:val="22"/>
        </w:rPr>
        <w:t>Kontrolní akce NKÚ č. 14/05 „Peněžní prostředky určené na financování vybraných programů v působnosti Ministerstva práce a sociálních věcí“</w:t>
      </w:r>
    </w:p>
    <w:p w:rsidR="00C70C59" w:rsidRDefault="00C70C59" w:rsidP="00C70C59">
      <w:pPr>
        <w:jc w:val="both"/>
        <w:rPr>
          <w:rFonts w:ascii="Arial" w:hAnsi="Arial" w:cs="Arial"/>
          <w:b/>
          <w:bCs/>
          <w:highlight w:val="yellow"/>
          <w:u w:val="single"/>
        </w:rPr>
      </w:pPr>
    </w:p>
    <w:p w:rsidR="00C70C59" w:rsidRDefault="00C70C59" w:rsidP="00C70C59">
      <w:pPr>
        <w:jc w:val="both"/>
        <w:rPr>
          <w:sz w:val="22"/>
          <w:szCs w:val="22"/>
        </w:rPr>
      </w:pPr>
      <w:r w:rsidRPr="001F3757">
        <w:rPr>
          <w:b/>
          <w:sz w:val="22"/>
          <w:szCs w:val="22"/>
        </w:rPr>
        <w:t>Zaměření kontroly:</w:t>
      </w:r>
      <w:r w:rsidRPr="001F3757">
        <w:rPr>
          <w:sz w:val="22"/>
          <w:szCs w:val="22"/>
        </w:rPr>
        <w:t xml:space="preserve"> Kontrolní akce NKÚ č. 14/05 zahrnovala i kontrolu Integrovaného operačního programu v oblastech zaměstnanosti a sociálních služeb (poskytovatele peněžních prostředků Ministerstva práce a sociálních věcí (dále také „MPSV“) a vybraných příjemců). Kontrolní závěr byl schválen Kolegiem dne 20. 10. 2014. </w:t>
      </w:r>
    </w:p>
    <w:p w:rsidR="00C70C59" w:rsidRPr="001F3757" w:rsidRDefault="00C70C59" w:rsidP="00C70C59">
      <w:pPr>
        <w:jc w:val="both"/>
        <w:rPr>
          <w:sz w:val="22"/>
          <w:szCs w:val="22"/>
        </w:rPr>
      </w:pPr>
    </w:p>
    <w:p w:rsidR="00C70C59" w:rsidRPr="001F3757" w:rsidRDefault="00C70C59" w:rsidP="00C70C59">
      <w:pPr>
        <w:jc w:val="both"/>
        <w:rPr>
          <w:b/>
          <w:sz w:val="22"/>
          <w:szCs w:val="22"/>
        </w:rPr>
      </w:pPr>
      <w:r w:rsidRPr="001F3757">
        <w:rPr>
          <w:b/>
          <w:sz w:val="22"/>
          <w:szCs w:val="22"/>
        </w:rPr>
        <w:t>Kontrolní zjištění</w:t>
      </w:r>
      <w:r w:rsidR="00C20252">
        <w:rPr>
          <w:b/>
          <w:sz w:val="22"/>
          <w:szCs w:val="22"/>
        </w:rPr>
        <w:t xml:space="preserve"> související s IOP</w:t>
      </w:r>
      <w:r w:rsidRPr="001F3757">
        <w:rPr>
          <w:b/>
          <w:sz w:val="22"/>
          <w:szCs w:val="22"/>
        </w:rPr>
        <w:t>:</w:t>
      </w:r>
    </w:p>
    <w:p w:rsidR="00C70C59" w:rsidRPr="001F3757" w:rsidRDefault="00C70C59" w:rsidP="001F3757">
      <w:pPr>
        <w:pStyle w:val="Odstavecseseznamem"/>
        <w:numPr>
          <w:ilvl w:val="0"/>
          <w:numId w:val="66"/>
        </w:numPr>
        <w:jc w:val="both"/>
        <w:rPr>
          <w:sz w:val="22"/>
          <w:szCs w:val="22"/>
        </w:rPr>
      </w:pPr>
      <w:r w:rsidRPr="001F3757">
        <w:rPr>
          <w:sz w:val="22"/>
          <w:szCs w:val="22"/>
        </w:rPr>
        <w:t xml:space="preserve">Realizace podprogramu č. 113 34D (IOP) byla negativně ovlivněna neexistencí ujasněného koncepčního dokumentu organizační struktury úřadů práce a vznikem Úřadu práce ČR (dále také „ÚP ČR“) od 1. 4. 2011 na základě zákona č. 73/2011 Sb. </w:t>
      </w:r>
    </w:p>
    <w:p w:rsidR="00C70C59" w:rsidRPr="001F3757" w:rsidRDefault="00C70C59" w:rsidP="001F3757">
      <w:pPr>
        <w:pStyle w:val="Odstavecseseznamem"/>
        <w:numPr>
          <w:ilvl w:val="0"/>
          <w:numId w:val="66"/>
        </w:numPr>
        <w:jc w:val="both"/>
        <w:rPr>
          <w:sz w:val="22"/>
          <w:szCs w:val="22"/>
        </w:rPr>
      </w:pPr>
      <w:r w:rsidRPr="001F3757">
        <w:rPr>
          <w:sz w:val="22"/>
          <w:szCs w:val="22"/>
        </w:rPr>
        <w:t>Z upravené finanční potřeby na roky 2009 až 2014 bylo v letech 2009 až 2013 vyčerpáno jen 41 %.</w:t>
      </w:r>
    </w:p>
    <w:p w:rsidR="00C70C59" w:rsidRPr="001F3757" w:rsidRDefault="00C70C59" w:rsidP="001F3757">
      <w:pPr>
        <w:pStyle w:val="Odstavecseseznamem"/>
        <w:numPr>
          <w:ilvl w:val="0"/>
          <w:numId w:val="66"/>
        </w:numPr>
        <w:jc w:val="both"/>
        <w:rPr>
          <w:sz w:val="22"/>
          <w:szCs w:val="22"/>
        </w:rPr>
      </w:pPr>
      <w:r w:rsidRPr="001F3757">
        <w:rPr>
          <w:sz w:val="22"/>
          <w:szCs w:val="22"/>
        </w:rPr>
        <w:t xml:space="preserve">Výběr projektů k zařazení do podprogramu byl poměrně komplikovaný a málo transparentní. Výběr projektů týkající se školicích středisek služeb zaměstnanosti nevycházel ze závazné koncepce, která by potřeby ÚP ČR ve vzdělávací oblasti objektivně vymezila, to následně vedlo k řadě koncepčních změn. </w:t>
      </w:r>
    </w:p>
    <w:p w:rsidR="00C70C59" w:rsidRPr="001F3757" w:rsidRDefault="00C70C59" w:rsidP="001F3757">
      <w:pPr>
        <w:pStyle w:val="Odstavecseseznamem"/>
        <w:numPr>
          <w:ilvl w:val="0"/>
          <w:numId w:val="66"/>
        </w:numPr>
        <w:jc w:val="both"/>
        <w:rPr>
          <w:b/>
          <w:sz w:val="22"/>
          <w:szCs w:val="22"/>
        </w:rPr>
      </w:pPr>
      <w:r w:rsidRPr="001F3757">
        <w:rPr>
          <w:sz w:val="22"/>
          <w:szCs w:val="22"/>
        </w:rPr>
        <w:t>Významným zásahem do realizace podprogramu bylo dodatečné zařazení nákupu budovy v Praze 7 pro ÚP ČR v červenci 2013, tj. v době, kdy hrozilo riziko, že finanční prostředky alokované v IOP nebudou vyčerpány. MPSV přitom v souvislosti se zákonem č. 73/2011 Sb. uvádělo, že jeho přijetí nebude mj. vyžadovat pořízení nových budov. ÚP ČR nedoložil, že před realizací nákupu budovy v Praze 7 provedl řádný výběr vhodných nemovitostí. Nedoložil ani věrohodné údaje o počtech zaměstnanců, kteří by měli v budově pracovat.</w:t>
      </w:r>
    </w:p>
    <w:p w:rsidR="00C70C59" w:rsidRPr="001F3757" w:rsidRDefault="00C70C59" w:rsidP="001F3757">
      <w:pPr>
        <w:pStyle w:val="Odstavecseseznamem"/>
        <w:numPr>
          <w:ilvl w:val="0"/>
          <w:numId w:val="66"/>
        </w:numPr>
        <w:jc w:val="both"/>
        <w:rPr>
          <w:sz w:val="22"/>
          <w:szCs w:val="22"/>
        </w:rPr>
      </w:pPr>
      <w:r w:rsidRPr="001F3757">
        <w:rPr>
          <w:sz w:val="22"/>
          <w:szCs w:val="22"/>
        </w:rPr>
        <w:t xml:space="preserve">V případě objektu ÚP ČR v Pardubicích byla v přípravě varianta (novostavba), která byla </w:t>
      </w:r>
      <w:r w:rsidR="004938FF">
        <w:rPr>
          <w:sz w:val="22"/>
          <w:szCs w:val="22"/>
        </w:rPr>
        <w:br/>
      </w:r>
      <w:r w:rsidRPr="001F3757">
        <w:rPr>
          <w:sz w:val="22"/>
          <w:szCs w:val="22"/>
        </w:rPr>
        <w:t xml:space="preserve">o cca 130 mil. Kč dražší než jiná varianta (rekonstrukce a dostavba stávající budovy). </w:t>
      </w:r>
      <w:r w:rsidRPr="001F3757">
        <w:rPr>
          <w:sz w:val="22"/>
          <w:szCs w:val="22"/>
        </w:rPr>
        <w:lastRenderedPageBreak/>
        <w:t>V souvislosti s výstavbou objektu v Pardubicích zastavil ÚP ČR realizaci výstavby budovy v Rokytně s předpokládanými náklady 60 mil. Kč a termínem ukončení do roku 2013.</w:t>
      </w:r>
    </w:p>
    <w:p w:rsidR="00C70C59" w:rsidRPr="001F3757" w:rsidRDefault="00C70C59" w:rsidP="001F3757">
      <w:pPr>
        <w:pStyle w:val="Odstavecseseznamem"/>
        <w:numPr>
          <w:ilvl w:val="0"/>
          <w:numId w:val="66"/>
        </w:numPr>
        <w:jc w:val="both"/>
        <w:rPr>
          <w:sz w:val="22"/>
          <w:szCs w:val="22"/>
        </w:rPr>
      </w:pPr>
      <w:r w:rsidRPr="001F3757">
        <w:rPr>
          <w:sz w:val="22"/>
          <w:szCs w:val="22"/>
        </w:rPr>
        <w:t>ÚP ČR pořídil v roce 2012 kapacitně nedostačující budovu v Karlových Varech.</w:t>
      </w:r>
    </w:p>
    <w:p w:rsidR="00C70C59" w:rsidRPr="001F3757" w:rsidRDefault="00C70C59" w:rsidP="001F3757">
      <w:pPr>
        <w:pStyle w:val="Odstavecseseznamem"/>
        <w:numPr>
          <w:ilvl w:val="0"/>
          <w:numId w:val="66"/>
        </w:numPr>
        <w:jc w:val="both"/>
        <w:rPr>
          <w:sz w:val="22"/>
          <w:szCs w:val="22"/>
        </w:rPr>
      </w:pPr>
      <w:r w:rsidRPr="001F3757">
        <w:rPr>
          <w:sz w:val="22"/>
          <w:szCs w:val="22"/>
        </w:rPr>
        <w:t>MPSV realizací programů nezajišťovalo zcela účelnou, hospodárnou a efektivní alokaci peněžních prostředků na pořizování a obnovu nemovitého majetku.</w:t>
      </w:r>
    </w:p>
    <w:p w:rsidR="00002315" w:rsidRDefault="00002315" w:rsidP="00ED1891">
      <w:pPr>
        <w:jc w:val="both"/>
        <w:rPr>
          <w:b/>
          <w:sz w:val="22"/>
          <w:szCs w:val="22"/>
        </w:rPr>
      </w:pPr>
    </w:p>
    <w:p w:rsidR="00ED1A2A" w:rsidRDefault="00A50A43" w:rsidP="00ED1891">
      <w:pPr>
        <w:jc w:val="both"/>
        <w:rPr>
          <w:b/>
          <w:sz w:val="22"/>
          <w:szCs w:val="22"/>
        </w:rPr>
      </w:pPr>
      <w:r>
        <w:rPr>
          <w:b/>
          <w:sz w:val="22"/>
          <w:szCs w:val="22"/>
        </w:rPr>
        <w:t>Nápravná opatření:</w:t>
      </w:r>
    </w:p>
    <w:p w:rsidR="00A50A43" w:rsidRDefault="00A50A43" w:rsidP="00ED1891">
      <w:pPr>
        <w:jc w:val="both"/>
        <w:rPr>
          <w:b/>
          <w:sz w:val="22"/>
          <w:szCs w:val="22"/>
        </w:rPr>
      </w:pPr>
    </w:p>
    <w:p w:rsidR="00A50A43" w:rsidRPr="004938FF" w:rsidRDefault="00A50A43" w:rsidP="00ED1891">
      <w:pPr>
        <w:jc w:val="both"/>
        <w:rPr>
          <w:sz w:val="22"/>
          <w:szCs w:val="22"/>
        </w:rPr>
      </w:pPr>
      <w:r w:rsidRPr="004938FF">
        <w:rPr>
          <w:sz w:val="22"/>
          <w:szCs w:val="22"/>
        </w:rPr>
        <w:t>Výdaje vynaložené na pořízení budovy</w:t>
      </w:r>
      <w:r>
        <w:rPr>
          <w:sz w:val="22"/>
          <w:szCs w:val="22"/>
        </w:rPr>
        <w:t xml:space="preserve"> uvedené výše v bodě 4)</w:t>
      </w:r>
      <w:r w:rsidRPr="004938FF">
        <w:rPr>
          <w:sz w:val="22"/>
          <w:szCs w:val="22"/>
        </w:rPr>
        <w:t xml:space="preserve"> označila EK ve svém stanovisku k Výroční kontrolní zprávě za rok 2014 za nezpůsobilé.</w:t>
      </w:r>
      <w:r w:rsidR="00FE6A42">
        <w:rPr>
          <w:sz w:val="22"/>
          <w:szCs w:val="22"/>
        </w:rPr>
        <w:t xml:space="preserve"> Další projekty jsou ze strany ŘO IOP a ZS monitorovány.</w:t>
      </w:r>
    </w:p>
    <w:p w:rsidR="00506E3A" w:rsidRDefault="00506E3A" w:rsidP="00506E3A">
      <w:pPr>
        <w:jc w:val="both"/>
        <w:rPr>
          <w:b/>
          <w:sz w:val="22"/>
          <w:szCs w:val="22"/>
        </w:rPr>
      </w:pPr>
    </w:p>
    <w:p w:rsidR="00B65991" w:rsidRPr="00825647" w:rsidRDefault="00B65991" w:rsidP="00506E3A">
      <w:pPr>
        <w:jc w:val="both"/>
      </w:pPr>
    </w:p>
    <w:p w:rsidR="00506E3A" w:rsidRPr="00C05759" w:rsidRDefault="00506E3A" w:rsidP="00506E3A">
      <w:pPr>
        <w:rPr>
          <w:b/>
          <w:sz w:val="22"/>
          <w:szCs w:val="22"/>
        </w:rPr>
      </w:pPr>
      <w:r w:rsidRPr="00C05759">
        <w:rPr>
          <w:b/>
          <w:sz w:val="22"/>
          <w:szCs w:val="22"/>
        </w:rPr>
        <w:t>Audity Auditního orgánu</w:t>
      </w:r>
    </w:p>
    <w:p w:rsidR="00506E3A" w:rsidRPr="00C05759" w:rsidRDefault="00506E3A" w:rsidP="00506E3A">
      <w:pPr>
        <w:rPr>
          <w:b/>
          <w:sz w:val="22"/>
          <w:szCs w:val="22"/>
        </w:rPr>
      </w:pPr>
    </w:p>
    <w:p w:rsidR="006662E4" w:rsidRDefault="006662E4" w:rsidP="00506E3A">
      <w:pPr>
        <w:rPr>
          <w:b/>
          <w:i/>
          <w:sz w:val="22"/>
          <w:szCs w:val="22"/>
        </w:rPr>
      </w:pPr>
      <w:r w:rsidRPr="001F3757">
        <w:rPr>
          <w:b/>
          <w:i/>
          <w:sz w:val="22"/>
          <w:szCs w:val="22"/>
        </w:rPr>
        <w:t>Audit činnosti Platebního a certifikačního orgánu č. AO/2014/S/02</w:t>
      </w:r>
    </w:p>
    <w:p w:rsidR="006662E4" w:rsidRPr="001F3757" w:rsidRDefault="00FB0655" w:rsidP="001F3757">
      <w:pPr>
        <w:jc w:val="both"/>
        <w:rPr>
          <w:sz w:val="22"/>
          <w:szCs w:val="22"/>
        </w:rPr>
      </w:pPr>
      <w:r w:rsidRPr="001F3757">
        <w:rPr>
          <w:sz w:val="22"/>
          <w:szCs w:val="22"/>
        </w:rPr>
        <w:t xml:space="preserve">Cílem auditu systému bylo ověřit soulad činností zabezpečovaných odborem 55 Národní fond MF s obecným nařízením Rady (ES) č. 1083/2006, včetně souvisejících předpisů, a dodržování závazné metodiky PCO. To znamená, že audit byl zaměřen na ověření všech čtyř klíčových požadavků, </w:t>
      </w:r>
      <w:r w:rsidR="0005205F">
        <w:rPr>
          <w:sz w:val="22"/>
          <w:szCs w:val="22"/>
        </w:rPr>
        <w:br/>
      </w:r>
      <w:r w:rsidRPr="001F3757">
        <w:rPr>
          <w:sz w:val="22"/>
          <w:szCs w:val="22"/>
        </w:rPr>
        <w:t>ve vztahu k PCO, s cílem vyhodnotit účinnost fungování řídícího a kontrolního systému auditovaného subjektu. V rámci tohoto auditu při prověřování správy IOP bylo identifikováno 1 středně závažné zjištění, a sice neplnění časového plánu kontrol prováděných na místě u ŘO, neukončené kontroly. Auditorským týmem bylo zjištěno, že nejsou dodržovány lhůty pro včasné zpracování a ukončování protokolu dle zákona č. 255/2012 Sb., o kontrole (kontrolní řád). Rovněž bylo zjištěno, že v rámci PCO není vyřešena zastupitelnost k ukončení kontroly v případě dlouhodobé nepřítomnosti vedoucího kontrolního týmu. Na základě výše uvedeného je prováděna certifikace výdajů pouze na základě administrativního ověřování podkladů od příslušných ŘO, průběžného sledování stavu realizace programu pracovníků PCO a výsledků externích auditů AO a EK.</w:t>
      </w:r>
    </w:p>
    <w:p w:rsidR="006662E4" w:rsidRDefault="006662E4" w:rsidP="00506E3A">
      <w:pPr>
        <w:rPr>
          <w:b/>
          <w:i/>
          <w:sz w:val="22"/>
          <w:szCs w:val="22"/>
        </w:rPr>
      </w:pPr>
    </w:p>
    <w:p w:rsidR="006662E4" w:rsidRDefault="00FB0655" w:rsidP="00506E3A">
      <w:pPr>
        <w:rPr>
          <w:b/>
          <w:i/>
          <w:sz w:val="22"/>
          <w:szCs w:val="22"/>
        </w:rPr>
      </w:pPr>
      <w:r w:rsidRPr="001F3757">
        <w:rPr>
          <w:b/>
          <w:i/>
          <w:sz w:val="22"/>
          <w:szCs w:val="22"/>
        </w:rPr>
        <w:t>Audit činnosti generálního finančního ředitelství a orgánů finanční správy č. AO/2014/S/03</w:t>
      </w:r>
    </w:p>
    <w:p w:rsidR="00FB0655" w:rsidRPr="001F3757" w:rsidRDefault="00FB0655" w:rsidP="00FB0655">
      <w:pPr>
        <w:autoSpaceDE w:val="0"/>
        <w:autoSpaceDN w:val="0"/>
        <w:jc w:val="both"/>
        <w:rPr>
          <w:sz w:val="22"/>
          <w:szCs w:val="22"/>
        </w:rPr>
      </w:pPr>
      <w:r w:rsidRPr="001F3757">
        <w:rPr>
          <w:sz w:val="22"/>
          <w:szCs w:val="22"/>
        </w:rPr>
        <w:t>Konkrétní zjištění jsou uvedena v návrhu zprávy o auditu. Zjištění jsou identifikována ve vazbě na jednotlivé klíčové požadavky, hodnotící kritéria a cíle auditu v souladu s COCOF 08/0019/00 – EN.</w:t>
      </w:r>
    </w:p>
    <w:p w:rsidR="00FB0655" w:rsidRDefault="00FB0655" w:rsidP="00FB0655">
      <w:pPr>
        <w:autoSpaceDE w:val="0"/>
        <w:autoSpaceDN w:val="0"/>
        <w:jc w:val="both"/>
        <w:rPr>
          <w:sz w:val="22"/>
          <w:szCs w:val="22"/>
        </w:rPr>
      </w:pPr>
      <w:r w:rsidRPr="001F3757">
        <w:rPr>
          <w:sz w:val="22"/>
          <w:szCs w:val="22"/>
        </w:rPr>
        <w:t xml:space="preserve">Ve zprávě o auditu budou uvedena doporučení, jako součást akčního plánu, kde budou uvedena </w:t>
      </w:r>
      <w:r w:rsidR="00CA4D75">
        <w:rPr>
          <w:sz w:val="22"/>
          <w:szCs w:val="22"/>
        </w:rPr>
        <w:br/>
      </w:r>
      <w:r w:rsidRPr="001F3757">
        <w:rPr>
          <w:sz w:val="22"/>
          <w:szCs w:val="22"/>
        </w:rPr>
        <w:t>i navržená opatření auditovaného subjektu a termíny k jejich splnění. Akční plán je povinnou součástí zprávy o auditu systému. V současné době probíhá kontradiktorní řízení. Po ukončení auditu bude zpráva prostřednictvím SFC2007 zaslána EK.</w:t>
      </w:r>
    </w:p>
    <w:p w:rsidR="00083D34" w:rsidRDefault="00083D34" w:rsidP="00FB0655">
      <w:pPr>
        <w:autoSpaceDE w:val="0"/>
        <w:autoSpaceDN w:val="0"/>
        <w:jc w:val="both"/>
        <w:rPr>
          <w:sz w:val="22"/>
          <w:szCs w:val="22"/>
        </w:rPr>
      </w:pPr>
    </w:p>
    <w:p w:rsidR="00FB0655" w:rsidRPr="001F3757" w:rsidRDefault="00FB0655" w:rsidP="00FB0655">
      <w:pPr>
        <w:autoSpaceDE w:val="0"/>
        <w:autoSpaceDN w:val="0"/>
        <w:jc w:val="both"/>
        <w:rPr>
          <w:sz w:val="22"/>
          <w:szCs w:val="22"/>
        </w:rPr>
      </w:pPr>
      <w:r w:rsidRPr="001F3757">
        <w:rPr>
          <w:sz w:val="22"/>
          <w:szCs w:val="22"/>
        </w:rPr>
        <w:t>V rámci vykonaného auditu AO bylo provedeno následující vyhodnocení funkčnosti ŘKS:</w:t>
      </w:r>
    </w:p>
    <w:p w:rsidR="00FB0655" w:rsidRDefault="00FB0655" w:rsidP="00FB0655">
      <w:pPr>
        <w:pStyle w:val="Titulek"/>
        <w:keepNext/>
        <w:rPr>
          <w:rFonts w:ascii="Calibri" w:hAnsi="Calibri"/>
          <w:sz w:val="22"/>
          <w:szCs w:val="22"/>
          <w:lang w:eastAsia="en-US"/>
        </w:rPr>
      </w:pPr>
    </w:p>
    <w:p w:rsidR="00FB0655" w:rsidRDefault="00FB0655" w:rsidP="00383135">
      <w:pPr>
        <w:pStyle w:val="Tabulkanzev"/>
      </w:pPr>
      <w:r w:rsidRPr="00383135">
        <w:t>Hodnocení KP za IOP - GFŘ (AO/2014/S/03)</w:t>
      </w:r>
    </w:p>
    <w:tbl>
      <w:tblPr>
        <w:tblW w:w="8923" w:type="dxa"/>
        <w:tblInd w:w="112"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4A0" w:firstRow="1" w:lastRow="0" w:firstColumn="1" w:lastColumn="0" w:noHBand="0" w:noVBand="1"/>
      </w:tblPr>
      <w:tblGrid>
        <w:gridCol w:w="1860"/>
        <w:gridCol w:w="808"/>
        <w:gridCol w:w="929"/>
        <w:gridCol w:w="967"/>
        <w:gridCol w:w="1232"/>
        <w:gridCol w:w="1232"/>
        <w:gridCol w:w="1895"/>
      </w:tblGrid>
      <w:tr w:rsidR="00FB0655" w:rsidTr="0005205F">
        <w:trPr>
          <w:trHeight w:val="447"/>
        </w:trPr>
        <w:tc>
          <w:tcPr>
            <w:tcW w:w="1860" w:type="dxa"/>
            <w:shd w:val="clear" w:color="auto" w:fill="C2D69B" w:themeFill="accent3" w:themeFillTint="99"/>
            <w:tcMar>
              <w:top w:w="0" w:type="dxa"/>
              <w:left w:w="70" w:type="dxa"/>
              <w:bottom w:w="0" w:type="dxa"/>
              <w:right w:w="70" w:type="dxa"/>
            </w:tcMar>
            <w:vAlign w:val="center"/>
            <w:hideMark/>
          </w:tcPr>
          <w:p w:rsidR="00FB0655" w:rsidRDefault="00FB0655" w:rsidP="00CA4D75">
            <w:pPr>
              <w:jc w:val="center"/>
              <w:rPr>
                <w:rFonts w:ascii="Calibri" w:eastAsiaTheme="minorHAnsi" w:hAnsi="Calibri"/>
                <w:b/>
                <w:bCs/>
                <w:lang w:eastAsia="en-US"/>
              </w:rPr>
            </w:pPr>
            <w:r>
              <w:rPr>
                <w:b/>
                <w:bCs/>
              </w:rPr>
              <w:t>Auditovaný subjekt</w:t>
            </w:r>
          </w:p>
        </w:tc>
        <w:tc>
          <w:tcPr>
            <w:tcW w:w="808" w:type="dxa"/>
            <w:shd w:val="clear" w:color="auto" w:fill="C2D69B" w:themeFill="accent3" w:themeFillTint="99"/>
            <w:tcMar>
              <w:top w:w="0" w:type="dxa"/>
              <w:left w:w="70" w:type="dxa"/>
              <w:bottom w:w="0" w:type="dxa"/>
              <w:right w:w="70" w:type="dxa"/>
            </w:tcMar>
            <w:vAlign w:val="center"/>
            <w:hideMark/>
          </w:tcPr>
          <w:p w:rsidR="00FB0655" w:rsidRDefault="00FB0655" w:rsidP="00CA4D75">
            <w:pPr>
              <w:jc w:val="center"/>
              <w:rPr>
                <w:rFonts w:ascii="Calibri" w:eastAsiaTheme="minorHAnsi" w:hAnsi="Calibri"/>
                <w:b/>
                <w:bCs/>
                <w:lang w:eastAsia="en-US"/>
              </w:rPr>
            </w:pPr>
            <w:r>
              <w:rPr>
                <w:b/>
                <w:bCs/>
              </w:rPr>
              <w:t>KP1</w:t>
            </w:r>
          </w:p>
        </w:tc>
        <w:tc>
          <w:tcPr>
            <w:tcW w:w="929" w:type="dxa"/>
            <w:shd w:val="clear" w:color="auto" w:fill="C2D69B" w:themeFill="accent3" w:themeFillTint="99"/>
            <w:vAlign w:val="center"/>
            <w:hideMark/>
          </w:tcPr>
          <w:p w:rsidR="00FB0655" w:rsidRDefault="00FB0655" w:rsidP="00CA4D75">
            <w:pPr>
              <w:jc w:val="center"/>
              <w:rPr>
                <w:rFonts w:ascii="Calibri" w:eastAsiaTheme="minorHAnsi" w:hAnsi="Calibri"/>
                <w:b/>
                <w:bCs/>
                <w:lang w:eastAsia="en-US"/>
              </w:rPr>
            </w:pPr>
            <w:r>
              <w:rPr>
                <w:b/>
                <w:bCs/>
              </w:rPr>
              <w:t>KP3</w:t>
            </w:r>
          </w:p>
        </w:tc>
        <w:tc>
          <w:tcPr>
            <w:tcW w:w="967" w:type="dxa"/>
            <w:shd w:val="clear" w:color="auto" w:fill="C2D69B" w:themeFill="accent3" w:themeFillTint="99"/>
            <w:vAlign w:val="center"/>
            <w:hideMark/>
          </w:tcPr>
          <w:p w:rsidR="00FB0655" w:rsidRDefault="00FB0655" w:rsidP="00CA4D75">
            <w:pPr>
              <w:jc w:val="center"/>
              <w:rPr>
                <w:rFonts w:ascii="Calibri" w:eastAsiaTheme="minorHAnsi" w:hAnsi="Calibri"/>
                <w:b/>
                <w:bCs/>
                <w:lang w:eastAsia="en-US"/>
              </w:rPr>
            </w:pPr>
            <w:r>
              <w:rPr>
                <w:b/>
                <w:bCs/>
              </w:rPr>
              <w:t>KP5</w:t>
            </w:r>
          </w:p>
        </w:tc>
        <w:tc>
          <w:tcPr>
            <w:tcW w:w="1232" w:type="dxa"/>
            <w:shd w:val="clear" w:color="auto" w:fill="C2D69B" w:themeFill="accent3" w:themeFillTint="99"/>
            <w:vAlign w:val="center"/>
            <w:hideMark/>
          </w:tcPr>
          <w:p w:rsidR="00FB0655" w:rsidRDefault="00FB0655" w:rsidP="00CA4D75">
            <w:pPr>
              <w:jc w:val="center"/>
              <w:rPr>
                <w:rFonts w:ascii="Calibri" w:eastAsiaTheme="minorHAnsi" w:hAnsi="Calibri"/>
                <w:b/>
                <w:bCs/>
                <w:lang w:eastAsia="en-US"/>
              </w:rPr>
            </w:pPr>
            <w:r>
              <w:rPr>
                <w:b/>
                <w:bCs/>
              </w:rPr>
              <w:t>KP6</w:t>
            </w:r>
          </w:p>
        </w:tc>
        <w:tc>
          <w:tcPr>
            <w:tcW w:w="1232" w:type="dxa"/>
            <w:shd w:val="clear" w:color="auto" w:fill="C2D69B" w:themeFill="accent3" w:themeFillTint="99"/>
            <w:vAlign w:val="center"/>
            <w:hideMark/>
          </w:tcPr>
          <w:p w:rsidR="00FB0655" w:rsidRDefault="00FB0655" w:rsidP="00CA4D75">
            <w:pPr>
              <w:jc w:val="center"/>
              <w:rPr>
                <w:rFonts w:ascii="Calibri" w:eastAsiaTheme="minorHAnsi" w:hAnsi="Calibri"/>
                <w:b/>
                <w:bCs/>
                <w:lang w:eastAsia="en-US"/>
              </w:rPr>
            </w:pPr>
            <w:r>
              <w:rPr>
                <w:b/>
                <w:bCs/>
              </w:rPr>
              <w:t>KP7</w:t>
            </w:r>
          </w:p>
        </w:tc>
        <w:tc>
          <w:tcPr>
            <w:tcW w:w="1895" w:type="dxa"/>
            <w:shd w:val="clear" w:color="auto" w:fill="C2D69B" w:themeFill="accent3" w:themeFillTint="99"/>
            <w:vAlign w:val="center"/>
            <w:hideMark/>
          </w:tcPr>
          <w:p w:rsidR="00FB0655" w:rsidRDefault="00FB0655" w:rsidP="00CA4D75">
            <w:pPr>
              <w:jc w:val="center"/>
              <w:rPr>
                <w:rFonts w:ascii="Calibri" w:eastAsiaTheme="minorHAnsi" w:hAnsi="Calibri"/>
                <w:b/>
                <w:bCs/>
                <w:lang w:eastAsia="en-US"/>
              </w:rPr>
            </w:pPr>
            <w:r>
              <w:rPr>
                <w:b/>
                <w:bCs/>
              </w:rPr>
              <w:t>Zhodnocení systému</w:t>
            </w:r>
          </w:p>
        </w:tc>
      </w:tr>
      <w:tr w:rsidR="00FB0655" w:rsidTr="00CA4D75">
        <w:trPr>
          <w:trHeight w:val="371"/>
        </w:trPr>
        <w:tc>
          <w:tcPr>
            <w:tcW w:w="1860" w:type="dxa"/>
            <w:tcMar>
              <w:top w:w="0" w:type="dxa"/>
              <w:left w:w="70" w:type="dxa"/>
              <w:bottom w:w="0" w:type="dxa"/>
              <w:right w:w="70" w:type="dxa"/>
            </w:tcMar>
            <w:vAlign w:val="center"/>
            <w:hideMark/>
          </w:tcPr>
          <w:p w:rsidR="00FB0655" w:rsidRDefault="00FB0655" w:rsidP="00CA4D75">
            <w:pPr>
              <w:jc w:val="center"/>
              <w:rPr>
                <w:rFonts w:ascii="Calibri" w:eastAsiaTheme="minorHAnsi" w:hAnsi="Calibri"/>
                <w:b/>
                <w:bCs/>
                <w:lang w:eastAsia="en-US"/>
              </w:rPr>
            </w:pPr>
            <w:r>
              <w:rPr>
                <w:b/>
                <w:bCs/>
              </w:rPr>
              <w:t>MF/GFŘ</w:t>
            </w:r>
          </w:p>
        </w:tc>
        <w:tc>
          <w:tcPr>
            <w:tcW w:w="808" w:type="dxa"/>
            <w:tcMar>
              <w:top w:w="0" w:type="dxa"/>
              <w:left w:w="70" w:type="dxa"/>
              <w:bottom w:w="0" w:type="dxa"/>
              <w:right w:w="70" w:type="dxa"/>
            </w:tcMar>
            <w:vAlign w:val="center"/>
            <w:hideMark/>
          </w:tcPr>
          <w:p w:rsidR="00FB0655" w:rsidRDefault="00FB0655" w:rsidP="00CA4D75">
            <w:pPr>
              <w:jc w:val="center"/>
              <w:rPr>
                <w:rFonts w:ascii="Calibri" w:eastAsiaTheme="minorHAnsi" w:hAnsi="Calibri"/>
                <w:b/>
                <w:bCs/>
                <w:lang w:eastAsia="en-US"/>
              </w:rPr>
            </w:pPr>
            <w:r>
              <w:rPr>
                <w:b/>
                <w:bCs/>
              </w:rPr>
              <w:t>2</w:t>
            </w:r>
          </w:p>
        </w:tc>
        <w:tc>
          <w:tcPr>
            <w:tcW w:w="929" w:type="dxa"/>
            <w:vAlign w:val="center"/>
            <w:hideMark/>
          </w:tcPr>
          <w:p w:rsidR="00FB0655" w:rsidRDefault="00FB0655" w:rsidP="00CA4D75">
            <w:pPr>
              <w:jc w:val="center"/>
              <w:rPr>
                <w:rFonts w:ascii="Calibri" w:eastAsiaTheme="minorHAnsi" w:hAnsi="Calibri"/>
                <w:b/>
                <w:bCs/>
                <w:lang w:eastAsia="en-US"/>
              </w:rPr>
            </w:pPr>
            <w:r>
              <w:rPr>
                <w:b/>
                <w:bCs/>
              </w:rPr>
              <w:t>2</w:t>
            </w:r>
          </w:p>
        </w:tc>
        <w:tc>
          <w:tcPr>
            <w:tcW w:w="967" w:type="dxa"/>
            <w:vAlign w:val="center"/>
            <w:hideMark/>
          </w:tcPr>
          <w:p w:rsidR="00FB0655" w:rsidRDefault="00FB0655" w:rsidP="00CA4D75">
            <w:pPr>
              <w:jc w:val="center"/>
              <w:rPr>
                <w:rFonts w:ascii="Calibri" w:eastAsiaTheme="minorHAnsi" w:hAnsi="Calibri"/>
                <w:b/>
                <w:bCs/>
                <w:lang w:eastAsia="en-US"/>
              </w:rPr>
            </w:pPr>
            <w:r>
              <w:rPr>
                <w:b/>
                <w:bCs/>
              </w:rPr>
              <w:t>1</w:t>
            </w:r>
          </w:p>
        </w:tc>
        <w:tc>
          <w:tcPr>
            <w:tcW w:w="1232" w:type="dxa"/>
            <w:vAlign w:val="center"/>
            <w:hideMark/>
          </w:tcPr>
          <w:p w:rsidR="00FB0655" w:rsidRDefault="00FB0655" w:rsidP="00CA4D75">
            <w:pPr>
              <w:jc w:val="center"/>
              <w:rPr>
                <w:rFonts w:ascii="Calibri" w:eastAsiaTheme="minorHAnsi" w:hAnsi="Calibri"/>
                <w:b/>
                <w:bCs/>
                <w:lang w:eastAsia="en-US"/>
              </w:rPr>
            </w:pPr>
            <w:r>
              <w:rPr>
                <w:b/>
                <w:bCs/>
              </w:rPr>
              <w:t>1</w:t>
            </w:r>
          </w:p>
        </w:tc>
        <w:tc>
          <w:tcPr>
            <w:tcW w:w="1232" w:type="dxa"/>
            <w:vAlign w:val="center"/>
            <w:hideMark/>
          </w:tcPr>
          <w:p w:rsidR="00FB0655" w:rsidRDefault="00FB0655" w:rsidP="00CA4D75">
            <w:pPr>
              <w:jc w:val="center"/>
              <w:rPr>
                <w:rFonts w:ascii="Calibri" w:eastAsiaTheme="minorHAnsi" w:hAnsi="Calibri"/>
                <w:b/>
                <w:bCs/>
                <w:lang w:eastAsia="en-US"/>
              </w:rPr>
            </w:pPr>
            <w:r>
              <w:rPr>
                <w:b/>
                <w:bCs/>
              </w:rPr>
              <w:t>3</w:t>
            </w:r>
          </w:p>
        </w:tc>
        <w:tc>
          <w:tcPr>
            <w:tcW w:w="1895" w:type="dxa"/>
            <w:vAlign w:val="center"/>
            <w:hideMark/>
          </w:tcPr>
          <w:p w:rsidR="00FB0655" w:rsidRDefault="00FB0655" w:rsidP="00CA4D75">
            <w:pPr>
              <w:jc w:val="center"/>
              <w:rPr>
                <w:rFonts w:ascii="Calibri" w:eastAsiaTheme="minorHAnsi" w:hAnsi="Calibri"/>
                <w:b/>
                <w:bCs/>
                <w:lang w:eastAsia="en-US"/>
              </w:rPr>
            </w:pPr>
            <w:r>
              <w:rPr>
                <w:b/>
                <w:bCs/>
              </w:rPr>
              <w:t>3</w:t>
            </w:r>
          </w:p>
        </w:tc>
      </w:tr>
    </w:tbl>
    <w:p w:rsidR="00FB0655" w:rsidRPr="001F3757" w:rsidRDefault="00FB0655" w:rsidP="00506E3A">
      <w:pPr>
        <w:rPr>
          <w:sz w:val="22"/>
          <w:szCs w:val="22"/>
        </w:rPr>
      </w:pPr>
    </w:p>
    <w:p w:rsidR="00FB0655" w:rsidRDefault="00FB0655" w:rsidP="00506E3A">
      <w:pPr>
        <w:rPr>
          <w:b/>
          <w:i/>
          <w:sz w:val="22"/>
          <w:szCs w:val="22"/>
        </w:rPr>
      </w:pPr>
    </w:p>
    <w:p w:rsidR="00506E3A" w:rsidRPr="00402A0C" w:rsidRDefault="00506E3A" w:rsidP="00506E3A">
      <w:pPr>
        <w:rPr>
          <w:b/>
          <w:i/>
          <w:sz w:val="22"/>
          <w:szCs w:val="22"/>
        </w:rPr>
      </w:pPr>
      <w:r w:rsidRPr="00402A0C">
        <w:rPr>
          <w:b/>
          <w:i/>
          <w:sz w:val="22"/>
          <w:szCs w:val="22"/>
        </w:rPr>
        <w:t>Audit systému implementace IOP č. IOP/2013/S</w:t>
      </w:r>
    </w:p>
    <w:p w:rsidR="00506E3A" w:rsidRDefault="00506E3A" w:rsidP="00506E3A">
      <w:pPr>
        <w:jc w:val="both"/>
        <w:rPr>
          <w:sz w:val="22"/>
          <w:szCs w:val="22"/>
        </w:rPr>
      </w:pPr>
      <w:r w:rsidRPr="00C05759">
        <w:rPr>
          <w:sz w:val="22"/>
          <w:szCs w:val="22"/>
        </w:rPr>
        <w:t>Zaměření auditu</w:t>
      </w:r>
      <w:r w:rsidRPr="00402A0C">
        <w:rPr>
          <w:sz w:val="22"/>
          <w:szCs w:val="22"/>
        </w:rPr>
        <w:t xml:space="preserve">: Od září 2013 probíhal na ŘO IOP a </w:t>
      </w:r>
      <w:r>
        <w:rPr>
          <w:sz w:val="22"/>
          <w:szCs w:val="22"/>
        </w:rPr>
        <w:t>z</w:t>
      </w:r>
      <w:r w:rsidRPr="00402A0C">
        <w:rPr>
          <w:sz w:val="22"/>
          <w:szCs w:val="22"/>
        </w:rPr>
        <w:t xml:space="preserve">prostředkujících subjektech IOP audit systému implementace </w:t>
      </w:r>
      <w:r w:rsidRPr="00A01A97">
        <w:rPr>
          <w:sz w:val="22"/>
          <w:szCs w:val="22"/>
        </w:rPr>
        <w:t xml:space="preserve">č. IOP/2013/S. ŘO IOP obdržel souhrnnou zprávu o auditu systému dne 5. 1. 2015. </w:t>
      </w:r>
    </w:p>
    <w:p w:rsidR="00506E3A" w:rsidRPr="00A01A97" w:rsidRDefault="00506E3A" w:rsidP="00506E3A">
      <w:pPr>
        <w:jc w:val="both"/>
        <w:rPr>
          <w:sz w:val="22"/>
          <w:szCs w:val="22"/>
        </w:rPr>
      </w:pPr>
    </w:p>
    <w:p w:rsidR="00506E3A" w:rsidRDefault="00506E3A" w:rsidP="00506E3A">
      <w:pPr>
        <w:jc w:val="both"/>
        <w:rPr>
          <w:sz w:val="22"/>
          <w:szCs w:val="22"/>
        </w:rPr>
      </w:pPr>
      <w:r w:rsidRPr="00C05759">
        <w:rPr>
          <w:sz w:val="22"/>
          <w:szCs w:val="22"/>
        </w:rPr>
        <w:t>Kontrolní zjištění</w:t>
      </w:r>
      <w:r w:rsidRPr="00402A0C">
        <w:rPr>
          <w:sz w:val="22"/>
          <w:szCs w:val="22"/>
        </w:rPr>
        <w:t>:</w:t>
      </w:r>
      <w:r w:rsidRPr="00A01A97">
        <w:rPr>
          <w:sz w:val="22"/>
          <w:szCs w:val="22"/>
        </w:rPr>
        <w:t xml:space="preserve"> V průběhu auditu systému bylo identifikováno celkem 16 zjištění, z toho </w:t>
      </w:r>
      <w:r w:rsidR="00B92A0D">
        <w:rPr>
          <w:sz w:val="22"/>
          <w:szCs w:val="22"/>
        </w:rPr>
        <w:br/>
      </w:r>
      <w:r w:rsidRPr="00A01A97">
        <w:rPr>
          <w:sz w:val="22"/>
          <w:szCs w:val="22"/>
        </w:rPr>
        <w:t>2 s vysokou mírou závažnosti, 11 se střední mírou závažnosti a 3 s nízkou mírou závažnosti.</w:t>
      </w:r>
    </w:p>
    <w:p w:rsidR="00506E3A" w:rsidRPr="00A01A97" w:rsidRDefault="00506E3A" w:rsidP="00506E3A">
      <w:pPr>
        <w:jc w:val="both"/>
        <w:rPr>
          <w:sz w:val="22"/>
          <w:szCs w:val="22"/>
        </w:rPr>
      </w:pPr>
    </w:p>
    <w:p w:rsidR="00506E3A" w:rsidRPr="00A01A97" w:rsidRDefault="00506E3A" w:rsidP="00506E3A">
      <w:pPr>
        <w:jc w:val="both"/>
        <w:rPr>
          <w:sz w:val="22"/>
          <w:szCs w:val="22"/>
        </w:rPr>
      </w:pPr>
      <w:r w:rsidRPr="00A01A97">
        <w:rPr>
          <w:b/>
          <w:sz w:val="22"/>
          <w:szCs w:val="22"/>
        </w:rPr>
        <w:t>Za ŘO IOP</w:t>
      </w:r>
      <w:r w:rsidRPr="00A01A97">
        <w:rPr>
          <w:sz w:val="22"/>
          <w:szCs w:val="22"/>
        </w:rPr>
        <w:t xml:space="preserve"> bylo identifikováno celkem 6 zjištění, z toho 5 se střední mírou závažnosti </w:t>
      </w:r>
      <w:r>
        <w:rPr>
          <w:sz w:val="22"/>
          <w:szCs w:val="22"/>
        </w:rPr>
        <w:br/>
      </w:r>
      <w:r w:rsidRPr="00A01A97">
        <w:rPr>
          <w:sz w:val="22"/>
          <w:szCs w:val="22"/>
        </w:rPr>
        <w:t>a 1 s nízkou mírou závažnosti:</w:t>
      </w:r>
    </w:p>
    <w:p w:rsidR="00506E3A" w:rsidRPr="00A01A97" w:rsidRDefault="00506E3A" w:rsidP="00506E3A">
      <w:pPr>
        <w:pStyle w:val="Odstavecseseznamem"/>
        <w:numPr>
          <w:ilvl w:val="0"/>
          <w:numId w:val="42"/>
        </w:numPr>
        <w:jc w:val="both"/>
        <w:rPr>
          <w:sz w:val="22"/>
          <w:szCs w:val="22"/>
        </w:rPr>
      </w:pPr>
      <w:r w:rsidRPr="00A01A97">
        <w:rPr>
          <w:sz w:val="22"/>
          <w:szCs w:val="22"/>
        </w:rPr>
        <w:lastRenderedPageBreak/>
        <w:t xml:space="preserve">požadavek ŘO IOP, aby příjemci dotace požádali o ukončení právního aktu o poskytnutí dotace při převodu delegovaných činností mezi ZS, neměl oporu v zákoně č. 218/2000 Sb., </w:t>
      </w:r>
      <w:r>
        <w:rPr>
          <w:sz w:val="22"/>
          <w:szCs w:val="22"/>
        </w:rPr>
        <w:br/>
      </w:r>
      <w:r w:rsidRPr="00A01A97">
        <w:rPr>
          <w:sz w:val="22"/>
          <w:szCs w:val="22"/>
        </w:rPr>
        <w:t>o rozpočtových pravidlech a vytváří zbytečná rizika;</w:t>
      </w:r>
    </w:p>
    <w:p w:rsidR="00506E3A" w:rsidRPr="00A01A97" w:rsidRDefault="00506E3A" w:rsidP="00506E3A">
      <w:pPr>
        <w:pStyle w:val="Odstavecseseznamem"/>
        <w:numPr>
          <w:ilvl w:val="0"/>
          <w:numId w:val="42"/>
        </w:numPr>
        <w:jc w:val="both"/>
        <w:rPr>
          <w:sz w:val="22"/>
          <w:szCs w:val="22"/>
        </w:rPr>
      </w:pPr>
      <w:r w:rsidRPr="00A01A97">
        <w:rPr>
          <w:sz w:val="22"/>
          <w:szCs w:val="22"/>
        </w:rPr>
        <w:t>Rozhodnutí ministra č. 168/2009 o náboru zaměstnanců nerespektovalo platnou Metodiku výběru zaměstnanců implementujících fondy EU;</w:t>
      </w:r>
    </w:p>
    <w:p w:rsidR="00506E3A" w:rsidRPr="00A01A97" w:rsidRDefault="00506E3A" w:rsidP="00506E3A">
      <w:pPr>
        <w:pStyle w:val="Odstavecseseznamem"/>
        <w:numPr>
          <w:ilvl w:val="0"/>
          <w:numId w:val="42"/>
        </w:numPr>
        <w:jc w:val="both"/>
        <w:rPr>
          <w:sz w:val="22"/>
          <w:szCs w:val="22"/>
        </w:rPr>
      </w:pPr>
      <w:r w:rsidRPr="00A01A97">
        <w:rPr>
          <w:sz w:val="22"/>
          <w:szCs w:val="22"/>
        </w:rPr>
        <w:t xml:space="preserve">nedostatečná účinnost kontrol vykonaných </w:t>
      </w:r>
      <w:r>
        <w:rPr>
          <w:sz w:val="22"/>
          <w:szCs w:val="22"/>
        </w:rPr>
        <w:t>po</w:t>
      </w:r>
      <w:r w:rsidRPr="00A01A97">
        <w:rPr>
          <w:sz w:val="22"/>
          <w:szCs w:val="22"/>
        </w:rPr>
        <w:t>dle čl. 13 Nařízení Komise (ES) č. 1828/2006;</w:t>
      </w:r>
    </w:p>
    <w:p w:rsidR="00506E3A" w:rsidRPr="00A01A97" w:rsidRDefault="00506E3A" w:rsidP="00506E3A">
      <w:pPr>
        <w:pStyle w:val="Odstavecseseznamem"/>
        <w:numPr>
          <w:ilvl w:val="0"/>
          <w:numId w:val="42"/>
        </w:numPr>
        <w:jc w:val="both"/>
        <w:rPr>
          <w:sz w:val="22"/>
          <w:szCs w:val="22"/>
        </w:rPr>
      </w:pPr>
      <w:r w:rsidRPr="00A01A97">
        <w:rPr>
          <w:sz w:val="22"/>
          <w:szCs w:val="22"/>
        </w:rPr>
        <w:t>neprovádění interim analýzy rizik u projektů Technické pomoci IOP administrovaných ŘO IOP;</w:t>
      </w:r>
    </w:p>
    <w:p w:rsidR="00506E3A" w:rsidRPr="00A01A97" w:rsidRDefault="00506E3A" w:rsidP="00506E3A">
      <w:pPr>
        <w:pStyle w:val="Odstavecseseznamem"/>
        <w:numPr>
          <w:ilvl w:val="0"/>
          <w:numId w:val="42"/>
        </w:numPr>
        <w:jc w:val="both"/>
        <w:rPr>
          <w:sz w:val="22"/>
          <w:szCs w:val="22"/>
        </w:rPr>
      </w:pPr>
      <w:r w:rsidRPr="00A01A97">
        <w:rPr>
          <w:sz w:val="22"/>
          <w:szCs w:val="22"/>
        </w:rPr>
        <w:t>nedostatečné vedení Zápisů z jednání komisí TP IOP, absence Zápisů z jednání komisí TP IOP v IS Monit7+</w:t>
      </w:r>
      <w:r>
        <w:rPr>
          <w:sz w:val="22"/>
          <w:szCs w:val="22"/>
        </w:rPr>
        <w:t>,</w:t>
      </w:r>
    </w:p>
    <w:p w:rsidR="00506E3A" w:rsidRPr="00506E3A" w:rsidRDefault="00506E3A" w:rsidP="00506E3A">
      <w:pPr>
        <w:pStyle w:val="Odstavecseseznamem"/>
        <w:numPr>
          <w:ilvl w:val="0"/>
          <w:numId w:val="42"/>
        </w:numPr>
        <w:jc w:val="both"/>
        <w:rPr>
          <w:sz w:val="22"/>
          <w:szCs w:val="22"/>
        </w:rPr>
      </w:pPr>
      <w:r w:rsidRPr="00A01A97">
        <w:rPr>
          <w:sz w:val="22"/>
          <w:szCs w:val="22"/>
        </w:rPr>
        <w:t>setrvávající nekomfortní situace po rozdělení jednotlivých fází administrace projektů realizovaných v rámci oblasti intervence 3.1 a 3.3 IOP mezi MPSV a CRR ČR (nízká míra závažnosti).</w:t>
      </w:r>
    </w:p>
    <w:p w:rsidR="00506E3A" w:rsidRDefault="00506E3A" w:rsidP="00506E3A">
      <w:pPr>
        <w:jc w:val="both"/>
      </w:pPr>
    </w:p>
    <w:p w:rsidR="00506E3A" w:rsidRDefault="00506E3A" w:rsidP="00506E3A">
      <w:pPr>
        <w:jc w:val="both"/>
        <w:rPr>
          <w:sz w:val="22"/>
          <w:szCs w:val="22"/>
        </w:rPr>
      </w:pPr>
      <w:r w:rsidRPr="00A01A97">
        <w:rPr>
          <w:sz w:val="22"/>
          <w:szCs w:val="22"/>
        </w:rPr>
        <w:t>ŘO IOP nesouhlasí s doporučením auditorů</w:t>
      </w:r>
      <w:r>
        <w:rPr>
          <w:sz w:val="22"/>
          <w:szCs w:val="22"/>
        </w:rPr>
        <w:t xml:space="preserve"> na</w:t>
      </w:r>
      <w:r w:rsidRPr="00A01A97">
        <w:rPr>
          <w:sz w:val="22"/>
          <w:szCs w:val="22"/>
        </w:rPr>
        <w:t xml:space="preserve"> zpracování analýzy a právní</w:t>
      </w:r>
      <w:r>
        <w:rPr>
          <w:sz w:val="22"/>
          <w:szCs w:val="22"/>
        </w:rPr>
        <w:t>ho</w:t>
      </w:r>
      <w:r w:rsidRPr="00A01A97">
        <w:rPr>
          <w:sz w:val="22"/>
          <w:szCs w:val="22"/>
        </w:rPr>
        <w:t xml:space="preserve"> rozbor</w:t>
      </w:r>
      <w:r>
        <w:rPr>
          <w:sz w:val="22"/>
          <w:szCs w:val="22"/>
        </w:rPr>
        <w:t>u</w:t>
      </w:r>
      <w:r w:rsidRPr="00A01A97">
        <w:rPr>
          <w:sz w:val="22"/>
          <w:szCs w:val="22"/>
        </w:rPr>
        <w:t xml:space="preserve"> všech kroků ŘO IOP, ZS IOP a příjemc</w:t>
      </w:r>
      <w:r>
        <w:rPr>
          <w:sz w:val="22"/>
          <w:szCs w:val="22"/>
        </w:rPr>
        <w:t>ů</w:t>
      </w:r>
      <w:r w:rsidRPr="00A01A97">
        <w:rPr>
          <w:sz w:val="22"/>
          <w:szCs w:val="22"/>
        </w:rPr>
        <w:t xml:space="preserve">, které souvisely s ukončováním platnosti stávajících právních aktů </w:t>
      </w:r>
      <w:r w:rsidR="00B92A0D">
        <w:rPr>
          <w:sz w:val="22"/>
          <w:szCs w:val="22"/>
        </w:rPr>
        <w:br/>
      </w:r>
      <w:r w:rsidRPr="00A01A97">
        <w:rPr>
          <w:sz w:val="22"/>
          <w:szCs w:val="22"/>
        </w:rPr>
        <w:t xml:space="preserve">o poskytnutí dotace při převodu delegovaných činností mezi ZS, jelikož </w:t>
      </w:r>
      <w:r>
        <w:rPr>
          <w:sz w:val="22"/>
          <w:szCs w:val="22"/>
        </w:rPr>
        <w:t xml:space="preserve">podle názoru auditu </w:t>
      </w:r>
      <w:r w:rsidRPr="00A01A97">
        <w:rPr>
          <w:sz w:val="22"/>
          <w:szCs w:val="22"/>
        </w:rPr>
        <w:t xml:space="preserve">nepostupoval v rozporu s rozpočtovými pravidly. Jednalo se o specifickou situaci, kterou rozpočtová pravidla neupravují, </w:t>
      </w:r>
      <w:r>
        <w:rPr>
          <w:sz w:val="22"/>
          <w:szCs w:val="22"/>
        </w:rPr>
        <w:t>proto</w:t>
      </w:r>
      <w:r w:rsidRPr="00A01A97">
        <w:rPr>
          <w:sz w:val="22"/>
          <w:szCs w:val="22"/>
        </w:rPr>
        <w:t xml:space="preserve"> zvolený postup </w:t>
      </w:r>
      <w:r>
        <w:rPr>
          <w:sz w:val="22"/>
          <w:szCs w:val="22"/>
        </w:rPr>
        <w:t>ŘO</w:t>
      </w:r>
      <w:r w:rsidRPr="00A01A97">
        <w:rPr>
          <w:sz w:val="22"/>
          <w:szCs w:val="22"/>
        </w:rPr>
        <w:t xml:space="preserve"> </w:t>
      </w:r>
      <w:r w:rsidR="00900DBE">
        <w:rPr>
          <w:sz w:val="22"/>
          <w:szCs w:val="22"/>
        </w:rPr>
        <w:t>odsouhlasil</w:t>
      </w:r>
      <w:r w:rsidR="00900DBE" w:rsidRPr="00A01A97">
        <w:rPr>
          <w:sz w:val="22"/>
          <w:szCs w:val="22"/>
        </w:rPr>
        <w:t xml:space="preserve"> </w:t>
      </w:r>
      <w:r w:rsidRPr="00A01A97">
        <w:rPr>
          <w:sz w:val="22"/>
          <w:szCs w:val="22"/>
        </w:rPr>
        <w:t>s </w:t>
      </w:r>
      <w:r>
        <w:rPr>
          <w:sz w:val="22"/>
          <w:szCs w:val="22"/>
        </w:rPr>
        <w:t>m</w:t>
      </w:r>
      <w:r w:rsidRPr="00A01A97">
        <w:rPr>
          <w:sz w:val="22"/>
          <w:szCs w:val="22"/>
        </w:rPr>
        <w:t xml:space="preserve">inisterstvem financí. </w:t>
      </w:r>
    </w:p>
    <w:p w:rsidR="00506E3A" w:rsidRDefault="00506E3A" w:rsidP="00506E3A">
      <w:pPr>
        <w:jc w:val="both"/>
        <w:rPr>
          <w:sz w:val="22"/>
          <w:szCs w:val="22"/>
        </w:rPr>
      </w:pPr>
    </w:p>
    <w:p w:rsidR="00506E3A" w:rsidRDefault="00506E3A" w:rsidP="00506E3A">
      <w:pPr>
        <w:jc w:val="both"/>
        <w:rPr>
          <w:sz w:val="22"/>
          <w:szCs w:val="22"/>
        </w:rPr>
      </w:pPr>
      <w:r w:rsidRPr="00A01A97">
        <w:rPr>
          <w:sz w:val="22"/>
          <w:szCs w:val="22"/>
        </w:rPr>
        <w:t>ŘO IOP vyčíslil nezpůsobilé výdaje související s</w:t>
      </w:r>
      <w:r>
        <w:rPr>
          <w:sz w:val="22"/>
          <w:szCs w:val="22"/>
        </w:rPr>
        <w:t xml:space="preserve"> porušením </w:t>
      </w:r>
      <w:r w:rsidRPr="00A01A97">
        <w:rPr>
          <w:sz w:val="22"/>
          <w:szCs w:val="22"/>
        </w:rPr>
        <w:t>Metodik</w:t>
      </w:r>
      <w:r>
        <w:rPr>
          <w:sz w:val="22"/>
          <w:szCs w:val="22"/>
        </w:rPr>
        <w:t>y</w:t>
      </w:r>
      <w:r w:rsidRPr="00A01A97">
        <w:rPr>
          <w:sz w:val="22"/>
          <w:szCs w:val="22"/>
        </w:rPr>
        <w:t xml:space="preserve"> výběru zaměstnanců implementujících fondy EU. </w:t>
      </w:r>
    </w:p>
    <w:p w:rsidR="00506E3A" w:rsidRDefault="00506E3A" w:rsidP="00506E3A">
      <w:pPr>
        <w:jc w:val="both"/>
        <w:rPr>
          <w:sz w:val="22"/>
          <w:szCs w:val="22"/>
        </w:rPr>
      </w:pPr>
    </w:p>
    <w:p w:rsidR="00506E3A" w:rsidRDefault="00506E3A" w:rsidP="00506E3A">
      <w:pPr>
        <w:jc w:val="both"/>
        <w:rPr>
          <w:sz w:val="22"/>
          <w:szCs w:val="22"/>
        </w:rPr>
      </w:pPr>
      <w:r>
        <w:rPr>
          <w:sz w:val="22"/>
          <w:szCs w:val="22"/>
        </w:rPr>
        <w:t xml:space="preserve">Za účelem zlepšení účinnosti kontrol provádí ŘO </w:t>
      </w:r>
      <w:r w:rsidRPr="00C05759">
        <w:rPr>
          <w:sz w:val="22"/>
          <w:szCs w:val="22"/>
        </w:rPr>
        <w:t xml:space="preserve">supervizi kontrolních listů pro kontrolu VZ </w:t>
      </w:r>
      <w:r w:rsidR="00B92A0D">
        <w:rPr>
          <w:sz w:val="22"/>
          <w:szCs w:val="22"/>
        </w:rPr>
        <w:br/>
      </w:r>
      <w:r w:rsidRPr="00C05759">
        <w:rPr>
          <w:sz w:val="22"/>
          <w:szCs w:val="22"/>
        </w:rPr>
        <w:t>a pravidelná školení</w:t>
      </w:r>
      <w:r>
        <w:rPr>
          <w:sz w:val="22"/>
          <w:szCs w:val="22"/>
        </w:rPr>
        <w:t xml:space="preserve"> zaměstnanců.</w:t>
      </w:r>
    </w:p>
    <w:p w:rsidR="00506E3A" w:rsidRDefault="00506E3A" w:rsidP="00506E3A">
      <w:pPr>
        <w:jc w:val="both"/>
        <w:rPr>
          <w:sz w:val="22"/>
          <w:szCs w:val="22"/>
        </w:rPr>
      </w:pPr>
    </w:p>
    <w:p w:rsidR="00506E3A" w:rsidRDefault="00506E3A" w:rsidP="00506E3A">
      <w:pPr>
        <w:jc w:val="both"/>
        <w:rPr>
          <w:sz w:val="22"/>
          <w:szCs w:val="22"/>
        </w:rPr>
      </w:pPr>
      <w:r>
        <w:rPr>
          <w:sz w:val="22"/>
          <w:szCs w:val="22"/>
        </w:rPr>
        <w:t xml:space="preserve">Povinnost provádět interim analýzy rizik u projektů Technické pomoci IOP bude zavedena </w:t>
      </w:r>
      <w:r w:rsidR="00B92A0D">
        <w:rPr>
          <w:sz w:val="22"/>
          <w:szCs w:val="22"/>
        </w:rPr>
        <w:br/>
      </w:r>
      <w:r>
        <w:rPr>
          <w:sz w:val="22"/>
          <w:szCs w:val="22"/>
        </w:rPr>
        <w:t>ve stanoveném termínu, tedy do 30. 6. 2015.</w:t>
      </w:r>
    </w:p>
    <w:p w:rsidR="00506E3A" w:rsidRDefault="00506E3A" w:rsidP="00506E3A">
      <w:pPr>
        <w:jc w:val="both"/>
        <w:rPr>
          <w:sz w:val="22"/>
          <w:szCs w:val="22"/>
        </w:rPr>
      </w:pPr>
    </w:p>
    <w:p w:rsidR="00506E3A" w:rsidRDefault="00506E3A" w:rsidP="00506E3A">
      <w:pPr>
        <w:jc w:val="both"/>
        <w:rPr>
          <w:sz w:val="22"/>
          <w:szCs w:val="22"/>
        </w:rPr>
      </w:pPr>
      <w:r w:rsidRPr="00A01A97">
        <w:rPr>
          <w:sz w:val="22"/>
          <w:szCs w:val="22"/>
        </w:rPr>
        <w:t xml:space="preserve">ŘO IOP splnil doporučení </w:t>
      </w:r>
      <w:r>
        <w:rPr>
          <w:sz w:val="22"/>
          <w:szCs w:val="22"/>
        </w:rPr>
        <w:t>k</w:t>
      </w:r>
      <w:r w:rsidRPr="00A01A97">
        <w:rPr>
          <w:sz w:val="22"/>
          <w:szCs w:val="22"/>
        </w:rPr>
        <w:t xml:space="preserve"> řádné</w:t>
      </w:r>
      <w:r>
        <w:rPr>
          <w:sz w:val="22"/>
          <w:szCs w:val="22"/>
        </w:rPr>
        <w:t>mu</w:t>
      </w:r>
      <w:r w:rsidRPr="00A01A97">
        <w:rPr>
          <w:sz w:val="22"/>
          <w:szCs w:val="22"/>
        </w:rPr>
        <w:t xml:space="preserve"> vedení Zápisů z jednání komise TP IOP; zapracoval revizi postupů </w:t>
      </w:r>
      <w:r>
        <w:rPr>
          <w:sz w:val="22"/>
          <w:szCs w:val="22"/>
        </w:rPr>
        <w:t>do</w:t>
      </w:r>
      <w:r w:rsidRPr="00A01A97">
        <w:rPr>
          <w:sz w:val="22"/>
          <w:szCs w:val="22"/>
        </w:rPr>
        <w:t xml:space="preserve"> OM IOP a OM ŘO IOP a průběžně vkládá zápisy z jednání komise TP IOP do IS Monit7+. </w:t>
      </w:r>
    </w:p>
    <w:p w:rsidR="00506E3A" w:rsidRPr="00A01A97" w:rsidRDefault="00506E3A" w:rsidP="00506E3A">
      <w:pPr>
        <w:jc w:val="both"/>
      </w:pPr>
    </w:p>
    <w:p w:rsidR="00506E3A" w:rsidRDefault="00506E3A" w:rsidP="00506E3A">
      <w:pPr>
        <w:jc w:val="both"/>
        <w:rPr>
          <w:sz w:val="22"/>
          <w:szCs w:val="22"/>
        </w:rPr>
      </w:pPr>
      <w:r w:rsidRPr="00A01A97">
        <w:rPr>
          <w:b/>
          <w:sz w:val="22"/>
          <w:szCs w:val="22"/>
        </w:rPr>
        <w:t xml:space="preserve">Za ZS CRR </w:t>
      </w:r>
      <w:r w:rsidRPr="00A01A97">
        <w:rPr>
          <w:sz w:val="22"/>
          <w:szCs w:val="22"/>
        </w:rPr>
        <w:t xml:space="preserve">bylo identifikováno 1 zjištění se střední mírou závažnosti – chybovost v zadávání veřejných zakázek. Nejvíce pochybení bylo zjištěno </w:t>
      </w:r>
      <w:r>
        <w:rPr>
          <w:sz w:val="22"/>
          <w:szCs w:val="22"/>
        </w:rPr>
        <w:t>v</w:t>
      </w:r>
      <w:r w:rsidRPr="00A01A97">
        <w:rPr>
          <w:sz w:val="22"/>
          <w:szCs w:val="22"/>
        </w:rPr>
        <w:t xml:space="preserve"> oblast</w:t>
      </w:r>
      <w:r>
        <w:rPr>
          <w:sz w:val="22"/>
          <w:szCs w:val="22"/>
        </w:rPr>
        <w:t>ech</w:t>
      </w:r>
      <w:r w:rsidRPr="00A01A97">
        <w:rPr>
          <w:sz w:val="22"/>
          <w:szCs w:val="22"/>
        </w:rPr>
        <w:t xml:space="preserve"> intervence 2.1 a 3.4</w:t>
      </w:r>
    </w:p>
    <w:p w:rsidR="00506E3A" w:rsidRDefault="00506E3A" w:rsidP="00506E3A">
      <w:pPr>
        <w:jc w:val="both"/>
        <w:rPr>
          <w:sz w:val="22"/>
          <w:szCs w:val="22"/>
        </w:rPr>
      </w:pPr>
    </w:p>
    <w:p w:rsidR="00506E3A" w:rsidRDefault="00506E3A" w:rsidP="00506E3A">
      <w:pPr>
        <w:jc w:val="both"/>
        <w:rPr>
          <w:sz w:val="22"/>
          <w:szCs w:val="22"/>
        </w:rPr>
      </w:pPr>
      <w:r w:rsidRPr="00A01A97">
        <w:rPr>
          <w:sz w:val="22"/>
          <w:szCs w:val="22"/>
        </w:rPr>
        <w:t xml:space="preserve">ZS CRR nesouhlasí s doporučením zajistit povinnou účast na jednání komise pro hodnocení nabídek </w:t>
      </w:r>
      <w:r w:rsidR="00B92A0D">
        <w:rPr>
          <w:sz w:val="22"/>
          <w:szCs w:val="22"/>
        </w:rPr>
        <w:br/>
      </w:r>
      <w:r w:rsidRPr="00A01A97">
        <w:rPr>
          <w:sz w:val="22"/>
          <w:szCs w:val="22"/>
        </w:rPr>
        <w:t xml:space="preserve">a komise pro hodnocení kvalifikace u zakázek na stavební práce nad 50 mil. Kč a u ostatních zakázek nad 10 mil. Kč. Chyby, které vzniknou při jednání komise, vyjdou najevo </w:t>
      </w:r>
      <w:r>
        <w:rPr>
          <w:sz w:val="22"/>
          <w:szCs w:val="22"/>
        </w:rPr>
        <w:t>př</w:t>
      </w:r>
      <w:r w:rsidRPr="00A01A97">
        <w:rPr>
          <w:sz w:val="22"/>
          <w:szCs w:val="22"/>
        </w:rPr>
        <w:t>i kontrol</w:t>
      </w:r>
      <w:r>
        <w:rPr>
          <w:sz w:val="22"/>
          <w:szCs w:val="22"/>
        </w:rPr>
        <w:t>e</w:t>
      </w:r>
      <w:r w:rsidRPr="00A01A97">
        <w:rPr>
          <w:sz w:val="22"/>
          <w:szCs w:val="22"/>
        </w:rPr>
        <w:t xml:space="preserve"> 2. fáze zadávacího řízení, kdy lze ve vztahu ke zjištěným chybám provést nápravné opatření</w:t>
      </w:r>
      <w:r>
        <w:rPr>
          <w:sz w:val="22"/>
          <w:szCs w:val="22"/>
        </w:rPr>
        <w:t>.</w:t>
      </w:r>
      <w:r w:rsidRPr="00A01A97">
        <w:rPr>
          <w:sz w:val="22"/>
          <w:szCs w:val="22"/>
        </w:rPr>
        <w:t xml:space="preserve"> </w:t>
      </w:r>
      <w:r>
        <w:rPr>
          <w:sz w:val="22"/>
          <w:szCs w:val="22"/>
        </w:rPr>
        <w:t>D</w:t>
      </w:r>
      <w:r w:rsidRPr="00A01A97">
        <w:rPr>
          <w:sz w:val="22"/>
          <w:szCs w:val="22"/>
        </w:rPr>
        <w:t>oporučení nerozlišuje mezi zadavateli a nebere v úvahu personální kapacity.</w:t>
      </w:r>
    </w:p>
    <w:p w:rsidR="00506E3A" w:rsidRPr="00A01A97" w:rsidRDefault="00506E3A" w:rsidP="00506E3A">
      <w:pPr>
        <w:jc w:val="both"/>
        <w:rPr>
          <w:sz w:val="22"/>
          <w:szCs w:val="22"/>
        </w:rPr>
      </w:pPr>
    </w:p>
    <w:p w:rsidR="00506E3A" w:rsidRPr="00A01A97" w:rsidRDefault="00506E3A" w:rsidP="00506E3A">
      <w:pPr>
        <w:jc w:val="both"/>
        <w:rPr>
          <w:sz w:val="22"/>
          <w:szCs w:val="22"/>
        </w:rPr>
      </w:pPr>
      <w:r w:rsidRPr="00A01A97">
        <w:rPr>
          <w:b/>
          <w:sz w:val="22"/>
          <w:szCs w:val="22"/>
        </w:rPr>
        <w:t>Za ZS MK</w:t>
      </w:r>
      <w:r w:rsidRPr="00A01A97">
        <w:rPr>
          <w:sz w:val="22"/>
          <w:szCs w:val="22"/>
        </w:rPr>
        <w:t xml:space="preserve"> byla identifikována 4 zjištění, z toho 2 s vysokou mírou závažnosti, </w:t>
      </w:r>
      <w:r>
        <w:rPr>
          <w:sz w:val="22"/>
          <w:szCs w:val="22"/>
        </w:rPr>
        <w:br/>
      </w:r>
      <w:r w:rsidRPr="00A01A97">
        <w:rPr>
          <w:sz w:val="22"/>
          <w:szCs w:val="22"/>
        </w:rPr>
        <w:t>1 se střední mírou závažnosti a 1 s nízkou mírou závažnosti:</w:t>
      </w:r>
    </w:p>
    <w:p w:rsidR="00506E3A" w:rsidRPr="00A01A97" w:rsidRDefault="00506E3A" w:rsidP="00506E3A">
      <w:pPr>
        <w:pStyle w:val="Odstavecseseznamem"/>
        <w:numPr>
          <w:ilvl w:val="0"/>
          <w:numId w:val="43"/>
        </w:numPr>
        <w:jc w:val="both"/>
        <w:rPr>
          <w:sz w:val="22"/>
          <w:szCs w:val="22"/>
        </w:rPr>
      </w:pPr>
      <w:r w:rsidRPr="00A01A97">
        <w:rPr>
          <w:sz w:val="22"/>
          <w:szCs w:val="22"/>
        </w:rPr>
        <w:t>nedostatečné provádění kontrol podle článku 13 Nařízení Komise (ES) č. 1828/2006;</w:t>
      </w:r>
    </w:p>
    <w:p w:rsidR="00506E3A" w:rsidRPr="00A01A97" w:rsidRDefault="00506E3A" w:rsidP="00506E3A">
      <w:pPr>
        <w:pStyle w:val="Odstavecseseznamem"/>
        <w:numPr>
          <w:ilvl w:val="0"/>
          <w:numId w:val="43"/>
        </w:numPr>
        <w:jc w:val="both"/>
        <w:rPr>
          <w:sz w:val="22"/>
          <w:szCs w:val="22"/>
        </w:rPr>
      </w:pPr>
      <w:r w:rsidRPr="00A01A97">
        <w:rPr>
          <w:sz w:val="22"/>
          <w:szCs w:val="22"/>
        </w:rPr>
        <w:t>nedostatečné hodnocení rizikovosti projektů;</w:t>
      </w:r>
    </w:p>
    <w:p w:rsidR="00506E3A" w:rsidRPr="00A01A97" w:rsidRDefault="00506E3A" w:rsidP="00506E3A">
      <w:pPr>
        <w:pStyle w:val="Odstavecseseznamem"/>
        <w:numPr>
          <w:ilvl w:val="0"/>
          <w:numId w:val="43"/>
        </w:numPr>
        <w:jc w:val="both"/>
        <w:rPr>
          <w:sz w:val="22"/>
          <w:szCs w:val="22"/>
        </w:rPr>
      </w:pPr>
      <w:r w:rsidRPr="00A01A97">
        <w:rPr>
          <w:sz w:val="22"/>
          <w:szCs w:val="22"/>
        </w:rPr>
        <w:t>časové prodlevy při administraci projektů a při refundaci žádostí o platbu;</w:t>
      </w:r>
    </w:p>
    <w:p w:rsidR="00506E3A" w:rsidRPr="00A01A97" w:rsidRDefault="00506E3A" w:rsidP="00506E3A">
      <w:pPr>
        <w:pStyle w:val="Odstavecseseznamem"/>
        <w:numPr>
          <w:ilvl w:val="0"/>
          <w:numId w:val="43"/>
        </w:numPr>
        <w:jc w:val="both"/>
        <w:rPr>
          <w:sz w:val="22"/>
          <w:szCs w:val="22"/>
        </w:rPr>
      </w:pPr>
      <w:r w:rsidRPr="00A01A97">
        <w:rPr>
          <w:sz w:val="22"/>
          <w:szCs w:val="22"/>
        </w:rPr>
        <w:t>nedostatečné zajištění audit-</w:t>
      </w:r>
      <w:proofErr w:type="spellStart"/>
      <w:r w:rsidRPr="00A01A97">
        <w:rPr>
          <w:sz w:val="22"/>
          <w:szCs w:val="22"/>
        </w:rPr>
        <w:t>trail</w:t>
      </w:r>
      <w:proofErr w:type="spellEnd"/>
      <w:r w:rsidRPr="00A01A97">
        <w:rPr>
          <w:sz w:val="22"/>
          <w:szCs w:val="22"/>
        </w:rPr>
        <w:t xml:space="preserve"> o vykonaných kontrolách VZ.</w:t>
      </w:r>
    </w:p>
    <w:p w:rsidR="00506E3A" w:rsidRPr="00A01A97" w:rsidRDefault="00506E3A" w:rsidP="00506E3A">
      <w:pPr>
        <w:ind w:left="215"/>
        <w:jc w:val="both"/>
      </w:pPr>
    </w:p>
    <w:p w:rsidR="00506E3A" w:rsidRPr="00A01A97" w:rsidRDefault="00506E3A" w:rsidP="00520FA4">
      <w:pPr>
        <w:jc w:val="both"/>
        <w:rPr>
          <w:sz w:val="22"/>
          <w:szCs w:val="22"/>
        </w:rPr>
      </w:pPr>
      <w:r w:rsidRPr="00A01A97">
        <w:rPr>
          <w:sz w:val="22"/>
          <w:szCs w:val="22"/>
        </w:rPr>
        <w:t>S ohledem na ukončení činnosti ZS MK auditoři doporučili ŘO provést 100% kontrolu VZ, jejichž výdaje příjemci budou nárokovat v žádostech o platbu; provést inventuru kontrol VZ</w:t>
      </w:r>
      <w:r>
        <w:rPr>
          <w:sz w:val="22"/>
          <w:szCs w:val="22"/>
        </w:rPr>
        <w:t>, které</w:t>
      </w:r>
      <w:r w:rsidRPr="00A01A97">
        <w:rPr>
          <w:sz w:val="22"/>
          <w:szCs w:val="22"/>
        </w:rPr>
        <w:t xml:space="preserve"> proved</w:t>
      </w:r>
      <w:r>
        <w:rPr>
          <w:sz w:val="22"/>
          <w:szCs w:val="22"/>
        </w:rPr>
        <w:t>l ZS</w:t>
      </w:r>
      <w:r w:rsidRPr="00A01A97">
        <w:rPr>
          <w:sz w:val="22"/>
          <w:szCs w:val="22"/>
        </w:rPr>
        <w:t xml:space="preserve"> MK; provést kontroly zakázek, které nebyly předmětem kontroly; vyhodnotit nejčastější chyby identifikované kontrolními orgány ve VZ a proškolit pracovníky implementující OI 5.1 IOP a příjemce podpory; zvážit přípravu metodického dopisu příjemcům; zajistit povinnou účast pracovníků ZS na jednání komisí; respektovat výsledky analýz rizik; zajistit stavební experty; respektovat zásady pro výběr vzorku stanovené v Pokynu CHJ č. 4 a přehodnotit rizikovost všech projektů. ŘO IOP ve IV. čtvrtletí zahájil kontroly delegovaných činností související se stanovenými nápravnými opatřeními.</w:t>
      </w:r>
    </w:p>
    <w:p w:rsidR="00506E3A" w:rsidRPr="00A01A97" w:rsidRDefault="00506E3A" w:rsidP="00506E3A">
      <w:pPr>
        <w:jc w:val="both"/>
        <w:rPr>
          <w:sz w:val="22"/>
          <w:szCs w:val="22"/>
        </w:rPr>
      </w:pPr>
      <w:r w:rsidRPr="00A01A97">
        <w:rPr>
          <w:b/>
          <w:sz w:val="22"/>
          <w:szCs w:val="22"/>
        </w:rPr>
        <w:lastRenderedPageBreak/>
        <w:t>Za ZS MPSV</w:t>
      </w:r>
      <w:r w:rsidRPr="00A01A97">
        <w:rPr>
          <w:sz w:val="22"/>
          <w:szCs w:val="22"/>
        </w:rPr>
        <w:t xml:space="preserve"> bylo identifikováno 1 zjištění s nízkou mírou závažnosti</w:t>
      </w:r>
      <w:r>
        <w:rPr>
          <w:sz w:val="22"/>
          <w:szCs w:val="22"/>
        </w:rPr>
        <w:t>,</w:t>
      </w:r>
      <w:r w:rsidRPr="00A01A97">
        <w:rPr>
          <w:sz w:val="22"/>
          <w:szCs w:val="22"/>
        </w:rPr>
        <w:t xml:space="preserve"> týkající se rozdělení jednotlivých fází administrace mezi dva subjekty - MPSV a CRR. Důsledkem rozdělení pravomocí </w:t>
      </w:r>
      <w:r w:rsidR="00B92A0D">
        <w:rPr>
          <w:sz w:val="22"/>
          <w:szCs w:val="22"/>
        </w:rPr>
        <w:br/>
      </w:r>
      <w:r w:rsidRPr="00A01A97">
        <w:rPr>
          <w:sz w:val="22"/>
          <w:szCs w:val="22"/>
        </w:rPr>
        <w:t xml:space="preserve">a odpovědnosti mezi dva subjekty byla složitá komunikace, neefektivní administrace a nedodržení lhůt. Přijatými opatřeními z předchozího auditu došlo ke zlepšení komunikace mezi oběma ZS </w:t>
      </w:r>
      <w:r w:rsidR="00520FA4">
        <w:rPr>
          <w:sz w:val="22"/>
          <w:szCs w:val="22"/>
        </w:rPr>
        <w:br/>
      </w:r>
      <w:r w:rsidRPr="00A01A97">
        <w:rPr>
          <w:sz w:val="22"/>
          <w:szCs w:val="22"/>
        </w:rPr>
        <w:t>a rovněž ke zlepšení výsledků administrace, zejména se zlepšilo dodržování lhůt.</w:t>
      </w:r>
    </w:p>
    <w:p w:rsidR="00506E3A" w:rsidRDefault="00506E3A" w:rsidP="00506E3A">
      <w:pPr>
        <w:jc w:val="both"/>
        <w:rPr>
          <w:sz w:val="22"/>
          <w:szCs w:val="22"/>
        </w:rPr>
      </w:pPr>
    </w:p>
    <w:p w:rsidR="00506E3A" w:rsidRPr="00A01A97" w:rsidRDefault="00506E3A" w:rsidP="00506E3A">
      <w:pPr>
        <w:jc w:val="both"/>
        <w:rPr>
          <w:sz w:val="22"/>
          <w:szCs w:val="22"/>
        </w:rPr>
      </w:pPr>
      <w:r w:rsidRPr="00C05759">
        <w:rPr>
          <w:b/>
          <w:sz w:val="22"/>
          <w:szCs w:val="22"/>
        </w:rPr>
        <w:t>Za ZS MV</w:t>
      </w:r>
      <w:r w:rsidRPr="00A01A97">
        <w:rPr>
          <w:sz w:val="22"/>
          <w:szCs w:val="22"/>
        </w:rPr>
        <w:t xml:space="preserve"> byla identifikována celkem 3 zjištění se střední mírou závažnosti:</w:t>
      </w:r>
    </w:p>
    <w:p w:rsidR="00506E3A" w:rsidRPr="00A01A97" w:rsidRDefault="00506E3A" w:rsidP="00506E3A">
      <w:pPr>
        <w:pStyle w:val="Odstavecseseznamem"/>
        <w:numPr>
          <w:ilvl w:val="0"/>
          <w:numId w:val="44"/>
        </w:numPr>
        <w:jc w:val="both"/>
        <w:rPr>
          <w:sz w:val="22"/>
          <w:szCs w:val="22"/>
        </w:rPr>
      </w:pPr>
      <w:r w:rsidRPr="00A01A97">
        <w:rPr>
          <w:sz w:val="22"/>
          <w:szCs w:val="22"/>
        </w:rPr>
        <w:t>nedodržování termínů pro vydání Právního aktu stanovených v Manuálu interních postupů;</w:t>
      </w:r>
    </w:p>
    <w:p w:rsidR="00506E3A" w:rsidRPr="00A01A97" w:rsidRDefault="00506E3A" w:rsidP="00506E3A">
      <w:pPr>
        <w:pStyle w:val="Odstavecseseznamem"/>
        <w:numPr>
          <w:ilvl w:val="0"/>
          <w:numId w:val="44"/>
        </w:numPr>
        <w:jc w:val="both"/>
        <w:rPr>
          <w:sz w:val="22"/>
          <w:szCs w:val="22"/>
        </w:rPr>
      </w:pPr>
      <w:r w:rsidRPr="00A01A97">
        <w:rPr>
          <w:sz w:val="22"/>
          <w:szCs w:val="22"/>
        </w:rPr>
        <w:t xml:space="preserve">chybovost při zadávání veřejných zakázek; </w:t>
      </w:r>
    </w:p>
    <w:p w:rsidR="00506E3A" w:rsidRDefault="00506E3A" w:rsidP="00506E3A">
      <w:pPr>
        <w:pStyle w:val="Odstavecseseznamem"/>
        <w:numPr>
          <w:ilvl w:val="0"/>
          <w:numId w:val="44"/>
        </w:numPr>
        <w:jc w:val="both"/>
        <w:rPr>
          <w:sz w:val="22"/>
          <w:szCs w:val="22"/>
        </w:rPr>
      </w:pPr>
      <w:r w:rsidRPr="00A01A97">
        <w:rPr>
          <w:sz w:val="22"/>
          <w:szCs w:val="22"/>
        </w:rPr>
        <w:t xml:space="preserve">informace v informačních systémech nejsou v souladu s projektovou dokumentací. </w:t>
      </w:r>
    </w:p>
    <w:p w:rsidR="00506E3A" w:rsidRDefault="00506E3A" w:rsidP="00506E3A">
      <w:pPr>
        <w:ind w:left="575"/>
        <w:jc w:val="both"/>
        <w:rPr>
          <w:sz w:val="22"/>
          <w:szCs w:val="22"/>
        </w:rPr>
      </w:pPr>
    </w:p>
    <w:p w:rsidR="00506E3A" w:rsidRPr="00C05759" w:rsidRDefault="00506E3A" w:rsidP="00506E3A">
      <w:pPr>
        <w:jc w:val="both"/>
        <w:rPr>
          <w:sz w:val="22"/>
          <w:szCs w:val="22"/>
        </w:rPr>
      </w:pPr>
      <w:r w:rsidRPr="00A01A97">
        <w:rPr>
          <w:sz w:val="22"/>
          <w:szCs w:val="22"/>
        </w:rPr>
        <w:t>ZS MV bylo doporučeno, aby při vydávání právního aktu o schválení dotace stanovil platnost právního aktu na dobu 3 měsíců a prověřil aktuálnost dat v IS MONIT7+</w:t>
      </w:r>
      <w:r>
        <w:rPr>
          <w:sz w:val="22"/>
          <w:szCs w:val="22"/>
        </w:rPr>
        <w:t>,</w:t>
      </w:r>
      <w:r w:rsidRPr="00A01A97">
        <w:rPr>
          <w:sz w:val="22"/>
          <w:szCs w:val="22"/>
        </w:rPr>
        <w:t xml:space="preserve"> týkající</w:t>
      </w:r>
      <w:r>
        <w:rPr>
          <w:sz w:val="22"/>
          <w:szCs w:val="22"/>
        </w:rPr>
        <w:t>ch</w:t>
      </w:r>
      <w:r w:rsidRPr="00A01A97">
        <w:rPr>
          <w:sz w:val="22"/>
          <w:szCs w:val="22"/>
        </w:rPr>
        <w:t xml:space="preserve"> se nastavení indikátorů a re-kontrolu zbývajících VZ. ZS MV překontroloval zbývající VZ v letech 2013 a 2014.</w:t>
      </w:r>
    </w:p>
    <w:p w:rsidR="00506E3A" w:rsidRPr="00A01A97" w:rsidRDefault="00506E3A" w:rsidP="00506E3A">
      <w:pPr>
        <w:jc w:val="both"/>
        <w:rPr>
          <w:b/>
          <w:sz w:val="22"/>
          <w:szCs w:val="22"/>
        </w:rPr>
      </w:pPr>
    </w:p>
    <w:p w:rsidR="00506E3A" w:rsidRPr="00A01A97" w:rsidRDefault="00506E3A" w:rsidP="00506E3A">
      <w:pPr>
        <w:jc w:val="both"/>
        <w:rPr>
          <w:sz w:val="22"/>
          <w:szCs w:val="22"/>
        </w:rPr>
      </w:pPr>
      <w:r w:rsidRPr="00A01A97">
        <w:rPr>
          <w:b/>
          <w:sz w:val="22"/>
          <w:szCs w:val="22"/>
        </w:rPr>
        <w:t xml:space="preserve">Za ZS </w:t>
      </w:r>
      <w:proofErr w:type="spellStart"/>
      <w:r w:rsidRPr="00A01A97">
        <w:rPr>
          <w:b/>
          <w:sz w:val="22"/>
          <w:szCs w:val="22"/>
        </w:rPr>
        <w:t>MZd</w:t>
      </w:r>
      <w:proofErr w:type="spellEnd"/>
      <w:r w:rsidRPr="00A01A97">
        <w:rPr>
          <w:sz w:val="22"/>
          <w:szCs w:val="22"/>
        </w:rPr>
        <w:t xml:space="preserve"> bylo identifikováno 1 zjištění se střední mírou závažnosti, které spočívá v chybovosti při zadávání veřejných zakázek. </w:t>
      </w:r>
    </w:p>
    <w:p w:rsidR="00506E3A" w:rsidRDefault="00506E3A" w:rsidP="00506E3A">
      <w:pPr>
        <w:jc w:val="both"/>
        <w:rPr>
          <w:sz w:val="22"/>
          <w:szCs w:val="22"/>
        </w:rPr>
      </w:pPr>
      <w:r w:rsidRPr="00A01A97">
        <w:rPr>
          <w:sz w:val="22"/>
          <w:szCs w:val="22"/>
        </w:rPr>
        <w:t xml:space="preserve">Vzhledem k opatřením, která přijal ZS </w:t>
      </w:r>
      <w:proofErr w:type="spellStart"/>
      <w:r w:rsidRPr="00A01A97">
        <w:rPr>
          <w:sz w:val="22"/>
          <w:szCs w:val="22"/>
        </w:rPr>
        <w:t>MZd</w:t>
      </w:r>
      <w:proofErr w:type="spellEnd"/>
      <w:r w:rsidRPr="00A01A97">
        <w:rPr>
          <w:sz w:val="22"/>
          <w:szCs w:val="22"/>
        </w:rPr>
        <w:t xml:space="preserve"> v roce 2011 (Příkaz ministra č. 5/2011 a aktualizace OM GG ZS </w:t>
      </w:r>
      <w:proofErr w:type="spellStart"/>
      <w:r w:rsidRPr="00A01A97">
        <w:rPr>
          <w:sz w:val="22"/>
          <w:szCs w:val="22"/>
        </w:rPr>
        <w:t>MZ</w:t>
      </w:r>
      <w:r>
        <w:rPr>
          <w:sz w:val="22"/>
          <w:szCs w:val="22"/>
        </w:rPr>
        <w:t>d</w:t>
      </w:r>
      <w:proofErr w:type="spellEnd"/>
      <w:r w:rsidRPr="00A01A97">
        <w:rPr>
          <w:sz w:val="22"/>
          <w:szCs w:val="22"/>
        </w:rPr>
        <w:t xml:space="preserve">) auditoři nenavrhli žádné doporučení, upozorňují však na riziko chybovosti při zadávání u veřejných zakázek. </w:t>
      </w:r>
    </w:p>
    <w:p w:rsidR="00383135" w:rsidRDefault="00383135" w:rsidP="00506E3A">
      <w:pPr>
        <w:jc w:val="both"/>
        <w:rPr>
          <w:sz w:val="22"/>
          <w:szCs w:val="22"/>
        </w:rPr>
      </w:pPr>
    </w:p>
    <w:p w:rsidR="00506E3A" w:rsidRPr="00D04425" w:rsidRDefault="00506E3A" w:rsidP="00506E3A">
      <w:pPr>
        <w:rPr>
          <w:b/>
          <w:i/>
          <w:sz w:val="22"/>
          <w:szCs w:val="22"/>
        </w:rPr>
      </w:pPr>
      <w:r w:rsidRPr="00D04425">
        <w:rPr>
          <w:b/>
          <w:i/>
          <w:sz w:val="22"/>
          <w:szCs w:val="22"/>
        </w:rPr>
        <w:t xml:space="preserve">Mimořádný audit zdravotnictví č. AO/2014/SM/05-IOP </w:t>
      </w:r>
    </w:p>
    <w:p w:rsidR="00506E3A" w:rsidRPr="00F00152" w:rsidRDefault="00506E3A" w:rsidP="00506E3A">
      <w:pPr>
        <w:jc w:val="both"/>
        <w:rPr>
          <w:sz w:val="22"/>
          <w:szCs w:val="22"/>
        </w:rPr>
      </w:pPr>
      <w:r w:rsidRPr="00C05759">
        <w:rPr>
          <w:sz w:val="22"/>
          <w:szCs w:val="22"/>
        </w:rPr>
        <w:t>Předmět auditu</w:t>
      </w:r>
      <w:r w:rsidRPr="00F00152">
        <w:rPr>
          <w:sz w:val="22"/>
          <w:szCs w:val="22"/>
        </w:rPr>
        <w:t>:</w:t>
      </w:r>
      <w:r w:rsidRPr="00F00152">
        <w:rPr>
          <w:b/>
          <w:sz w:val="22"/>
          <w:szCs w:val="22"/>
        </w:rPr>
        <w:t xml:space="preserve"> </w:t>
      </w:r>
      <w:r w:rsidRPr="00F00152">
        <w:rPr>
          <w:sz w:val="22"/>
          <w:szCs w:val="22"/>
        </w:rPr>
        <w:t xml:space="preserve">Cílem auditu systému bylo prověřit čerpání finančních prostředků z fondů EU na zdravotnickou techniku v IOP v programovém období 2007 – 2013 a ověřit aspekty způsobilosti operací </w:t>
      </w:r>
      <w:r>
        <w:rPr>
          <w:sz w:val="22"/>
          <w:szCs w:val="22"/>
        </w:rPr>
        <w:t>a</w:t>
      </w:r>
      <w:r w:rsidRPr="00F00152">
        <w:rPr>
          <w:sz w:val="22"/>
          <w:szCs w:val="22"/>
        </w:rPr>
        <w:t xml:space="preserve"> postupů zadávání VZ. Audit byl součástí horizontálního auditu systému pro ověření čerpání finančních prostředků z fondů EU na zdravotnickou techniku na vybraný</w:t>
      </w:r>
      <w:r w:rsidRPr="00825647">
        <w:rPr>
          <w:sz w:val="22"/>
          <w:szCs w:val="22"/>
        </w:rPr>
        <w:t>ch operačních programech. Audit zaměřený na IOP byl dokonče</w:t>
      </w:r>
      <w:r w:rsidRPr="00F00152">
        <w:rPr>
          <w:sz w:val="22"/>
          <w:szCs w:val="22"/>
        </w:rPr>
        <w:t>n dne 19. 12. 2014.</w:t>
      </w:r>
    </w:p>
    <w:p w:rsidR="00506E3A" w:rsidRPr="00F00152" w:rsidRDefault="00506E3A" w:rsidP="00506E3A">
      <w:pPr>
        <w:jc w:val="both"/>
        <w:rPr>
          <w:sz w:val="22"/>
          <w:szCs w:val="22"/>
        </w:rPr>
      </w:pPr>
    </w:p>
    <w:p w:rsidR="00506E3A" w:rsidRPr="00F00152" w:rsidRDefault="00506E3A" w:rsidP="00506E3A">
      <w:pPr>
        <w:jc w:val="both"/>
        <w:rPr>
          <w:sz w:val="22"/>
          <w:szCs w:val="22"/>
        </w:rPr>
      </w:pPr>
      <w:r w:rsidRPr="00C05759">
        <w:rPr>
          <w:sz w:val="22"/>
          <w:szCs w:val="22"/>
        </w:rPr>
        <w:t>Zjištění z auditu</w:t>
      </w:r>
      <w:r w:rsidRPr="00F00152">
        <w:rPr>
          <w:sz w:val="22"/>
          <w:szCs w:val="22"/>
        </w:rPr>
        <w:t xml:space="preserve">: V průběhu auditu byla identifikována 3 systémová zjištění, z toho 1 s vysokou mírou závažnosti a </w:t>
      </w:r>
      <w:r w:rsidR="007C6C33">
        <w:rPr>
          <w:sz w:val="22"/>
          <w:szCs w:val="22"/>
        </w:rPr>
        <w:t>2</w:t>
      </w:r>
      <w:r w:rsidR="007C6C33" w:rsidRPr="00F00152">
        <w:rPr>
          <w:sz w:val="22"/>
          <w:szCs w:val="22"/>
        </w:rPr>
        <w:t xml:space="preserve"> </w:t>
      </w:r>
      <w:r w:rsidRPr="00F00152">
        <w:rPr>
          <w:sz w:val="22"/>
          <w:szCs w:val="22"/>
        </w:rPr>
        <w:t>se střední mírou závažnosti:</w:t>
      </w:r>
    </w:p>
    <w:p w:rsidR="00506E3A" w:rsidRPr="00F00152" w:rsidRDefault="00506E3A" w:rsidP="00506E3A">
      <w:pPr>
        <w:pStyle w:val="Odstavecseseznamem"/>
        <w:numPr>
          <w:ilvl w:val="0"/>
          <w:numId w:val="39"/>
        </w:numPr>
        <w:jc w:val="both"/>
        <w:rPr>
          <w:sz w:val="22"/>
          <w:szCs w:val="22"/>
        </w:rPr>
      </w:pPr>
      <w:r w:rsidRPr="00825647">
        <w:rPr>
          <w:sz w:val="22"/>
          <w:szCs w:val="22"/>
        </w:rPr>
        <w:t>selhání a nedostatečnost kontrolních mechanismů poskytovatele dotace v rámci procesu hod</w:t>
      </w:r>
      <w:r w:rsidRPr="00F00152">
        <w:rPr>
          <w:sz w:val="22"/>
          <w:szCs w:val="22"/>
        </w:rPr>
        <w:t>nocení a schvalování projektu a v procesu administrativních a/nebo kontrol na místě z pohledu dodržování pravidel zadávání VZ v oblasti intervence 3.2a IOP s dopadem na VZ vyhlašované před 31. 1. 2011;</w:t>
      </w:r>
    </w:p>
    <w:p w:rsidR="00506E3A" w:rsidRPr="00F00152" w:rsidRDefault="00506E3A" w:rsidP="00506E3A">
      <w:pPr>
        <w:pStyle w:val="Odstavecseseznamem"/>
        <w:numPr>
          <w:ilvl w:val="0"/>
          <w:numId w:val="39"/>
        </w:numPr>
        <w:jc w:val="both"/>
        <w:rPr>
          <w:sz w:val="22"/>
          <w:szCs w:val="22"/>
        </w:rPr>
      </w:pPr>
      <w:r w:rsidRPr="00F00152">
        <w:rPr>
          <w:sz w:val="22"/>
          <w:szCs w:val="22"/>
        </w:rPr>
        <w:t>nedostatečné vedení dokumentace a informací o realizovaných projektech a jejich vyhodnocování pro podporu řízení oblasti intervence 3.2 IOP a souvisejících řízení rizik;</w:t>
      </w:r>
    </w:p>
    <w:p w:rsidR="00506E3A" w:rsidRPr="00F00152" w:rsidRDefault="00506E3A" w:rsidP="00506E3A">
      <w:pPr>
        <w:pStyle w:val="Odstavecseseznamem"/>
        <w:numPr>
          <w:ilvl w:val="0"/>
          <w:numId w:val="39"/>
        </w:numPr>
        <w:jc w:val="both"/>
        <w:rPr>
          <w:sz w:val="22"/>
          <w:szCs w:val="22"/>
        </w:rPr>
      </w:pPr>
      <w:r w:rsidRPr="00F00152">
        <w:rPr>
          <w:sz w:val="22"/>
          <w:szCs w:val="22"/>
        </w:rPr>
        <w:t>nedostatečná koordinace v oblasti pořizování zdravotnické techniky v rámci intervence 3.2 IOP s ostatními operačními programy Národního strategického referenčního rámce zaměřených na stejnou oblast.</w:t>
      </w:r>
    </w:p>
    <w:p w:rsidR="00506E3A" w:rsidRPr="00F00152" w:rsidRDefault="00506E3A" w:rsidP="00506E3A">
      <w:pPr>
        <w:jc w:val="both"/>
        <w:rPr>
          <w:sz w:val="22"/>
          <w:szCs w:val="22"/>
        </w:rPr>
      </w:pPr>
    </w:p>
    <w:p w:rsidR="00506E3A" w:rsidRPr="00A01A97" w:rsidRDefault="00506E3A" w:rsidP="00506E3A">
      <w:pPr>
        <w:jc w:val="both"/>
        <w:rPr>
          <w:sz w:val="22"/>
          <w:szCs w:val="22"/>
        </w:rPr>
      </w:pPr>
      <w:r w:rsidRPr="00A01A97">
        <w:rPr>
          <w:sz w:val="22"/>
          <w:szCs w:val="22"/>
        </w:rPr>
        <w:t>Pro audit operací bylo do vzorku vybráno 20 projektů, z </w:t>
      </w:r>
      <w:r>
        <w:rPr>
          <w:sz w:val="22"/>
          <w:szCs w:val="22"/>
        </w:rPr>
        <w:t>nich</w:t>
      </w:r>
      <w:r w:rsidRPr="00A01A97">
        <w:rPr>
          <w:sz w:val="22"/>
          <w:szCs w:val="22"/>
        </w:rPr>
        <w:t xml:space="preserve"> u 14 projektů ze vzorku byla identifikována zjištění:</w:t>
      </w:r>
    </w:p>
    <w:p w:rsidR="00506E3A" w:rsidRPr="00A01A97" w:rsidRDefault="00506E3A" w:rsidP="00506E3A">
      <w:pPr>
        <w:pStyle w:val="Odstavecseseznamem"/>
        <w:numPr>
          <w:ilvl w:val="0"/>
          <w:numId w:val="39"/>
        </w:numPr>
        <w:jc w:val="both"/>
        <w:rPr>
          <w:sz w:val="22"/>
          <w:szCs w:val="22"/>
        </w:rPr>
      </w:pPr>
      <w:r w:rsidRPr="00A01A97">
        <w:rPr>
          <w:sz w:val="22"/>
          <w:szCs w:val="22"/>
        </w:rPr>
        <w:t xml:space="preserve">zjištění s potencionálním ohrožením finančních prostředků EU – cen zdravotnických přístrojů </w:t>
      </w:r>
      <w:r>
        <w:rPr>
          <w:sz w:val="22"/>
          <w:szCs w:val="22"/>
        </w:rPr>
        <w:br/>
      </w:r>
      <w:r w:rsidRPr="00A01A97">
        <w:rPr>
          <w:sz w:val="22"/>
          <w:szCs w:val="22"/>
        </w:rPr>
        <w:t>a nehospodárného vynakládání finančních prostředků;</w:t>
      </w:r>
    </w:p>
    <w:p w:rsidR="00506E3A" w:rsidRPr="00A01A97" w:rsidRDefault="00506E3A" w:rsidP="00506E3A">
      <w:pPr>
        <w:pStyle w:val="Odstavecseseznamem"/>
        <w:numPr>
          <w:ilvl w:val="0"/>
          <w:numId w:val="39"/>
        </w:numPr>
        <w:jc w:val="both"/>
        <w:rPr>
          <w:sz w:val="22"/>
          <w:szCs w:val="22"/>
        </w:rPr>
      </w:pPr>
      <w:r w:rsidRPr="00A01A97">
        <w:rPr>
          <w:sz w:val="22"/>
          <w:szCs w:val="22"/>
        </w:rPr>
        <w:t>nedodržení stanovených postupů pro zdávání VZ s finančním dopadem na způsobilé výdaje projektů;</w:t>
      </w:r>
    </w:p>
    <w:p w:rsidR="00506E3A" w:rsidRPr="00A01A97" w:rsidRDefault="00506E3A" w:rsidP="00506E3A">
      <w:pPr>
        <w:pStyle w:val="Odstavecseseznamem"/>
        <w:numPr>
          <w:ilvl w:val="0"/>
          <w:numId w:val="39"/>
        </w:numPr>
        <w:jc w:val="both"/>
        <w:rPr>
          <w:sz w:val="22"/>
          <w:szCs w:val="22"/>
        </w:rPr>
      </w:pPr>
      <w:r w:rsidRPr="00A01A97">
        <w:rPr>
          <w:sz w:val="22"/>
          <w:szCs w:val="22"/>
        </w:rPr>
        <w:t>zjištění formálního charakteru;</w:t>
      </w:r>
    </w:p>
    <w:p w:rsidR="00506E3A" w:rsidRPr="00A01A97" w:rsidRDefault="00506E3A" w:rsidP="00506E3A">
      <w:pPr>
        <w:pStyle w:val="Odstavecseseznamem"/>
        <w:numPr>
          <w:ilvl w:val="0"/>
          <w:numId w:val="39"/>
        </w:numPr>
        <w:jc w:val="both"/>
        <w:rPr>
          <w:b/>
          <w:sz w:val="22"/>
          <w:szCs w:val="22"/>
        </w:rPr>
      </w:pPr>
      <w:r w:rsidRPr="00A01A97">
        <w:rPr>
          <w:sz w:val="22"/>
          <w:szCs w:val="22"/>
        </w:rPr>
        <w:t xml:space="preserve">ostatní identifikovaná zjištění týkající se např. management projektu nebo chyb odhalených dřívějšími kontrolami ze strany jiných orgánů s finančním dopadem na způsobilé výdaje projektů. </w:t>
      </w:r>
    </w:p>
    <w:p w:rsidR="00506E3A" w:rsidRPr="00A01A97" w:rsidRDefault="00506E3A" w:rsidP="00506E3A">
      <w:pPr>
        <w:pStyle w:val="Odstavecseseznamem"/>
        <w:ind w:left="575"/>
        <w:jc w:val="both"/>
        <w:rPr>
          <w:b/>
          <w:sz w:val="22"/>
          <w:szCs w:val="22"/>
        </w:rPr>
      </w:pPr>
    </w:p>
    <w:p w:rsidR="00520FA4" w:rsidRDefault="00506E3A" w:rsidP="00506E3A">
      <w:pPr>
        <w:jc w:val="both"/>
        <w:rPr>
          <w:b/>
          <w:sz w:val="22"/>
          <w:szCs w:val="22"/>
        </w:rPr>
      </w:pPr>
      <w:r>
        <w:rPr>
          <w:sz w:val="22"/>
          <w:szCs w:val="22"/>
        </w:rPr>
        <w:t>V</w:t>
      </w:r>
      <w:r w:rsidRPr="00A01A97">
        <w:rPr>
          <w:sz w:val="22"/>
          <w:szCs w:val="22"/>
        </w:rPr>
        <w:t xml:space="preserve"> 10 projekt</w:t>
      </w:r>
      <w:r>
        <w:rPr>
          <w:sz w:val="22"/>
          <w:szCs w:val="22"/>
        </w:rPr>
        <w:t>ech</w:t>
      </w:r>
      <w:r w:rsidRPr="00A01A97">
        <w:rPr>
          <w:sz w:val="22"/>
          <w:szCs w:val="22"/>
        </w:rPr>
        <w:t xml:space="preserve"> ze vzorku, </w:t>
      </w:r>
      <w:r>
        <w:rPr>
          <w:sz w:val="22"/>
          <w:szCs w:val="22"/>
        </w:rPr>
        <w:t>ve</w:t>
      </w:r>
      <w:r w:rsidRPr="00A01A97">
        <w:rPr>
          <w:sz w:val="22"/>
          <w:szCs w:val="22"/>
        </w:rPr>
        <w:t xml:space="preserve"> </w:t>
      </w:r>
      <w:r>
        <w:rPr>
          <w:sz w:val="22"/>
          <w:szCs w:val="22"/>
        </w:rPr>
        <w:t>kterých</w:t>
      </w:r>
      <w:r w:rsidRPr="00A01A97">
        <w:rPr>
          <w:sz w:val="22"/>
          <w:szCs w:val="22"/>
        </w:rPr>
        <w:t xml:space="preserve"> byly VZ vyhlášeny před 31. 1. 2011, došlo k selhání </w:t>
      </w:r>
      <w:r>
        <w:rPr>
          <w:sz w:val="22"/>
          <w:szCs w:val="22"/>
        </w:rPr>
        <w:br/>
      </w:r>
      <w:r w:rsidRPr="00A01A97">
        <w:rPr>
          <w:sz w:val="22"/>
          <w:szCs w:val="22"/>
        </w:rPr>
        <w:t xml:space="preserve">a nedostatečnosti kontrolních mechanismů poskytovatele dotace v procesu hodnocení </w:t>
      </w:r>
      <w:r>
        <w:rPr>
          <w:sz w:val="22"/>
          <w:szCs w:val="22"/>
        </w:rPr>
        <w:br/>
      </w:r>
      <w:r w:rsidRPr="00A01A97">
        <w:rPr>
          <w:sz w:val="22"/>
          <w:szCs w:val="22"/>
        </w:rPr>
        <w:t>a schvalování projektu.</w:t>
      </w:r>
      <w:r w:rsidRPr="00A01A97">
        <w:rPr>
          <w:b/>
          <w:sz w:val="22"/>
          <w:szCs w:val="22"/>
        </w:rPr>
        <w:t xml:space="preserve"> </w:t>
      </w:r>
    </w:p>
    <w:p w:rsidR="00506E3A" w:rsidRPr="00A01A97" w:rsidRDefault="00506E3A" w:rsidP="00506E3A">
      <w:pPr>
        <w:jc w:val="both"/>
        <w:rPr>
          <w:sz w:val="22"/>
          <w:szCs w:val="22"/>
        </w:rPr>
      </w:pPr>
      <w:r w:rsidRPr="00A01A97">
        <w:rPr>
          <w:sz w:val="22"/>
          <w:szCs w:val="22"/>
        </w:rPr>
        <w:lastRenderedPageBreak/>
        <w:t xml:space="preserve">Při výběru projektů řídící a kontrolní systém nedostatečně vyhodnocoval hospodárnost předložených žádostí o </w:t>
      </w:r>
      <w:r>
        <w:rPr>
          <w:sz w:val="22"/>
          <w:szCs w:val="22"/>
        </w:rPr>
        <w:t>dotaci</w:t>
      </w:r>
      <w:r w:rsidRPr="00A01A97">
        <w:rPr>
          <w:sz w:val="22"/>
          <w:szCs w:val="22"/>
        </w:rPr>
        <w:t xml:space="preserve">. Byly identifikované nehospodárně využité prostředky ve výši 71 509 094,20 Kč z ověřovaných prostředků ve výši cca 1,2 mld. Kč. </w:t>
      </w:r>
    </w:p>
    <w:p w:rsidR="00506E3A" w:rsidRDefault="00506E3A" w:rsidP="00506E3A">
      <w:pPr>
        <w:jc w:val="both"/>
        <w:rPr>
          <w:sz w:val="22"/>
          <w:szCs w:val="22"/>
        </w:rPr>
      </w:pPr>
    </w:p>
    <w:p w:rsidR="00506E3A" w:rsidRPr="00A01A97" w:rsidRDefault="00506E3A" w:rsidP="00506E3A">
      <w:pPr>
        <w:jc w:val="both"/>
        <w:rPr>
          <w:b/>
          <w:sz w:val="22"/>
          <w:szCs w:val="22"/>
        </w:rPr>
      </w:pPr>
      <w:r>
        <w:rPr>
          <w:sz w:val="22"/>
          <w:szCs w:val="22"/>
        </w:rPr>
        <w:t>V</w:t>
      </w:r>
      <w:r w:rsidRPr="00A01A97">
        <w:rPr>
          <w:sz w:val="22"/>
          <w:szCs w:val="22"/>
        </w:rPr>
        <w:t xml:space="preserve"> 7 projekt</w:t>
      </w:r>
      <w:r>
        <w:rPr>
          <w:sz w:val="22"/>
          <w:szCs w:val="22"/>
        </w:rPr>
        <w:t>ech</w:t>
      </w:r>
      <w:r w:rsidRPr="00A01A97">
        <w:rPr>
          <w:sz w:val="22"/>
          <w:szCs w:val="22"/>
        </w:rPr>
        <w:t xml:space="preserve"> (v několika případech se jedná o projekty, u nichž byla identifikována </w:t>
      </w:r>
      <w:r w:rsidR="00650C68">
        <w:rPr>
          <w:sz w:val="22"/>
          <w:szCs w:val="22"/>
        </w:rPr>
        <w:br/>
      </w:r>
      <w:r w:rsidRPr="00A01A97">
        <w:rPr>
          <w:sz w:val="22"/>
          <w:szCs w:val="22"/>
        </w:rPr>
        <w:t xml:space="preserve">i nehospodárnost) byly identifikovány nezpůsobilé výdaje (potvrzené nesrovnalosti) za porušení pravidel veřejných zakázek nebo další porušení pravidel představují částku 40 343 166,48 Kč (3,3 %), přičemž za rizikové období (do 31. 1. 2011) představují částku 40 312 901,35 Kč (4,3 %). </w:t>
      </w:r>
    </w:p>
    <w:p w:rsidR="00506E3A" w:rsidRDefault="00506E3A" w:rsidP="00506E3A">
      <w:pPr>
        <w:jc w:val="both"/>
        <w:rPr>
          <w:sz w:val="22"/>
          <w:szCs w:val="22"/>
        </w:rPr>
      </w:pPr>
    </w:p>
    <w:p w:rsidR="00506E3A" w:rsidRDefault="00506E3A" w:rsidP="00506E3A">
      <w:pPr>
        <w:jc w:val="both"/>
        <w:rPr>
          <w:sz w:val="22"/>
          <w:szCs w:val="22"/>
        </w:rPr>
      </w:pPr>
      <w:r w:rsidRPr="00A01A97">
        <w:rPr>
          <w:sz w:val="22"/>
          <w:szCs w:val="22"/>
        </w:rPr>
        <w:t>Systém byl na základě těchto zjištění hodnocen v kategorii 3 (systém funguje částečně; jsou třeba zásadní zlepšení) před 31. 1. 2011 a v kategorii 2 (funguje, jsou třeba určitá zlepšení) po přijetí opatření po 31. 1. 2011.</w:t>
      </w:r>
    </w:p>
    <w:p w:rsidR="00506E3A" w:rsidRPr="00A01A97" w:rsidRDefault="00506E3A" w:rsidP="00506E3A">
      <w:pPr>
        <w:jc w:val="both"/>
        <w:rPr>
          <w:sz w:val="22"/>
          <w:szCs w:val="22"/>
        </w:rPr>
      </w:pPr>
    </w:p>
    <w:p w:rsidR="00FD23CF" w:rsidRDefault="00506E3A" w:rsidP="00B41FBD">
      <w:pPr>
        <w:pStyle w:val="Default"/>
        <w:jc w:val="both"/>
        <w:rPr>
          <w:color w:val="auto"/>
          <w:sz w:val="22"/>
          <w:szCs w:val="22"/>
        </w:rPr>
      </w:pPr>
      <w:r w:rsidRPr="00C05759">
        <w:rPr>
          <w:sz w:val="22"/>
          <w:szCs w:val="22"/>
        </w:rPr>
        <w:t>Nápravná opatření:</w:t>
      </w:r>
      <w:r w:rsidRPr="00977903">
        <w:rPr>
          <w:b/>
          <w:bCs/>
          <w:sz w:val="22"/>
          <w:szCs w:val="22"/>
        </w:rPr>
        <w:t xml:space="preserve"> </w:t>
      </w:r>
      <w:r w:rsidRPr="00977903">
        <w:rPr>
          <w:sz w:val="22"/>
          <w:szCs w:val="22"/>
        </w:rPr>
        <w:t xml:space="preserve">Auditoři stanovili </w:t>
      </w:r>
      <w:r w:rsidRPr="00A01A97">
        <w:rPr>
          <w:sz w:val="22"/>
          <w:szCs w:val="22"/>
        </w:rPr>
        <w:t>uplatnění plošné finanční korekce ve výši 5</w:t>
      </w:r>
      <w:r>
        <w:rPr>
          <w:sz w:val="22"/>
          <w:szCs w:val="22"/>
        </w:rPr>
        <w:t xml:space="preserve"> </w:t>
      </w:r>
      <w:r w:rsidRPr="00A01A97">
        <w:rPr>
          <w:sz w:val="22"/>
          <w:szCs w:val="22"/>
        </w:rPr>
        <w:t xml:space="preserve">% na všechny projekty související se zadáním VZ před 31. 1. 2011 a uplatnění individuální finanční opravy za </w:t>
      </w:r>
      <w:r w:rsidR="00650C68">
        <w:rPr>
          <w:sz w:val="22"/>
          <w:szCs w:val="22"/>
        </w:rPr>
        <w:br/>
      </w:r>
      <w:r w:rsidRPr="00A01A97">
        <w:rPr>
          <w:sz w:val="22"/>
          <w:szCs w:val="22"/>
        </w:rPr>
        <w:t xml:space="preserve">7 identifikovaných pochybení v oblasti veřejných zakázek. </w:t>
      </w:r>
      <w:r w:rsidR="00B41FBD">
        <w:rPr>
          <w:sz w:val="22"/>
          <w:szCs w:val="22"/>
        </w:rPr>
        <w:t>A</w:t>
      </w:r>
      <w:r w:rsidRPr="00A01A97">
        <w:rPr>
          <w:sz w:val="22"/>
          <w:szCs w:val="22"/>
        </w:rPr>
        <w:t xml:space="preserve">uditoři </w:t>
      </w:r>
      <w:r w:rsidR="00B41FBD">
        <w:rPr>
          <w:sz w:val="22"/>
          <w:szCs w:val="22"/>
        </w:rPr>
        <w:t xml:space="preserve">se </w:t>
      </w:r>
      <w:r w:rsidRPr="00A01A97">
        <w:rPr>
          <w:sz w:val="22"/>
          <w:szCs w:val="22"/>
        </w:rPr>
        <w:t xml:space="preserve">ztotožnili s argumentem ŘO, že není nutné plošnou finanční korekci uplatňovat, jelikož selhání řídícího a kontrolního systému již bylo popsáno ve Výročních kontrolních zprávách za roky 2011 a 2012 a plošná finanční korekce byla uložena, respektive selhání bylo promítnuto do víceleté chybovosti. Individuální korekce za pochybení při zadávání veřejných zakázek již byly </w:t>
      </w:r>
      <w:proofErr w:type="gramStart"/>
      <w:r w:rsidRPr="00A01A97">
        <w:rPr>
          <w:sz w:val="22"/>
          <w:szCs w:val="22"/>
        </w:rPr>
        <w:t>zaúčtovány v IS</w:t>
      </w:r>
      <w:proofErr w:type="gramEnd"/>
      <w:r w:rsidRPr="00A01A97">
        <w:rPr>
          <w:sz w:val="22"/>
          <w:szCs w:val="22"/>
        </w:rPr>
        <w:t xml:space="preserve"> VIOLA.</w:t>
      </w:r>
      <w:r w:rsidR="00B41FBD">
        <w:rPr>
          <w:sz w:val="22"/>
          <w:szCs w:val="22"/>
        </w:rPr>
        <w:t xml:space="preserve"> </w:t>
      </w:r>
      <w:r w:rsidR="00B41FBD" w:rsidRPr="00A9007D">
        <w:rPr>
          <w:color w:val="auto"/>
          <w:sz w:val="22"/>
          <w:szCs w:val="22"/>
        </w:rPr>
        <w:t xml:space="preserve">Zpráva z auditu byla zaslána k odsouhlasení EK, která akceptovala 5% plošnou korekci na projekty s veřejnými zakázkami schválenými do 31. 1. 2011, nicméně plně neakceptovala způsob vypořádání korekce. </w:t>
      </w:r>
    </w:p>
    <w:p w:rsidR="00B41FBD" w:rsidRPr="00A9007D" w:rsidRDefault="00B41FBD" w:rsidP="00B41FBD">
      <w:pPr>
        <w:pStyle w:val="Default"/>
        <w:jc w:val="both"/>
        <w:rPr>
          <w:color w:val="auto"/>
          <w:sz w:val="22"/>
          <w:szCs w:val="22"/>
        </w:rPr>
      </w:pPr>
      <w:r w:rsidRPr="00A9007D">
        <w:rPr>
          <w:color w:val="auto"/>
          <w:sz w:val="22"/>
          <w:szCs w:val="22"/>
        </w:rPr>
        <w:t xml:space="preserve">V současné době proto probíhají jednání dotčených subjektů (AO, PCO, ŘO, ZS) </w:t>
      </w:r>
      <w:r>
        <w:rPr>
          <w:color w:val="auto"/>
          <w:sz w:val="22"/>
          <w:szCs w:val="22"/>
        </w:rPr>
        <w:br/>
      </w:r>
      <w:r w:rsidRPr="00A9007D">
        <w:rPr>
          <w:color w:val="auto"/>
          <w:sz w:val="22"/>
          <w:szCs w:val="22"/>
        </w:rPr>
        <w:t>o vypořádání připomínek EK.</w:t>
      </w:r>
    </w:p>
    <w:p w:rsidR="00506E3A" w:rsidRPr="00A01A97" w:rsidRDefault="00506E3A" w:rsidP="00506E3A">
      <w:pPr>
        <w:jc w:val="both"/>
        <w:rPr>
          <w:sz w:val="22"/>
          <w:szCs w:val="22"/>
        </w:rPr>
      </w:pPr>
    </w:p>
    <w:p w:rsidR="00506E3A" w:rsidRPr="00117081" w:rsidRDefault="00506E3A" w:rsidP="00506E3A">
      <w:pPr>
        <w:rPr>
          <w:b/>
          <w:i/>
          <w:sz w:val="22"/>
          <w:szCs w:val="22"/>
        </w:rPr>
      </w:pPr>
      <w:r w:rsidRPr="00117081">
        <w:rPr>
          <w:b/>
          <w:i/>
          <w:sz w:val="22"/>
          <w:szCs w:val="22"/>
        </w:rPr>
        <w:t>Audity operací 2014</w:t>
      </w:r>
    </w:p>
    <w:p w:rsidR="00BB7EBD" w:rsidRDefault="00506E3A" w:rsidP="001F3757">
      <w:pPr>
        <w:jc w:val="both"/>
        <w:rPr>
          <w:sz w:val="22"/>
          <w:szCs w:val="22"/>
        </w:rPr>
      </w:pPr>
      <w:r w:rsidRPr="00A01A97">
        <w:rPr>
          <w:sz w:val="22"/>
          <w:szCs w:val="22"/>
        </w:rPr>
        <w:t xml:space="preserve">Celkem bylo </w:t>
      </w:r>
      <w:r w:rsidR="003F1EB2">
        <w:rPr>
          <w:sz w:val="22"/>
          <w:szCs w:val="22"/>
        </w:rPr>
        <w:t>předmětem řádného auditu operace</w:t>
      </w:r>
      <w:r w:rsidR="003F1EB2" w:rsidRPr="00A01A97">
        <w:rPr>
          <w:sz w:val="22"/>
          <w:szCs w:val="22"/>
        </w:rPr>
        <w:t xml:space="preserve"> </w:t>
      </w:r>
      <w:r w:rsidRPr="00A01A97">
        <w:rPr>
          <w:sz w:val="22"/>
          <w:szCs w:val="22"/>
        </w:rPr>
        <w:t xml:space="preserve">67 projektů. </w:t>
      </w:r>
      <w:r>
        <w:rPr>
          <w:sz w:val="22"/>
          <w:szCs w:val="22"/>
        </w:rPr>
        <w:t>Ve</w:t>
      </w:r>
      <w:r w:rsidRPr="00A01A97">
        <w:rPr>
          <w:sz w:val="22"/>
          <w:szCs w:val="22"/>
        </w:rPr>
        <w:t xml:space="preserve">  </w:t>
      </w:r>
      <w:r w:rsidR="00FB0655">
        <w:rPr>
          <w:sz w:val="22"/>
          <w:szCs w:val="22"/>
        </w:rPr>
        <w:t>22</w:t>
      </w:r>
      <w:r w:rsidR="00CF5042" w:rsidRPr="00A01A97">
        <w:rPr>
          <w:sz w:val="22"/>
          <w:szCs w:val="22"/>
        </w:rPr>
        <w:t xml:space="preserve"> </w:t>
      </w:r>
      <w:r w:rsidRPr="00A01A97">
        <w:rPr>
          <w:sz w:val="22"/>
          <w:szCs w:val="22"/>
        </w:rPr>
        <w:t>audit</w:t>
      </w:r>
      <w:r>
        <w:rPr>
          <w:sz w:val="22"/>
          <w:szCs w:val="22"/>
        </w:rPr>
        <w:t>ech</w:t>
      </w:r>
      <w:r w:rsidRPr="00A01A97">
        <w:rPr>
          <w:sz w:val="22"/>
          <w:szCs w:val="22"/>
        </w:rPr>
        <w:t xml:space="preserve"> operací byla vyčíslena finanční korekce. Celková chybovost </w:t>
      </w:r>
      <w:r w:rsidR="00BD5868" w:rsidRPr="00A9007D">
        <w:rPr>
          <w:sz w:val="22"/>
          <w:szCs w:val="22"/>
        </w:rPr>
        <w:t>bude známa</w:t>
      </w:r>
      <w:r w:rsidR="00BD5868">
        <w:rPr>
          <w:sz w:val="22"/>
          <w:szCs w:val="22"/>
        </w:rPr>
        <w:t>, až EK</w:t>
      </w:r>
      <w:r w:rsidR="00BD5868" w:rsidRPr="00A9007D">
        <w:rPr>
          <w:sz w:val="22"/>
          <w:szCs w:val="22"/>
        </w:rPr>
        <w:t xml:space="preserve"> odsouhlasí VKZ 2014.</w:t>
      </w:r>
      <w:r w:rsidR="00BD5868">
        <w:rPr>
          <w:sz w:val="22"/>
          <w:szCs w:val="22"/>
        </w:rPr>
        <w:t xml:space="preserve"> Podrobnosti jsou uvedeny níže v kapitole 2.3.3 Řešení chybovosti IOP ve Výroční kontrolní zprávě za rok 2014.</w:t>
      </w:r>
    </w:p>
    <w:p w:rsidR="00543703" w:rsidRDefault="00543703" w:rsidP="001F3757">
      <w:pPr>
        <w:jc w:val="both"/>
        <w:rPr>
          <w:sz w:val="22"/>
          <w:szCs w:val="22"/>
        </w:rPr>
      </w:pPr>
    </w:p>
    <w:p w:rsidR="003F1EB2" w:rsidRPr="00D04425" w:rsidRDefault="003F1EB2" w:rsidP="001F3757">
      <w:pPr>
        <w:jc w:val="both"/>
        <w:rPr>
          <w:b/>
          <w:i/>
          <w:sz w:val="22"/>
          <w:szCs w:val="22"/>
        </w:rPr>
      </w:pPr>
      <w:r>
        <w:rPr>
          <w:sz w:val="22"/>
          <w:szCs w:val="22"/>
        </w:rPr>
        <w:t xml:space="preserve">Dále Auditní orgán MF provedl 20 mimořádných auditů operací v rámci </w:t>
      </w:r>
      <w:r w:rsidR="00BB7EBD">
        <w:rPr>
          <w:sz w:val="22"/>
          <w:szCs w:val="22"/>
        </w:rPr>
        <w:t>h</w:t>
      </w:r>
      <w:r>
        <w:rPr>
          <w:sz w:val="22"/>
          <w:szCs w:val="22"/>
        </w:rPr>
        <w:t xml:space="preserve">orizontálního auditu zaměřeného na pořízení zdravotnické techniky. Podrobnosti k těmto auditům jsou uvedeny </w:t>
      </w:r>
      <w:r w:rsidR="00383135">
        <w:rPr>
          <w:sz w:val="22"/>
          <w:szCs w:val="22"/>
        </w:rPr>
        <w:br/>
      </w:r>
      <w:r>
        <w:rPr>
          <w:sz w:val="22"/>
          <w:szCs w:val="22"/>
        </w:rPr>
        <w:t>v</w:t>
      </w:r>
      <w:r w:rsidR="00BB7EBD">
        <w:rPr>
          <w:sz w:val="22"/>
          <w:szCs w:val="22"/>
        </w:rPr>
        <w:t xml:space="preserve"> předchozí</w:t>
      </w:r>
      <w:r>
        <w:rPr>
          <w:sz w:val="22"/>
          <w:szCs w:val="22"/>
        </w:rPr>
        <w:t> </w:t>
      </w:r>
      <w:r w:rsidR="00BB7EBD">
        <w:rPr>
          <w:sz w:val="22"/>
          <w:szCs w:val="22"/>
        </w:rPr>
        <w:t>sub</w:t>
      </w:r>
      <w:r>
        <w:rPr>
          <w:sz w:val="22"/>
          <w:szCs w:val="22"/>
        </w:rPr>
        <w:t>kapitole</w:t>
      </w:r>
      <w:r w:rsidR="00BB7EBD">
        <w:rPr>
          <w:sz w:val="22"/>
          <w:szCs w:val="22"/>
        </w:rPr>
        <w:t xml:space="preserve"> s názvem</w:t>
      </w:r>
      <w:r>
        <w:rPr>
          <w:sz w:val="22"/>
          <w:szCs w:val="22"/>
        </w:rPr>
        <w:t xml:space="preserve"> </w:t>
      </w:r>
      <w:r w:rsidRPr="001F3757">
        <w:rPr>
          <w:i/>
          <w:sz w:val="22"/>
          <w:szCs w:val="22"/>
        </w:rPr>
        <w:t>Mimořádný audit zdravotnictví č. AO/2014/SM/05-IOP</w:t>
      </w:r>
      <w:r>
        <w:rPr>
          <w:sz w:val="22"/>
          <w:szCs w:val="22"/>
        </w:rPr>
        <w:t>.</w:t>
      </w:r>
      <w:r w:rsidRPr="00D04425">
        <w:rPr>
          <w:b/>
          <w:i/>
          <w:sz w:val="22"/>
          <w:szCs w:val="22"/>
        </w:rPr>
        <w:t xml:space="preserve"> </w:t>
      </w:r>
    </w:p>
    <w:p w:rsidR="00CC54CE" w:rsidRDefault="00CC54CE" w:rsidP="00856CF0">
      <w:pPr>
        <w:jc w:val="both"/>
        <w:rPr>
          <w:sz w:val="22"/>
          <w:szCs w:val="22"/>
        </w:rPr>
      </w:pPr>
    </w:p>
    <w:p w:rsidR="00015167" w:rsidRPr="000F2A6C" w:rsidRDefault="00015167" w:rsidP="000F2A6C">
      <w:pPr>
        <w:pStyle w:val="Nadpis3"/>
      </w:pPr>
      <w:bookmarkStart w:id="74" w:name="_Toc402516847"/>
      <w:bookmarkStart w:id="75" w:name="_Toc417024845"/>
      <w:bookmarkStart w:id="76" w:name="_Toc402516854"/>
      <w:r w:rsidRPr="000F2A6C">
        <w:t>2.3.2 Řešení chybovosti IOP ve Výroční kontrolní zprávě za rok 2013</w:t>
      </w:r>
      <w:bookmarkEnd w:id="74"/>
      <w:bookmarkEnd w:id="75"/>
    </w:p>
    <w:p w:rsidR="00015167" w:rsidRDefault="00015167" w:rsidP="00015167">
      <w:pPr>
        <w:jc w:val="both"/>
        <w:rPr>
          <w:sz w:val="22"/>
          <w:szCs w:val="22"/>
        </w:rPr>
      </w:pPr>
      <w:r w:rsidRPr="00535442">
        <w:rPr>
          <w:sz w:val="22"/>
          <w:szCs w:val="22"/>
        </w:rPr>
        <w:t>Auditoři AO identifikovali individuální chyby ve Výroční kontrolní zprávě za rok 2013 představující 2,46 % z celkových auditovaných výdajů a na základě tohoto údaje stanovili extrapolovanou chybovost.</w:t>
      </w:r>
    </w:p>
    <w:p w:rsidR="00C7604A" w:rsidRDefault="00900DBE" w:rsidP="000F2A6C">
      <w:pPr>
        <w:jc w:val="both"/>
        <w:rPr>
          <w:sz w:val="22"/>
          <w:szCs w:val="22"/>
        </w:rPr>
      </w:pPr>
      <w:r w:rsidRPr="00535442">
        <w:rPr>
          <w:sz w:val="22"/>
          <w:szCs w:val="22"/>
        </w:rPr>
        <w:t xml:space="preserve">V období od 7. – 11. dubna 2014 vykonali pracovníci Evropské komise (DG REGIO) auditní misi </w:t>
      </w:r>
      <w:r>
        <w:rPr>
          <w:sz w:val="22"/>
          <w:szCs w:val="22"/>
        </w:rPr>
        <w:br/>
      </w:r>
      <w:r w:rsidRPr="00535442">
        <w:rPr>
          <w:sz w:val="22"/>
          <w:szCs w:val="22"/>
        </w:rPr>
        <w:t>č. 2013/CZ/REGIO/C4/1332/1 zaměřenou na ověření činnosti Auditního orgánu MF ČR. Audit probíhal na vzorku 12 projektů</w:t>
      </w:r>
      <w:r>
        <w:rPr>
          <w:sz w:val="22"/>
          <w:szCs w:val="22"/>
        </w:rPr>
        <w:t>, které</w:t>
      </w:r>
      <w:r w:rsidRPr="00535442">
        <w:rPr>
          <w:sz w:val="22"/>
          <w:szCs w:val="22"/>
        </w:rPr>
        <w:t xml:space="preserve"> auditova</w:t>
      </w:r>
      <w:r>
        <w:rPr>
          <w:sz w:val="22"/>
          <w:szCs w:val="22"/>
        </w:rPr>
        <w:t>l</w:t>
      </w:r>
      <w:r w:rsidRPr="00535442">
        <w:rPr>
          <w:sz w:val="22"/>
          <w:szCs w:val="22"/>
        </w:rPr>
        <w:t xml:space="preserve"> AO v roce 2013. ŘO IOP obdržel návrh zprávy v českém jazyce dne 11. 8. 2014 a do měsíce vypracoval ve spolupráci s příjemci a zprostředkujícím subjektem námitky. Pokud auditoři EK uzavřou svou misi s</w:t>
      </w:r>
      <w:r>
        <w:rPr>
          <w:sz w:val="22"/>
          <w:szCs w:val="22"/>
        </w:rPr>
        <w:t>e</w:t>
      </w:r>
      <w:r w:rsidRPr="00535442">
        <w:rPr>
          <w:sz w:val="22"/>
          <w:szCs w:val="22"/>
        </w:rPr>
        <w:t> </w:t>
      </w:r>
      <w:r>
        <w:rPr>
          <w:sz w:val="22"/>
          <w:szCs w:val="22"/>
        </w:rPr>
        <w:t>z</w:t>
      </w:r>
      <w:r w:rsidRPr="00535442">
        <w:rPr>
          <w:sz w:val="22"/>
          <w:szCs w:val="22"/>
        </w:rPr>
        <w:t>výšením částek nezpůsobilých výdajů, může to mít vliv na celkovou chybovost IOP. Jedním z</w:t>
      </w:r>
      <w:r>
        <w:rPr>
          <w:sz w:val="22"/>
          <w:szCs w:val="22"/>
        </w:rPr>
        <w:t> </w:t>
      </w:r>
      <w:r w:rsidRPr="00535442">
        <w:rPr>
          <w:sz w:val="22"/>
          <w:szCs w:val="22"/>
        </w:rPr>
        <w:t>opatření</w:t>
      </w:r>
      <w:r>
        <w:rPr>
          <w:sz w:val="22"/>
          <w:szCs w:val="22"/>
        </w:rPr>
        <w:t>,</w:t>
      </w:r>
      <w:r w:rsidRPr="00535442">
        <w:rPr>
          <w:sz w:val="22"/>
          <w:szCs w:val="22"/>
        </w:rPr>
        <w:t xml:space="preserve"> vyplývající</w:t>
      </w:r>
      <w:r>
        <w:rPr>
          <w:sz w:val="22"/>
          <w:szCs w:val="22"/>
        </w:rPr>
        <w:t>ch</w:t>
      </w:r>
      <w:r w:rsidRPr="00535442">
        <w:rPr>
          <w:sz w:val="22"/>
          <w:szCs w:val="22"/>
        </w:rPr>
        <w:t xml:space="preserve"> z této auditní mise</w:t>
      </w:r>
      <w:r>
        <w:rPr>
          <w:sz w:val="22"/>
          <w:szCs w:val="22"/>
        </w:rPr>
        <w:t>,</w:t>
      </w:r>
      <w:r w:rsidRPr="00535442">
        <w:rPr>
          <w:sz w:val="22"/>
          <w:szCs w:val="22"/>
        </w:rPr>
        <w:t xml:space="preserve"> je provedení auditu IT v roce 2015.  Audit EK nebyl ke dni 3</w:t>
      </w:r>
      <w:r>
        <w:rPr>
          <w:sz w:val="22"/>
          <w:szCs w:val="22"/>
        </w:rPr>
        <w:t>1</w:t>
      </w:r>
      <w:r w:rsidRPr="00535442">
        <w:rPr>
          <w:sz w:val="22"/>
          <w:szCs w:val="22"/>
        </w:rPr>
        <w:t xml:space="preserve">. </w:t>
      </w:r>
      <w:r>
        <w:rPr>
          <w:sz w:val="22"/>
          <w:szCs w:val="22"/>
        </w:rPr>
        <w:t>12</w:t>
      </w:r>
      <w:r w:rsidRPr="00535442">
        <w:rPr>
          <w:sz w:val="22"/>
          <w:szCs w:val="22"/>
        </w:rPr>
        <w:t>. 2014 ukončen.</w:t>
      </w:r>
    </w:p>
    <w:p w:rsidR="00CC54CE" w:rsidRDefault="00CC54CE" w:rsidP="000F2A6C">
      <w:pPr>
        <w:jc w:val="both"/>
        <w:rPr>
          <w:sz w:val="22"/>
          <w:szCs w:val="22"/>
        </w:rPr>
      </w:pPr>
    </w:p>
    <w:p w:rsidR="00A9007D" w:rsidRDefault="00A9007D" w:rsidP="007E21B4">
      <w:pPr>
        <w:pStyle w:val="Nadpis3"/>
      </w:pPr>
      <w:bookmarkStart w:id="77" w:name="_Toc417024846"/>
      <w:r>
        <w:t xml:space="preserve">2.3.3 </w:t>
      </w:r>
      <w:r w:rsidRPr="00A9007D">
        <w:t>Řešení chybovosti IOP ve Výroční kontrolní zpráv</w:t>
      </w:r>
      <w:r>
        <w:t>ě</w:t>
      </w:r>
      <w:r w:rsidRPr="00A9007D">
        <w:t xml:space="preserve"> za rok 2014</w:t>
      </w:r>
      <w:bookmarkEnd w:id="77"/>
    </w:p>
    <w:p w:rsidR="00CC54CE" w:rsidRPr="00FD23CF" w:rsidRDefault="00900DBE" w:rsidP="000F2A6C">
      <w:pPr>
        <w:jc w:val="both"/>
        <w:rPr>
          <w:sz w:val="22"/>
          <w:szCs w:val="22"/>
        </w:rPr>
      </w:pPr>
      <w:r w:rsidRPr="00A9007D">
        <w:rPr>
          <w:sz w:val="22"/>
          <w:szCs w:val="22"/>
        </w:rPr>
        <w:t>Auditoři AO stanovili na základě chyb identifikovaných při auditech operací v roce 2014 ve VKZ 2014 chybovost ve výši 2,32</w:t>
      </w:r>
      <w:r>
        <w:rPr>
          <w:sz w:val="22"/>
          <w:szCs w:val="22"/>
        </w:rPr>
        <w:t xml:space="preserve"> </w:t>
      </w:r>
      <w:r w:rsidRPr="00A9007D">
        <w:rPr>
          <w:sz w:val="22"/>
          <w:szCs w:val="22"/>
        </w:rPr>
        <w:t xml:space="preserve">%. Na základě podnětu od ŘO IOP, který identifikoval několik nepřesných výpočtů ve zprávách z auditů operací, AO </w:t>
      </w:r>
      <w:r w:rsidR="00ED34C1">
        <w:rPr>
          <w:sz w:val="22"/>
          <w:szCs w:val="22"/>
        </w:rPr>
        <w:t>chybovost snížil</w:t>
      </w:r>
      <w:r w:rsidRPr="00A9007D">
        <w:rPr>
          <w:sz w:val="22"/>
          <w:szCs w:val="22"/>
        </w:rPr>
        <w:t xml:space="preserve">. </w:t>
      </w:r>
      <w:r w:rsidR="006662E4">
        <w:rPr>
          <w:sz w:val="22"/>
          <w:szCs w:val="22"/>
        </w:rPr>
        <w:t xml:space="preserve">Evropská komise však následně zaslala nesouhlasné stanovisko k vyčíslení výše nezpůsobilých výdajů u jednoho z auditů </w:t>
      </w:r>
      <w:r w:rsidR="006662E4">
        <w:rPr>
          <w:sz w:val="22"/>
          <w:szCs w:val="22"/>
        </w:rPr>
        <w:lastRenderedPageBreak/>
        <w:t>operací, na základě kterého Auditní orgán provede přepočítání chybovosti.</w:t>
      </w:r>
      <w:r w:rsidR="006662E4" w:rsidRPr="00A9007D">
        <w:rPr>
          <w:sz w:val="22"/>
          <w:szCs w:val="22"/>
        </w:rPr>
        <w:t xml:space="preserve"> </w:t>
      </w:r>
      <w:r w:rsidRPr="00A9007D">
        <w:rPr>
          <w:sz w:val="22"/>
          <w:szCs w:val="22"/>
        </w:rPr>
        <w:t>Konečná chybovost bude známa</w:t>
      </w:r>
      <w:r>
        <w:rPr>
          <w:sz w:val="22"/>
          <w:szCs w:val="22"/>
        </w:rPr>
        <w:t>, až EK</w:t>
      </w:r>
      <w:r w:rsidRPr="00A9007D">
        <w:rPr>
          <w:sz w:val="22"/>
          <w:szCs w:val="22"/>
        </w:rPr>
        <w:t xml:space="preserve"> odsouhlasí VKZ 2014.</w:t>
      </w:r>
    </w:p>
    <w:p w:rsidR="00CB13F7" w:rsidRPr="000F2A6C" w:rsidRDefault="00CB13F7" w:rsidP="000F2A6C">
      <w:pPr>
        <w:pStyle w:val="Nadpis3"/>
      </w:pPr>
      <w:bookmarkStart w:id="78" w:name="_Toc417024847"/>
      <w:r w:rsidRPr="000F2A6C">
        <w:t>2.3.</w:t>
      </w:r>
      <w:r w:rsidR="003C7C41">
        <w:t>4</w:t>
      </w:r>
      <w:r w:rsidRPr="000F2A6C">
        <w:t xml:space="preserve"> Metodika finančních toků v souvislosti s výkonem auditu AO</w:t>
      </w:r>
      <w:bookmarkEnd w:id="76"/>
      <w:bookmarkEnd w:id="78"/>
    </w:p>
    <w:p w:rsidR="00900DBE" w:rsidRDefault="00900DBE" w:rsidP="00900DBE">
      <w:pPr>
        <w:jc w:val="both"/>
        <w:rPr>
          <w:sz w:val="22"/>
          <w:szCs w:val="22"/>
        </w:rPr>
      </w:pPr>
      <w:r w:rsidRPr="00AB457A">
        <w:rPr>
          <w:sz w:val="22"/>
          <w:szCs w:val="22"/>
        </w:rPr>
        <w:t xml:space="preserve">ŘO IOP </w:t>
      </w:r>
      <w:r>
        <w:rPr>
          <w:sz w:val="22"/>
          <w:szCs w:val="22"/>
        </w:rPr>
        <w:t xml:space="preserve">a ZS IOP </w:t>
      </w:r>
      <w:r w:rsidRPr="00AB457A">
        <w:rPr>
          <w:sz w:val="22"/>
          <w:szCs w:val="22"/>
        </w:rPr>
        <w:t>dlouhodobě poukazuj</w:t>
      </w:r>
      <w:r>
        <w:rPr>
          <w:sz w:val="22"/>
          <w:szCs w:val="22"/>
        </w:rPr>
        <w:t>í</w:t>
      </w:r>
      <w:r w:rsidRPr="00AB457A">
        <w:rPr>
          <w:sz w:val="22"/>
          <w:szCs w:val="22"/>
        </w:rPr>
        <w:t xml:space="preserve"> na některá nevhodně nastavená ustanovení Metodiky finančních toků a kontroly programů spolufinancovaných ze strukturálních fondů, Fondu soudržnosti </w:t>
      </w:r>
      <w:r>
        <w:rPr>
          <w:sz w:val="22"/>
          <w:szCs w:val="22"/>
        </w:rPr>
        <w:br/>
      </w:r>
      <w:r w:rsidRPr="00AB457A">
        <w:rPr>
          <w:sz w:val="22"/>
          <w:szCs w:val="22"/>
        </w:rPr>
        <w:t>a Evropského rybářského fondu na programovací období 2007 - 2013 (dále jen „Metodika“). Jedná se zejména o nesrovnalosti, kter</w:t>
      </w:r>
      <w:r>
        <w:rPr>
          <w:sz w:val="22"/>
          <w:szCs w:val="22"/>
        </w:rPr>
        <w:t>é</w:t>
      </w:r>
      <w:r w:rsidRPr="00AB457A">
        <w:rPr>
          <w:sz w:val="22"/>
          <w:szCs w:val="22"/>
        </w:rPr>
        <w:t xml:space="preserve"> vyplýv</w:t>
      </w:r>
      <w:r>
        <w:rPr>
          <w:sz w:val="22"/>
          <w:szCs w:val="22"/>
        </w:rPr>
        <w:t>ají</w:t>
      </w:r>
      <w:r w:rsidRPr="00AB457A">
        <w:rPr>
          <w:sz w:val="22"/>
          <w:szCs w:val="22"/>
        </w:rPr>
        <w:t xml:space="preserve"> z finální auditní zprávy AO (EK, EÚD, kontroly PCO) </w:t>
      </w:r>
      <w:r>
        <w:rPr>
          <w:sz w:val="22"/>
          <w:szCs w:val="22"/>
        </w:rPr>
        <w:t xml:space="preserve">a </w:t>
      </w:r>
      <w:r w:rsidRPr="00AB457A">
        <w:rPr>
          <w:sz w:val="22"/>
          <w:szCs w:val="22"/>
        </w:rPr>
        <w:t xml:space="preserve">vždy </w:t>
      </w:r>
      <w:r>
        <w:rPr>
          <w:sz w:val="22"/>
          <w:szCs w:val="22"/>
        </w:rPr>
        <w:t>znamenají</w:t>
      </w:r>
      <w:r w:rsidRPr="00AB457A">
        <w:rPr>
          <w:sz w:val="22"/>
          <w:szCs w:val="22"/>
        </w:rPr>
        <w:t xml:space="preserve"> potvrzenou nesrovnalost</w:t>
      </w:r>
      <w:r>
        <w:rPr>
          <w:sz w:val="22"/>
          <w:szCs w:val="22"/>
        </w:rPr>
        <w:t>. Potvrzená nesrovnalost je předána místně příslušnému OFS jako podezření na porušení rozpočtové kázně.</w:t>
      </w:r>
      <w:r w:rsidRPr="00AB457A">
        <w:rPr>
          <w:sz w:val="22"/>
          <w:szCs w:val="22"/>
        </w:rPr>
        <w:t xml:space="preserve"> </w:t>
      </w:r>
    </w:p>
    <w:p w:rsidR="00900DBE" w:rsidRDefault="00900DBE" w:rsidP="00900DBE">
      <w:pPr>
        <w:jc w:val="both"/>
        <w:rPr>
          <w:sz w:val="22"/>
          <w:szCs w:val="22"/>
        </w:rPr>
      </w:pPr>
      <w:r w:rsidRPr="00AB457A">
        <w:rPr>
          <w:sz w:val="22"/>
          <w:szCs w:val="22"/>
        </w:rPr>
        <w:t xml:space="preserve">V případě, že </w:t>
      </w:r>
      <w:r>
        <w:rPr>
          <w:sz w:val="22"/>
          <w:szCs w:val="22"/>
        </w:rPr>
        <w:t xml:space="preserve">OFS </w:t>
      </w:r>
      <w:r w:rsidRPr="00AB457A">
        <w:rPr>
          <w:sz w:val="22"/>
          <w:szCs w:val="22"/>
        </w:rPr>
        <w:t xml:space="preserve">nezjistí porušení rozpočtové kázně </w:t>
      </w:r>
      <w:r>
        <w:rPr>
          <w:sz w:val="22"/>
          <w:szCs w:val="22"/>
        </w:rPr>
        <w:t>a</w:t>
      </w:r>
      <w:r w:rsidRPr="00AB457A">
        <w:rPr>
          <w:sz w:val="22"/>
          <w:szCs w:val="22"/>
        </w:rPr>
        <w:t xml:space="preserve"> nestanoví odvod či zjistí porušení rozpočtové kázně a </w:t>
      </w:r>
      <w:r>
        <w:rPr>
          <w:sz w:val="22"/>
          <w:szCs w:val="22"/>
        </w:rPr>
        <w:t>stanoví</w:t>
      </w:r>
      <w:r w:rsidRPr="00AB457A">
        <w:rPr>
          <w:sz w:val="22"/>
          <w:szCs w:val="22"/>
        </w:rPr>
        <w:t xml:space="preserve"> odvod</w:t>
      </w:r>
      <w:r>
        <w:rPr>
          <w:sz w:val="22"/>
          <w:szCs w:val="22"/>
        </w:rPr>
        <w:t xml:space="preserve"> n</w:t>
      </w:r>
      <w:r w:rsidRPr="00AB457A">
        <w:rPr>
          <w:sz w:val="22"/>
          <w:szCs w:val="22"/>
        </w:rPr>
        <w:t>ižší</w:t>
      </w:r>
      <w:r>
        <w:rPr>
          <w:sz w:val="22"/>
          <w:szCs w:val="22"/>
        </w:rPr>
        <w:t>,</w:t>
      </w:r>
      <w:r w:rsidRPr="00AB457A">
        <w:rPr>
          <w:sz w:val="22"/>
          <w:szCs w:val="22"/>
        </w:rPr>
        <w:t xml:space="preserve"> než stanovuje auditní/kontrolní zpráva, měl by ŘO/ZS od příjemce finanční prostředky dotčené nesrovnalostí vymoci. ŘO</w:t>
      </w:r>
      <w:r>
        <w:rPr>
          <w:sz w:val="22"/>
          <w:szCs w:val="22"/>
        </w:rPr>
        <w:t xml:space="preserve"> ani </w:t>
      </w:r>
      <w:r w:rsidRPr="00AB457A">
        <w:rPr>
          <w:sz w:val="22"/>
          <w:szCs w:val="22"/>
        </w:rPr>
        <w:t>ZS pro vymáhání finančních prostředků nem</w:t>
      </w:r>
      <w:r>
        <w:rPr>
          <w:sz w:val="22"/>
          <w:szCs w:val="22"/>
        </w:rPr>
        <w:t>ají</w:t>
      </w:r>
      <w:r w:rsidRPr="00AB457A">
        <w:rPr>
          <w:sz w:val="22"/>
          <w:szCs w:val="22"/>
        </w:rPr>
        <w:t xml:space="preserve"> oporu v zákoně č. 218/2000 Sb., o rozpočtových pravidlech</w:t>
      </w:r>
      <w:r>
        <w:rPr>
          <w:sz w:val="22"/>
          <w:szCs w:val="22"/>
        </w:rPr>
        <w:t>,</w:t>
      </w:r>
      <w:r w:rsidRPr="00AB457A">
        <w:rPr>
          <w:sz w:val="22"/>
          <w:szCs w:val="22"/>
        </w:rPr>
        <w:t xml:space="preserve"> ani v jiném zákoně. </w:t>
      </w:r>
      <w:r>
        <w:rPr>
          <w:sz w:val="22"/>
          <w:szCs w:val="22"/>
        </w:rPr>
        <w:t>P</w:t>
      </w:r>
      <w:r w:rsidRPr="00AB457A">
        <w:rPr>
          <w:sz w:val="22"/>
          <w:szCs w:val="22"/>
        </w:rPr>
        <w:t>okud finanční úřady nepotvrdí zjištění z auditních/kontrolních zpráv či je potvrdí v nižší výši, prostředky dotčené nesrovnalostí nejsou vymahatelné po příjemcích dotace a jdou na vrub státní</w:t>
      </w:r>
      <w:r>
        <w:rPr>
          <w:sz w:val="22"/>
          <w:szCs w:val="22"/>
        </w:rPr>
        <w:t>ho</w:t>
      </w:r>
      <w:r w:rsidRPr="00AB457A">
        <w:rPr>
          <w:sz w:val="22"/>
          <w:szCs w:val="22"/>
        </w:rPr>
        <w:t xml:space="preserve"> rozpočtu, což zbytečně zatěžuje veřejné finance.</w:t>
      </w:r>
    </w:p>
    <w:p w:rsidR="00564051" w:rsidRDefault="00900DBE" w:rsidP="00900DBE">
      <w:pPr>
        <w:jc w:val="both"/>
        <w:rPr>
          <w:sz w:val="22"/>
          <w:szCs w:val="22"/>
        </w:rPr>
      </w:pPr>
      <w:r>
        <w:rPr>
          <w:sz w:val="22"/>
          <w:szCs w:val="22"/>
        </w:rPr>
        <w:t>Řešení uvedených situací má negativní vliv na realizaci programu, zatěžuje příjemce a administrativní kapacity a vede ke kumulaci požadavků na úhrady ze státního rozpočtu.</w:t>
      </w:r>
    </w:p>
    <w:p w:rsidR="00F40DD9" w:rsidRDefault="00F40DD9" w:rsidP="00900DBE">
      <w:pPr>
        <w:jc w:val="both"/>
        <w:rPr>
          <w:sz w:val="22"/>
          <w:szCs w:val="22"/>
        </w:rPr>
      </w:pPr>
    </w:p>
    <w:p w:rsidR="00564051" w:rsidRPr="00564051" w:rsidRDefault="00564051" w:rsidP="006857D8">
      <w:pPr>
        <w:pStyle w:val="Nadpis3"/>
        <w:numPr>
          <w:ilvl w:val="2"/>
          <w:numId w:val="72"/>
        </w:numPr>
      </w:pPr>
      <w:bookmarkStart w:id="79" w:name="_Toc417024848"/>
      <w:r w:rsidRPr="00564051">
        <w:t>Pozastavení certifikace v oblasti 3.2</w:t>
      </w:r>
      <w:r w:rsidR="00C7735E">
        <w:t xml:space="preserve"> </w:t>
      </w:r>
      <w:r w:rsidR="00C7735E">
        <w:rPr>
          <w:sz w:val="22"/>
          <w:szCs w:val="22"/>
        </w:rPr>
        <w:t>Služby v oblasti veřejného zdraví</w:t>
      </w:r>
      <w:bookmarkEnd w:id="79"/>
    </w:p>
    <w:p w:rsidR="009160CC" w:rsidRPr="009160CC" w:rsidRDefault="009160CC" w:rsidP="009160CC">
      <w:pPr>
        <w:jc w:val="both"/>
        <w:rPr>
          <w:sz w:val="22"/>
          <w:szCs w:val="22"/>
        </w:rPr>
      </w:pPr>
      <w:r>
        <w:rPr>
          <w:sz w:val="22"/>
          <w:szCs w:val="22"/>
        </w:rPr>
        <w:t xml:space="preserve">Na základě dopisu EK ze dne 25. 4. 2014 byla zastavena platební lhůta pro výdaje v oblasti 3.2  Služby v oblasti veřejného zdraví. Jako důvod zastavení platební lhůty byly uvedeny možné nesrovnalosti související s nákupem zdravotnické techniky. </w:t>
      </w:r>
      <w:r w:rsidRPr="009160CC">
        <w:rPr>
          <w:sz w:val="22"/>
          <w:szCs w:val="22"/>
        </w:rPr>
        <w:t xml:space="preserve">Dopis EK se </w:t>
      </w:r>
      <w:proofErr w:type="gramStart"/>
      <w:r w:rsidRPr="009160CC">
        <w:rPr>
          <w:sz w:val="22"/>
          <w:szCs w:val="22"/>
        </w:rPr>
        <w:t>odkazoval</w:t>
      </w:r>
      <w:proofErr w:type="gramEnd"/>
      <w:r w:rsidRPr="009160CC">
        <w:rPr>
          <w:sz w:val="22"/>
          <w:szCs w:val="22"/>
        </w:rPr>
        <w:t xml:space="preserve"> na pořad Reportéři ČT ze dne 24. února 2014</w:t>
      </w:r>
      <w:r>
        <w:rPr>
          <w:sz w:val="22"/>
          <w:szCs w:val="22"/>
        </w:rPr>
        <w:t xml:space="preserve">, </w:t>
      </w:r>
      <w:r w:rsidRPr="009160CC">
        <w:rPr>
          <w:sz w:val="22"/>
          <w:szCs w:val="22"/>
        </w:rPr>
        <w:t xml:space="preserve">studii o korupci ve zdravotnictví vypracovaný pro GŘ pro vnitřní věci </w:t>
      </w:r>
      <w:r>
        <w:rPr>
          <w:sz w:val="22"/>
          <w:szCs w:val="22"/>
        </w:rPr>
        <w:br/>
      </w:r>
      <w:r w:rsidRPr="009160CC">
        <w:rPr>
          <w:sz w:val="22"/>
          <w:szCs w:val="22"/>
        </w:rPr>
        <w:t>z října 2013</w:t>
      </w:r>
      <w:r>
        <w:rPr>
          <w:sz w:val="22"/>
          <w:szCs w:val="22"/>
        </w:rPr>
        <w:t>, problémy v regionálních operačních programech.</w:t>
      </w:r>
      <w:r w:rsidRPr="009160CC">
        <w:rPr>
          <w:sz w:val="22"/>
          <w:szCs w:val="22"/>
        </w:rPr>
        <w:t xml:space="preserve"> </w:t>
      </w:r>
      <w:r>
        <w:rPr>
          <w:sz w:val="22"/>
          <w:szCs w:val="22"/>
        </w:rPr>
        <w:t xml:space="preserve">Pro znovuobnovení platební lhůty měl být, na základě požadavků EK, vykonán </w:t>
      </w:r>
      <w:r w:rsidRPr="009160CC">
        <w:rPr>
          <w:sz w:val="22"/>
          <w:szCs w:val="22"/>
        </w:rPr>
        <w:t xml:space="preserve">horizontální </w:t>
      </w:r>
      <w:r>
        <w:rPr>
          <w:sz w:val="22"/>
          <w:szCs w:val="22"/>
        </w:rPr>
        <w:t>audit</w:t>
      </w:r>
      <w:r w:rsidRPr="009160CC">
        <w:rPr>
          <w:sz w:val="22"/>
          <w:szCs w:val="22"/>
        </w:rPr>
        <w:t xml:space="preserve"> zdravotnictví. Horizontální audit byla sestava několika dílčích auditů - audit systému </w:t>
      </w:r>
      <w:r>
        <w:rPr>
          <w:sz w:val="22"/>
          <w:szCs w:val="22"/>
        </w:rPr>
        <w:t>oblasti intervence</w:t>
      </w:r>
      <w:r w:rsidRPr="009160CC">
        <w:rPr>
          <w:sz w:val="22"/>
          <w:szCs w:val="22"/>
        </w:rPr>
        <w:t xml:space="preserve"> 3.2 IOP, audit vzorku 20 projektů (16 příjemců) z</w:t>
      </w:r>
      <w:r>
        <w:rPr>
          <w:sz w:val="22"/>
          <w:szCs w:val="22"/>
        </w:rPr>
        <w:t> oblasti intervence</w:t>
      </w:r>
      <w:r w:rsidRPr="009160CC">
        <w:rPr>
          <w:sz w:val="22"/>
          <w:szCs w:val="22"/>
        </w:rPr>
        <w:t xml:space="preserve"> 3.2 IOP, a dále audit vzorku 15 projektů ze všech dalších OP </w:t>
      </w:r>
      <w:r>
        <w:rPr>
          <w:sz w:val="22"/>
          <w:szCs w:val="22"/>
        </w:rPr>
        <w:br/>
      </w:r>
      <w:r w:rsidRPr="009160CC">
        <w:rPr>
          <w:sz w:val="22"/>
          <w:szCs w:val="22"/>
        </w:rPr>
        <w:t xml:space="preserve">(ŘO MPO, MŠMT, ROP), kde jsou příjemci v oblasti zdravotnictví. Cílem horizontálního auditu bylo ověření čerpání finančních prostředků z fondů EU na zdravotnickou techniku v rámci programového období 2007 – 2013 u vybraných operačních programů, a také ověřit aspekty způsobilosti příslušných operací včetně postupů zadávání veřejných zakázek, a zejména potvrzení, nebo vyvrácení pochybností uvedených v dopise EK. Horizontální audit zdravotnictví byl na MMR zahájen jako audit systému (mimořádný) číslo AO/2014/SM/05 "Audit zdravotnictví" doručením Oznámení o auditu systému prostřednictvím datové schránky dne 27. 6. 2014, a dále při návštěvě ředitele PhDr. Evžena Mrázka </w:t>
      </w:r>
      <w:r>
        <w:rPr>
          <w:sz w:val="22"/>
          <w:szCs w:val="22"/>
        </w:rPr>
        <w:br/>
      </w:r>
      <w:r w:rsidRPr="009160CC">
        <w:rPr>
          <w:sz w:val="22"/>
          <w:szCs w:val="22"/>
        </w:rPr>
        <w:t xml:space="preserve">s částí auditního týmu dne 8. 7. 2014. Finální zprávy byly doručeny v průběhu listopadu a prosince 2014. </w:t>
      </w:r>
    </w:p>
    <w:p w:rsidR="009160CC" w:rsidRPr="009160CC" w:rsidRDefault="009160CC" w:rsidP="009160CC">
      <w:pPr>
        <w:jc w:val="both"/>
        <w:rPr>
          <w:sz w:val="22"/>
          <w:szCs w:val="22"/>
        </w:rPr>
      </w:pPr>
      <w:r>
        <w:rPr>
          <w:sz w:val="22"/>
          <w:szCs w:val="22"/>
        </w:rPr>
        <w:t>Požadavek na provedení auditu projektů v oblasti zdravotnictví byl splněn</w:t>
      </w:r>
      <w:r w:rsidRPr="009160CC">
        <w:rPr>
          <w:sz w:val="22"/>
          <w:szCs w:val="22"/>
        </w:rPr>
        <w:t xml:space="preserve">. </w:t>
      </w:r>
      <w:r>
        <w:rPr>
          <w:sz w:val="22"/>
          <w:szCs w:val="22"/>
        </w:rPr>
        <w:t>ŘO IOP akceptoval</w:t>
      </w:r>
      <w:r w:rsidRPr="009160CC">
        <w:rPr>
          <w:sz w:val="22"/>
          <w:szCs w:val="22"/>
        </w:rPr>
        <w:t xml:space="preserve"> individuální finanční opravy na nezpůsobilé výdaje, a dále plošnou </w:t>
      </w:r>
      <w:r>
        <w:rPr>
          <w:sz w:val="22"/>
          <w:szCs w:val="22"/>
        </w:rPr>
        <w:t>korekc</w:t>
      </w:r>
      <w:r w:rsidRPr="009160CC">
        <w:rPr>
          <w:sz w:val="22"/>
          <w:szCs w:val="22"/>
        </w:rPr>
        <w:t>i</w:t>
      </w:r>
      <w:r>
        <w:rPr>
          <w:sz w:val="22"/>
          <w:szCs w:val="22"/>
        </w:rPr>
        <w:t xml:space="preserve"> uvedené Auditním orgánem. </w:t>
      </w:r>
      <w:r w:rsidRPr="009160CC">
        <w:rPr>
          <w:sz w:val="22"/>
          <w:szCs w:val="22"/>
        </w:rPr>
        <w:t xml:space="preserve">Plošná korekce byla uplatněna ve výši </w:t>
      </w:r>
      <w:r>
        <w:rPr>
          <w:sz w:val="22"/>
          <w:szCs w:val="22"/>
        </w:rPr>
        <w:t xml:space="preserve">5 % na všechny projekty související se zadáním veřejných zakázek zadaných před 31. 1. 2011 v rámci oblasti intervence 3.2a. </w:t>
      </w:r>
    </w:p>
    <w:p w:rsidR="009160CC" w:rsidRDefault="009160CC" w:rsidP="009160CC">
      <w:pPr>
        <w:jc w:val="both"/>
        <w:rPr>
          <w:sz w:val="22"/>
          <w:szCs w:val="22"/>
        </w:rPr>
      </w:pPr>
      <w:r w:rsidRPr="009160CC">
        <w:rPr>
          <w:sz w:val="22"/>
          <w:szCs w:val="22"/>
        </w:rPr>
        <w:t>P</w:t>
      </w:r>
      <w:r w:rsidR="001D268C">
        <w:rPr>
          <w:sz w:val="22"/>
          <w:szCs w:val="22"/>
        </w:rPr>
        <w:t xml:space="preserve">o </w:t>
      </w:r>
      <w:proofErr w:type="gramStart"/>
      <w:r w:rsidR="001D268C">
        <w:rPr>
          <w:sz w:val="22"/>
          <w:szCs w:val="22"/>
        </w:rPr>
        <w:t xml:space="preserve">aplikaci </w:t>
      </w:r>
      <w:r>
        <w:rPr>
          <w:sz w:val="22"/>
          <w:szCs w:val="22"/>
        </w:rPr>
        <w:t>v IS</w:t>
      </w:r>
      <w:proofErr w:type="gramEnd"/>
      <w:r>
        <w:rPr>
          <w:sz w:val="22"/>
          <w:szCs w:val="22"/>
        </w:rPr>
        <w:t xml:space="preserve"> VIOLA bude EK následně zaslán přehled korekcí uplatněných u jednotlivých dotčených projektů. </w:t>
      </w:r>
    </w:p>
    <w:p w:rsidR="00F40DD9" w:rsidRDefault="00F40DD9" w:rsidP="00F40DD9">
      <w:pPr>
        <w:pStyle w:val="Default"/>
        <w:jc w:val="both"/>
        <w:rPr>
          <w:color w:val="auto"/>
          <w:sz w:val="22"/>
          <w:szCs w:val="22"/>
        </w:rPr>
      </w:pPr>
    </w:p>
    <w:p w:rsidR="00311546" w:rsidRDefault="00311546" w:rsidP="00D75066">
      <w:pPr>
        <w:pStyle w:val="Nadpis3"/>
        <w:numPr>
          <w:ilvl w:val="2"/>
          <w:numId w:val="72"/>
        </w:numPr>
      </w:pPr>
      <w:bookmarkStart w:id="80" w:name="_Toc417024849"/>
      <w:r w:rsidRPr="00311546">
        <w:t>V</w:t>
      </w:r>
      <w:r>
        <w:t>arovný dopis k 10 projektům IT z oblasti 2.1</w:t>
      </w:r>
      <w:r w:rsidR="00D75066" w:rsidRPr="00D75066">
        <w:t xml:space="preserve"> Zavádění ICT v územní veřejné správě</w:t>
      </w:r>
      <w:bookmarkEnd w:id="80"/>
    </w:p>
    <w:p w:rsidR="00D75066" w:rsidRDefault="00311546" w:rsidP="00311546">
      <w:pPr>
        <w:jc w:val="both"/>
        <w:rPr>
          <w:sz w:val="22"/>
          <w:szCs w:val="22"/>
        </w:rPr>
      </w:pPr>
      <w:r w:rsidRPr="00311546">
        <w:rPr>
          <w:sz w:val="22"/>
          <w:szCs w:val="22"/>
        </w:rPr>
        <w:t xml:space="preserve">Ze strany EK byl na ŘO IOP zaslán varovný dopis k 10 projektům IT z oblasti 2.1 </w:t>
      </w:r>
      <w:r w:rsidR="00D75066">
        <w:rPr>
          <w:sz w:val="22"/>
          <w:szCs w:val="22"/>
        </w:rPr>
        <w:br/>
      </w:r>
      <w:r w:rsidRPr="00311546">
        <w:rPr>
          <w:sz w:val="22"/>
          <w:szCs w:val="22"/>
        </w:rPr>
        <w:t>(</w:t>
      </w:r>
      <w:proofErr w:type="spellStart"/>
      <w:r w:rsidRPr="00311546">
        <w:rPr>
          <w:sz w:val="22"/>
          <w:szCs w:val="22"/>
        </w:rPr>
        <w:t>Ref</w:t>
      </w:r>
      <w:proofErr w:type="spellEnd"/>
      <w:r w:rsidRPr="00311546">
        <w:rPr>
          <w:sz w:val="22"/>
          <w:szCs w:val="22"/>
        </w:rPr>
        <w:t xml:space="preserve">. Ares(2014)3831088 - 18/11/2014), ve kterém EK varuje před možným přerušením plateb podle článku 91(1) nařízení (EC) 1083/2006, a to z důvodu policejního vyšetřování 10 projektů ve výzvách 6, 8 a 9 oblasti 2.1. </w:t>
      </w:r>
    </w:p>
    <w:p w:rsidR="00311546" w:rsidRPr="00311546" w:rsidRDefault="00311546" w:rsidP="00311546">
      <w:pPr>
        <w:jc w:val="both"/>
        <w:rPr>
          <w:sz w:val="22"/>
          <w:szCs w:val="22"/>
        </w:rPr>
      </w:pPr>
      <w:r w:rsidRPr="00311546">
        <w:rPr>
          <w:sz w:val="22"/>
          <w:szCs w:val="22"/>
        </w:rPr>
        <w:lastRenderedPageBreak/>
        <w:t xml:space="preserve">EK v dopise dále informovala, že nebudou zpracovány žádné žádosti o platbu </w:t>
      </w:r>
      <w:r w:rsidR="00D75066">
        <w:rPr>
          <w:sz w:val="22"/>
          <w:szCs w:val="22"/>
        </w:rPr>
        <w:br/>
      </w:r>
      <w:r w:rsidRPr="00311546">
        <w:rPr>
          <w:sz w:val="22"/>
          <w:szCs w:val="22"/>
        </w:rPr>
        <w:t>u dotčených projektů, až do doby, kdy bude vyšetřování ukončeno nebo objasněno. Vzhledem k tomu, že ŘO IOP nemůže žádným způsobem zasahovat do policejního vyšetřování, nebyla k této záležitosti přijata žádná specifická opatření.</w:t>
      </w:r>
    </w:p>
    <w:p w:rsidR="00311546" w:rsidRPr="00F40DD9" w:rsidRDefault="00311546" w:rsidP="00D75066"/>
    <w:p w:rsidR="00A75862" w:rsidRPr="000F2A6C" w:rsidRDefault="00A75862" w:rsidP="000F2A6C">
      <w:pPr>
        <w:pStyle w:val="Nadpis3"/>
      </w:pPr>
      <w:bookmarkStart w:id="81" w:name="_Toc382407677"/>
      <w:bookmarkStart w:id="82" w:name="_Toc383084684"/>
      <w:bookmarkStart w:id="83" w:name="_Toc417024850"/>
      <w:bookmarkEnd w:id="72"/>
      <w:bookmarkEnd w:id="73"/>
      <w:r w:rsidRPr="000F2A6C">
        <w:t>2.3.</w:t>
      </w:r>
      <w:r w:rsidR="00311546">
        <w:t>7</w:t>
      </w:r>
      <w:r w:rsidRPr="000F2A6C">
        <w:t xml:space="preserve"> Personální zajištění programu</w:t>
      </w:r>
      <w:bookmarkEnd w:id="81"/>
      <w:bookmarkEnd w:id="82"/>
      <w:bookmarkEnd w:id="83"/>
    </w:p>
    <w:p w:rsidR="00F40DD9" w:rsidRDefault="008D310D" w:rsidP="00F40DD9">
      <w:pPr>
        <w:jc w:val="both"/>
        <w:rPr>
          <w:sz w:val="22"/>
          <w:szCs w:val="22"/>
        </w:rPr>
      </w:pPr>
      <w:r w:rsidRPr="007853D7">
        <w:rPr>
          <w:sz w:val="22"/>
          <w:szCs w:val="22"/>
        </w:rPr>
        <w:t>Hlavním problémem personálního zajištění IOP byla i v roce 2014 vysoká fluktuace.</w:t>
      </w:r>
      <w:r w:rsidRPr="005A275E">
        <w:rPr>
          <w:sz w:val="22"/>
          <w:szCs w:val="22"/>
        </w:rPr>
        <w:t xml:space="preserve"> </w:t>
      </w:r>
      <w:r w:rsidRPr="00516246">
        <w:rPr>
          <w:sz w:val="22"/>
          <w:szCs w:val="22"/>
        </w:rPr>
        <w:t xml:space="preserve">ŘO IOP  vypracoval k listopadu 2014„Analýzu administrativních kapacit a outsourcingu v implementační struktuře IOP“. Zpracování Analýzy bylo jedním z úkolů </w:t>
      </w:r>
      <w:r>
        <w:rPr>
          <w:sz w:val="22"/>
          <w:szCs w:val="22"/>
        </w:rPr>
        <w:t>uvedený</w:t>
      </w:r>
      <w:r w:rsidRPr="00516246">
        <w:rPr>
          <w:sz w:val="22"/>
          <w:szCs w:val="22"/>
        </w:rPr>
        <w:t xml:space="preserve">ch </w:t>
      </w:r>
      <w:r>
        <w:rPr>
          <w:sz w:val="22"/>
          <w:szCs w:val="22"/>
        </w:rPr>
        <w:t>v</w:t>
      </w:r>
      <w:r w:rsidRPr="00516246">
        <w:rPr>
          <w:sz w:val="22"/>
          <w:szCs w:val="22"/>
        </w:rPr>
        <w:t> Evaluační</w:t>
      </w:r>
      <w:r>
        <w:rPr>
          <w:sz w:val="22"/>
          <w:szCs w:val="22"/>
        </w:rPr>
        <w:t>m</w:t>
      </w:r>
      <w:r w:rsidRPr="00516246">
        <w:rPr>
          <w:sz w:val="22"/>
          <w:szCs w:val="22"/>
        </w:rPr>
        <w:t xml:space="preserve"> plánu IOP pro rok 2014. Cílem analýzy bylo zjistit skutečně vynaložené finanční </w:t>
      </w:r>
      <w:r w:rsidR="00A26064">
        <w:rPr>
          <w:sz w:val="22"/>
          <w:szCs w:val="22"/>
        </w:rPr>
        <w:t>prostředky řídi</w:t>
      </w:r>
      <w:r w:rsidR="00A26064" w:rsidRPr="00516246">
        <w:rPr>
          <w:sz w:val="22"/>
          <w:szCs w:val="22"/>
        </w:rPr>
        <w:t xml:space="preserve">cího orgánu </w:t>
      </w:r>
      <w:r w:rsidR="00FD23CF">
        <w:rPr>
          <w:sz w:val="22"/>
          <w:szCs w:val="22"/>
        </w:rPr>
        <w:br/>
      </w:r>
      <w:r w:rsidR="00A26064" w:rsidRPr="00516246">
        <w:rPr>
          <w:sz w:val="22"/>
          <w:szCs w:val="22"/>
        </w:rPr>
        <w:t>a jednotlivých zprostředkující</w:t>
      </w:r>
      <w:r w:rsidR="00A26064">
        <w:rPr>
          <w:sz w:val="22"/>
          <w:szCs w:val="22"/>
        </w:rPr>
        <w:t xml:space="preserve">ch subjektů </w:t>
      </w:r>
      <w:r w:rsidRPr="00516246">
        <w:rPr>
          <w:sz w:val="22"/>
          <w:szCs w:val="22"/>
        </w:rPr>
        <w:t xml:space="preserve">na administraci delegovaných činností v období 2. pololetí 2013 až 1. pololetí 2014. </w:t>
      </w:r>
      <w:r w:rsidR="005A2649" w:rsidRPr="0087109B">
        <w:rPr>
          <w:sz w:val="22"/>
          <w:szCs w:val="22"/>
        </w:rPr>
        <w:t>Podrobnější i</w:t>
      </w:r>
      <w:r w:rsidR="005A2649">
        <w:rPr>
          <w:sz w:val="22"/>
          <w:szCs w:val="22"/>
        </w:rPr>
        <w:t>nformace o provedené analýze</w:t>
      </w:r>
      <w:r w:rsidR="005A2649" w:rsidRPr="0087109B">
        <w:rPr>
          <w:sz w:val="22"/>
          <w:szCs w:val="22"/>
        </w:rPr>
        <w:t xml:space="preserve"> v oblasti zajištění administrativních kapacit jsou uvedeny v kapitole „Evaluace programu“.</w:t>
      </w:r>
    </w:p>
    <w:p w:rsidR="00F40DD9" w:rsidRPr="00B64D5F" w:rsidRDefault="00F40DD9" w:rsidP="00F40DD9">
      <w:pPr>
        <w:jc w:val="both"/>
      </w:pPr>
    </w:p>
    <w:p w:rsidR="00AA0F39" w:rsidRPr="009026D3" w:rsidRDefault="00AA0F39" w:rsidP="00A92782">
      <w:pPr>
        <w:pStyle w:val="Tabulkanzev"/>
      </w:pPr>
      <w:bookmarkStart w:id="84" w:name="_Toc416431813"/>
      <w:r w:rsidRPr="009026D3">
        <w:t xml:space="preserve">Zajištění administrativní kapacity </w:t>
      </w:r>
      <w:r>
        <w:t>podle ZS</w:t>
      </w:r>
      <w:bookmarkEnd w:id="84"/>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4622"/>
        <w:gridCol w:w="1926"/>
        <w:gridCol w:w="1239"/>
        <w:gridCol w:w="1274"/>
      </w:tblGrid>
      <w:tr w:rsidR="00AA0F39" w:rsidRPr="007C1FF9" w:rsidTr="00AA0F39">
        <w:trPr>
          <w:trHeight w:val="245"/>
          <w:tblHeader/>
          <w:jc w:val="center"/>
        </w:trPr>
        <w:tc>
          <w:tcPr>
            <w:tcW w:w="2541" w:type="pct"/>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AA0F39" w:rsidRPr="001E275C" w:rsidRDefault="00AA0F39" w:rsidP="009D2783">
            <w:pPr>
              <w:jc w:val="center"/>
              <w:rPr>
                <w:b/>
                <w:sz w:val="16"/>
                <w:szCs w:val="16"/>
              </w:rPr>
            </w:pPr>
            <w:r w:rsidRPr="001E275C">
              <w:rPr>
                <w:b/>
                <w:sz w:val="16"/>
                <w:szCs w:val="16"/>
              </w:rPr>
              <w:t>Subjekt</w:t>
            </w:r>
          </w:p>
        </w:tc>
        <w:tc>
          <w:tcPr>
            <w:tcW w:w="1066" w:type="pct"/>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AA0F39" w:rsidRPr="001E275C" w:rsidRDefault="00AA0F39" w:rsidP="009D2783">
            <w:pPr>
              <w:jc w:val="center"/>
              <w:rPr>
                <w:b/>
                <w:sz w:val="16"/>
                <w:szCs w:val="16"/>
              </w:rPr>
            </w:pPr>
            <w:r w:rsidRPr="001E275C">
              <w:rPr>
                <w:b/>
                <w:sz w:val="16"/>
                <w:szCs w:val="16"/>
              </w:rPr>
              <w:t>Skutečný přepočtený stav pracovníků dle administrativní kapacity za rok 201</w:t>
            </w:r>
            <w:r>
              <w:rPr>
                <w:b/>
                <w:sz w:val="16"/>
                <w:szCs w:val="16"/>
              </w:rPr>
              <w:t>4</w:t>
            </w:r>
          </w:p>
        </w:tc>
        <w:tc>
          <w:tcPr>
            <w:tcW w:w="687" w:type="pct"/>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AA0F39" w:rsidRPr="001E275C" w:rsidRDefault="00AA0F39" w:rsidP="009D2783">
            <w:pPr>
              <w:jc w:val="center"/>
              <w:rPr>
                <w:b/>
                <w:sz w:val="16"/>
                <w:szCs w:val="16"/>
              </w:rPr>
            </w:pPr>
            <w:r w:rsidRPr="001E275C">
              <w:rPr>
                <w:b/>
                <w:sz w:val="16"/>
                <w:szCs w:val="16"/>
              </w:rPr>
              <w:t>Počet zahájených pracovních poměrů</w:t>
            </w:r>
          </w:p>
        </w:tc>
        <w:tc>
          <w:tcPr>
            <w:tcW w:w="706" w:type="pct"/>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AA0F39" w:rsidRPr="001E275C" w:rsidRDefault="00AA0F39" w:rsidP="009D2783">
            <w:pPr>
              <w:jc w:val="center"/>
              <w:rPr>
                <w:b/>
                <w:sz w:val="16"/>
                <w:szCs w:val="16"/>
              </w:rPr>
            </w:pPr>
            <w:r w:rsidRPr="001E275C">
              <w:rPr>
                <w:b/>
                <w:sz w:val="16"/>
                <w:szCs w:val="16"/>
              </w:rPr>
              <w:t>Počet ukončených pracovních poměrů</w:t>
            </w:r>
          </w:p>
        </w:tc>
      </w:tr>
      <w:tr w:rsidR="00AA0F39" w:rsidRPr="007C1FF9" w:rsidTr="009D2783">
        <w:trPr>
          <w:trHeight w:val="314"/>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0784F" w:rsidRDefault="00AA0F39" w:rsidP="009D2783">
            <w:pPr>
              <w:jc w:val="both"/>
              <w:rPr>
                <w:sz w:val="18"/>
                <w:szCs w:val="18"/>
              </w:rPr>
            </w:pPr>
            <w:r w:rsidRPr="0060784F">
              <w:rPr>
                <w:sz w:val="18"/>
                <w:szCs w:val="18"/>
              </w:rPr>
              <w:t>ŘO  IOP + odbory MMR ČR podílející se na činnosti ŘO IOP</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0784F" w:rsidRDefault="00AA0F39" w:rsidP="009D2783">
            <w:pPr>
              <w:jc w:val="center"/>
              <w:rPr>
                <w:sz w:val="18"/>
                <w:szCs w:val="18"/>
              </w:rPr>
            </w:pPr>
            <w:r w:rsidRPr="0060784F">
              <w:rPr>
                <w:sz w:val="18"/>
                <w:szCs w:val="18"/>
              </w:rPr>
              <w:t>69,21</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0784F" w:rsidRDefault="00AA0F39" w:rsidP="009D2783">
            <w:pPr>
              <w:jc w:val="center"/>
              <w:rPr>
                <w:sz w:val="18"/>
                <w:szCs w:val="18"/>
              </w:rPr>
            </w:pPr>
            <w:r w:rsidRPr="0060784F">
              <w:rPr>
                <w:sz w:val="18"/>
                <w:szCs w:val="18"/>
              </w:rPr>
              <w:t>19,75</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0784F" w:rsidRDefault="00AA0F39" w:rsidP="009D2783">
            <w:pPr>
              <w:jc w:val="center"/>
              <w:rPr>
                <w:sz w:val="18"/>
                <w:szCs w:val="18"/>
              </w:rPr>
            </w:pPr>
            <w:r w:rsidRPr="0060784F">
              <w:rPr>
                <w:sz w:val="18"/>
                <w:szCs w:val="18"/>
              </w:rPr>
              <w:t>16,95</w:t>
            </w:r>
          </w:p>
        </w:tc>
      </w:tr>
      <w:tr w:rsidR="00AA0F39" w:rsidRPr="007C1FF9" w:rsidTr="009D2783">
        <w:trPr>
          <w:trHeight w:val="266"/>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0784F" w:rsidRDefault="00AA0F39" w:rsidP="009D2783">
            <w:pPr>
              <w:jc w:val="both"/>
              <w:rPr>
                <w:sz w:val="18"/>
                <w:szCs w:val="18"/>
              </w:rPr>
            </w:pPr>
            <w:r w:rsidRPr="0060784F">
              <w:rPr>
                <w:sz w:val="18"/>
                <w:szCs w:val="18"/>
              </w:rPr>
              <w:t>Centrum pro regionální rozvoj ČR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0784F" w:rsidRDefault="00AA0F39" w:rsidP="009D2783">
            <w:pPr>
              <w:jc w:val="center"/>
              <w:rPr>
                <w:sz w:val="18"/>
                <w:szCs w:val="18"/>
              </w:rPr>
            </w:pPr>
            <w:r w:rsidRPr="0060784F">
              <w:rPr>
                <w:sz w:val="18"/>
                <w:szCs w:val="18"/>
              </w:rPr>
              <w:t>54,55</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0784F" w:rsidRDefault="00AA0F39" w:rsidP="009D2783">
            <w:pPr>
              <w:jc w:val="center"/>
              <w:rPr>
                <w:color w:val="FF0000"/>
                <w:sz w:val="18"/>
                <w:szCs w:val="18"/>
                <w:highlight w:val="yellow"/>
              </w:rPr>
            </w:pPr>
            <w:r w:rsidRPr="0060784F">
              <w:rPr>
                <w:sz w:val="18"/>
                <w:szCs w:val="18"/>
              </w:rPr>
              <w:t>12</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0784F" w:rsidRDefault="00AA0F39" w:rsidP="009D2783">
            <w:pPr>
              <w:jc w:val="center"/>
              <w:rPr>
                <w:color w:val="FF0000"/>
                <w:sz w:val="18"/>
                <w:szCs w:val="18"/>
                <w:highlight w:val="yellow"/>
              </w:rPr>
            </w:pPr>
            <w:r w:rsidRPr="0060784F">
              <w:rPr>
                <w:sz w:val="18"/>
                <w:szCs w:val="18"/>
              </w:rPr>
              <w:t>11</w:t>
            </w:r>
          </w:p>
        </w:tc>
      </w:tr>
      <w:tr w:rsidR="00AA0F39" w:rsidRPr="007C1FF9" w:rsidTr="009D2783">
        <w:trPr>
          <w:trHeight w:val="314"/>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0784F" w:rsidRDefault="00AA0F39" w:rsidP="009D2783">
            <w:pPr>
              <w:jc w:val="both"/>
              <w:rPr>
                <w:sz w:val="18"/>
                <w:szCs w:val="18"/>
              </w:rPr>
            </w:pPr>
            <w:r w:rsidRPr="0060784F">
              <w:rPr>
                <w:sz w:val="18"/>
                <w:szCs w:val="18"/>
              </w:rPr>
              <w:t>Ministerstvo vnitra ČR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0784F" w:rsidRDefault="00AA0F39" w:rsidP="00E91CB3">
            <w:pPr>
              <w:jc w:val="center"/>
              <w:rPr>
                <w:sz w:val="18"/>
                <w:szCs w:val="18"/>
              </w:rPr>
            </w:pPr>
            <w:r w:rsidRPr="0060784F">
              <w:rPr>
                <w:sz w:val="18"/>
                <w:szCs w:val="18"/>
              </w:rPr>
              <w:t>2</w:t>
            </w:r>
            <w:r w:rsidR="00E91CB3">
              <w:rPr>
                <w:sz w:val="18"/>
                <w:szCs w:val="18"/>
              </w:rPr>
              <w:t>2</w:t>
            </w:r>
            <w:r w:rsidRPr="0060784F">
              <w:rPr>
                <w:sz w:val="18"/>
                <w:szCs w:val="18"/>
              </w:rPr>
              <w:t>,</w:t>
            </w:r>
            <w:r w:rsidR="00E91CB3">
              <w:rPr>
                <w:sz w:val="18"/>
                <w:szCs w:val="18"/>
              </w:rPr>
              <w:t>17</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0784F" w:rsidRDefault="00AA0F39" w:rsidP="009D2783">
            <w:pPr>
              <w:jc w:val="center"/>
              <w:rPr>
                <w:sz w:val="18"/>
                <w:szCs w:val="18"/>
              </w:rPr>
            </w:pPr>
            <w:r w:rsidRPr="0060784F">
              <w:rPr>
                <w:sz w:val="18"/>
                <w:szCs w:val="18"/>
              </w:rPr>
              <w:t>5</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0784F" w:rsidRDefault="00AA0F39" w:rsidP="009D2783">
            <w:pPr>
              <w:jc w:val="center"/>
              <w:rPr>
                <w:sz w:val="18"/>
                <w:szCs w:val="18"/>
              </w:rPr>
            </w:pPr>
            <w:r w:rsidRPr="0060784F">
              <w:rPr>
                <w:sz w:val="18"/>
                <w:szCs w:val="18"/>
              </w:rPr>
              <w:t>9</w:t>
            </w:r>
          </w:p>
        </w:tc>
      </w:tr>
      <w:tr w:rsidR="00AA0F39" w:rsidRPr="007C1FF9" w:rsidTr="009D2783">
        <w:trPr>
          <w:trHeight w:val="314"/>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0784F" w:rsidRDefault="00AA0F39" w:rsidP="009D2783">
            <w:pPr>
              <w:jc w:val="both"/>
              <w:rPr>
                <w:sz w:val="18"/>
                <w:szCs w:val="18"/>
              </w:rPr>
            </w:pPr>
            <w:r w:rsidRPr="0060784F">
              <w:rPr>
                <w:sz w:val="18"/>
                <w:szCs w:val="18"/>
              </w:rPr>
              <w:t>Ministerstvo práce a sociálních věcí ČR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0784F" w:rsidRDefault="00AA0F39" w:rsidP="009D2783">
            <w:pPr>
              <w:jc w:val="center"/>
              <w:rPr>
                <w:sz w:val="18"/>
                <w:szCs w:val="18"/>
              </w:rPr>
            </w:pPr>
            <w:r w:rsidRPr="0060784F">
              <w:rPr>
                <w:sz w:val="18"/>
                <w:szCs w:val="18"/>
              </w:rPr>
              <w:t>20,66</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0784F" w:rsidRDefault="00AA0F39" w:rsidP="009D2783">
            <w:pPr>
              <w:jc w:val="center"/>
              <w:rPr>
                <w:sz w:val="18"/>
                <w:szCs w:val="18"/>
              </w:rPr>
            </w:pPr>
            <w:r w:rsidRPr="0060784F">
              <w:rPr>
                <w:sz w:val="18"/>
                <w:szCs w:val="18"/>
              </w:rPr>
              <w:t>5</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0784F" w:rsidRDefault="00AA0F39" w:rsidP="009D2783">
            <w:pPr>
              <w:jc w:val="center"/>
              <w:rPr>
                <w:sz w:val="18"/>
                <w:szCs w:val="18"/>
              </w:rPr>
            </w:pPr>
            <w:r w:rsidRPr="0060784F">
              <w:rPr>
                <w:sz w:val="18"/>
                <w:szCs w:val="18"/>
              </w:rPr>
              <w:t>5</w:t>
            </w:r>
          </w:p>
        </w:tc>
      </w:tr>
      <w:tr w:rsidR="00AA0F39" w:rsidRPr="007C1FF9" w:rsidTr="009D2783">
        <w:trPr>
          <w:trHeight w:val="263"/>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0784F" w:rsidRDefault="00AA0F39" w:rsidP="009D2783">
            <w:pPr>
              <w:jc w:val="both"/>
              <w:rPr>
                <w:sz w:val="18"/>
                <w:szCs w:val="18"/>
              </w:rPr>
            </w:pPr>
            <w:r w:rsidRPr="0060784F">
              <w:rPr>
                <w:sz w:val="18"/>
                <w:szCs w:val="18"/>
              </w:rPr>
              <w:t>Ministerstvo zdravotnictví ČR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0784F" w:rsidRDefault="00AA0F39" w:rsidP="009D2783">
            <w:pPr>
              <w:jc w:val="center"/>
              <w:rPr>
                <w:sz w:val="18"/>
                <w:szCs w:val="18"/>
              </w:rPr>
            </w:pPr>
            <w:r w:rsidRPr="0060784F">
              <w:rPr>
                <w:sz w:val="18"/>
                <w:szCs w:val="18"/>
              </w:rPr>
              <w:t>22,5</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0784F" w:rsidRDefault="00AA0F39" w:rsidP="009D2783">
            <w:pPr>
              <w:jc w:val="center"/>
              <w:rPr>
                <w:sz w:val="18"/>
                <w:szCs w:val="18"/>
              </w:rPr>
            </w:pPr>
            <w:r w:rsidRPr="0060784F">
              <w:rPr>
                <w:sz w:val="18"/>
                <w:szCs w:val="18"/>
              </w:rPr>
              <w:t>5</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0784F" w:rsidRDefault="00AA0F39" w:rsidP="009D2783">
            <w:pPr>
              <w:jc w:val="center"/>
              <w:rPr>
                <w:sz w:val="18"/>
                <w:szCs w:val="18"/>
              </w:rPr>
            </w:pPr>
            <w:r w:rsidRPr="0060784F">
              <w:rPr>
                <w:sz w:val="18"/>
                <w:szCs w:val="18"/>
              </w:rPr>
              <w:t>3</w:t>
            </w:r>
          </w:p>
        </w:tc>
      </w:tr>
      <w:tr w:rsidR="00AA0F39" w:rsidRPr="007C1FF9" w:rsidTr="00AA0F39">
        <w:trPr>
          <w:trHeight w:val="302"/>
          <w:jc w:val="center"/>
        </w:trPr>
        <w:tc>
          <w:tcPr>
            <w:tcW w:w="2541" w:type="pct"/>
            <w:tcBorders>
              <w:top w:val="single" w:sz="6" w:space="0" w:color="4F6228"/>
              <w:left w:val="double" w:sz="4" w:space="0" w:color="4F6228"/>
              <w:bottom w:val="double" w:sz="4" w:space="0" w:color="4F6228"/>
              <w:right w:val="single" w:sz="6" w:space="0" w:color="4F6228"/>
            </w:tcBorders>
            <w:shd w:val="clear" w:color="auto" w:fill="C2D69B" w:themeFill="accent3" w:themeFillTint="99"/>
            <w:noWrap/>
            <w:vAlign w:val="center"/>
          </w:tcPr>
          <w:p w:rsidR="00AA0F39" w:rsidRPr="001E275C" w:rsidRDefault="00AA0F39" w:rsidP="009D2783">
            <w:pPr>
              <w:jc w:val="both"/>
              <w:rPr>
                <w:b/>
                <w:sz w:val="16"/>
                <w:szCs w:val="16"/>
              </w:rPr>
            </w:pPr>
            <w:r w:rsidRPr="001E275C">
              <w:rPr>
                <w:b/>
                <w:sz w:val="16"/>
                <w:szCs w:val="16"/>
              </w:rPr>
              <w:t>CELKEM</w:t>
            </w:r>
          </w:p>
        </w:tc>
        <w:tc>
          <w:tcPr>
            <w:tcW w:w="1066" w:type="pct"/>
            <w:tcBorders>
              <w:top w:val="single" w:sz="6" w:space="0" w:color="4F6228"/>
              <w:left w:val="single" w:sz="6" w:space="0" w:color="4F6228"/>
              <w:bottom w:val="double" w:sz="4" w:space="0" w:color="4F6228"/>
              <w:right w:val="single" w:sz="6" w:space="0" w:color="4F6228"/>
            </w:tcBorders>
            <w:shd w:val="clear" w:color="auto" w:fill="C2D69B" w:themeFill="accent3" w:themeFillTint="99"/>
            <w:noWrap/>
            <w:vAlign w:val="center"/>
          </w:tcPr>
          <w:p w:rsidR="00AA0F39" w:rsidRPr="0060784F" w:rsidRDefault="00E91CB3" w:rsidP="00E91CB3">
            <w:pPr>
              <w:jc w:val="center"/>
              <w:rPr>
                <w:b/>
                <w:sz w:val="18"/>
                <w:szCs w:val="18"/>
              </w:rPr>
            </w:pPr>
            <w:r>
              <w:rPr>
                <w:b/>
                <w:sz w:val="18"/>
                <w:szCs w:val="18"/>
              </w:rPr>
              <w:t>189</w:t>
            </w:r>
            <w:r w:rsidR="00AA0F39" w:rsidRPr="0060784F">
              <w:rPr>
                <w:b/>
                <w:sz w:val="18"/>
                <w:szCs w:val="18"/>
              </w:rPr>
              <w:t>,</w:t>
            </w:r>
            <w:r>
              <w:rPr>
                <w:b/>
                <w:sz w:val="18"/>
                <w:szCs w:val="18"/>
              </w:rPr>
              <w:t>09</w:t>
            </w:r>
          </w:p>
        </w:tc>
        <w:tc>
          <w:tcPr>
            <w:tcW w:w="687" w:type="pct"/>
            <w:tcBorders>
              <w:top w:val="single" w:sz="6" w:space="0" w:color="4F6228"/>
              <w:left w:val="single" w:sz="6" w:space="0" w:color="4F6228"/>
              <w:bottom w:val="double" w:sz="4" w:space="0" w:color="4F6228"/>
              <w:right w:val="single" w:sz="6" w:space="0" w:color="4F6228"/>
            </w:tcBorders>
            <w:shd w:val="clear" w:color="auto" w:fill="C2D69B" w:themeFill="accent3" w:themeFillTint="99"/>
            <w:vAlign w:val="center"/>
          </w:tcPr>
          <w:p w:rsidR="00AA0F39" w:rsidRPr="0060784F" w:rsidRDefault="00AA0F39" w:rsidP="009D2783">
            <w:pPr>
              <w:jc w:val="center"/>
              <w:rPr>
                <w:b/>
                <w:sz w:val="18"/>
                <w:szCs w:val="18"/>
              </w:rPr>
            </w:pPr>
            <w:r w:rsidRPr="0060784F">
              <w:rPr>
                <w:b/>
                <w:sz w:val="18"/>
                <w:szCs w:val="18"/>
              </w:rPr>
              <w:t>46,75</w:t>
            </w:r>
          </w:p>
        </w:tc>
        <w:tc>
          <w:tcPr>
            <w:tcW w:w="706" w:type="pct"/>
            <w:tcBorders>
              <w:top w:val="single" w:sz="6" w:space="0" w:color="4F6228"/>
              <w:left w:val="single" w:sz="6" w:space="0" w:color="4F6228"/>
              <w:bottom w:val="double" w:sz="4" w:space="0" w:color="4F6228"/>
              <w:right w:val="double" w:sz="4" w:space="0" w:color="4F6228"/>
            </w:tcBorders>
            <w:shd w:val="clear" w:color="auto" w:fill="C2D69B" w:themeFill="accent3" w:themeFillTint="99"/>
            <w:vAlign w:val="center"/>
          </w:tcPr>
          <w:p w:rsidR="00AA0F39" w:rsidRPr="0060784F" w:rsidRDefault="00AA0F39" w:rsidP="009D2783">
            <w:pPr>
              <w:jc w:val="center"/>
              <w:rPr>
                <w:b/>
                <w:sz w:val="18"/>
                <w:szCs w:val="18"/>
              </w:rPr>
            </w:pPr>
            <w:r w:rsidRPr="0060784F">
              <w:rPr>
                <w:b/>
                <w:sz w:val="18"/>
                <w:szCs w:val="18"/>
              </w:rPr>
              <w:t>44,95</w:t>
            </w:r>
          </w:p>
        </w:tc>
      </w:tr>
    </w:tbl>
    <w:p w:rsidR="00AA0F39" w:rsidRDefault="00AA0F39" w:rsidP="00AA0F39">
      <w:pPr>
        <w:jc w:val="both"/>
        <w:rPr>
          <w:i/>
          <w:sz w:val="18"/>
          <w:szCs w:val="18"/>
        </w:rPr>
      </w:pPr>
      <w:r w:rsidRPr="00BF7BA2">
        <w:rPr>
          <w:i/>
          <w:sz w:val="18"/>
          <w:szCs w:val="18"/>
        </w:rPr>
        <w:t xml:space="preserve"> Zdroj: Zpráva o zajištění administrativních kapacit implementační struktury IOP za rok 201</w:t>
      </w:r>
      <w:r>
        <w:rPr>
          <w:i/>
          <w:sz w:val="18"/>
          <w:szCs w:val="18"/>
        </w:rPr>
        <w:t>4</w:t>
      </w:r>
    </w:p>
    <w:p w:rsidR="00121057" w:rsidRDefault="00121057" w:rsidP="00AA0F39">
      <w:pPr>
        <w:jc w:val="both"/>
        <w:rPr>
          <w:sz w:val="22"/>
          <w:szCs w:val="22"/>
        </w:rPr>
      </w:pPr>
    </w:p>
    <w:p w:rsidR="00900DBE" w:rsidRPr="009364CF" w:rsidRDefault="00900DBE" w:rsidP="00900DBE">
      <w:pPr>
        <w:jc w:val="both"/>
        <w:rPr>
          <w:sz w:val="22"/>
          <w:szCs w:val="22"/>
        </w:rPr>
      </w:pPr>
      <w:r w:rsidRPr="00516246">
        <w:rPr>
          <w:sz w:val="22"/>
          <w:szCs w:val="22"/>
        </w:rPr>
        <w:t xml:space="preserve">Rok 2014 byl obdobím změn ve struktuře operačních programů, </w:t>
      </w:r>
      <w:r>
        <w:rPr>
          <w:sz w:val="22"/>
          <w:szCs w:val="22"/>
        </w:rPr>
        <w:t>které</w:t>
      </w:r>
      <w:r w:rsidRPr="00516246">
        <w:rPr>
          <w:sz w:val="22"/>
          <w:szCs w:val="22"/>
        </w:rPr>
        <w:t xml:space="preserve"> bud</w:t>
      </w:r>
      <w:r>
        <w:rPr>
          <w:sz w:val="22"/>
          <w:szCs w:val="22"/>
        </w:rPr>
        <w:t>ou</w:t>
      </w:r>
      <w:r w:rsidRPr="00516246">
        <w:rPr>
          <w:sz w:val="22"/>
          <w:szCs w:val="22"/>
        </w:rPr>
        <w:t xml:space="preserve"> pokračovat</w:t>
      </w:r>
      <w:r>
        <w:rPr>
          <w:sz w:val="22"/>
          <w:szCs w:val="22"/>
        </w:rPr>
        <w:t xml:space="preserve"> i v roce 2015, kdy bylo </w:t>
      </w:r>
      <w:r w:rsidRPr="00516246">
        <w:rPr>
          <w:sz w:val="22"/>
          <w:szCs w:val="22"/>
        </w:rPr>
        <w:t xml:space="preserve">zapotřebí jednak </w:t>
      </w:r>
      <w:r>
        <w:rPr>
          <w:sz w:val="22"/>
          <w:szCs w:val="22"/>
        </w:rPr>
        <w:t>realizovat</w:t>
      </w:r>
      <w:r w:rsidRPr="00516246">
        <w:rPr>
          <w:sz w:val="22"/>
          <w:szCs w:val="22"/>
        </w:rPr>
        <w:t xml:space="preserve"> čerpání IOP a zároveň </w:t>
      </w:r>
      <w:r>
        <w:rPr>
          <w:sz w:val="22"/>
          <w:szCs w:val="22"/>
        </w:rPr>
        <w:t>se</w:t>
      </w:r>
      <w:r w:rsidRPr="00516246">
        <w:rPr>
          <w:sz w:val="22"/>
          <w:szCs w:val="22"/>
        </w:rPr>
        <w:t xml:space="preserve"> věnovat přípravě programového období 2014 – 2020. ŘO IOP vypracoval k 31. 8.</w:t>
      </w:r>
      <w:r>
        <w:rPr>
          <w:sz w:val="22"/>
          <w:szCs w:val="22"/>
        </w:rPr>
        <w:t xml:space="preserve"> 2014</w:t>
      </w:r>
      <w:r w:rsidRPr="00516246">
        <w:rPr>
          <w:sz w:val="22"/>
          <w:szCs w:val="22"/>
        </w:rPr>
        <w:t xml:space="preserve"> Analýzu administrativn</w:t>
      </w:r>
      <w:r>
        <w:rPr>
          <w:sz w:val="22"/>
          <w:szCs w:val="22"/>
        </w:rPr>
        <w:t xml:space="preserve">í kapacity pro pokrytí činností v programovém </w:t>
      </w:r>
      <w:r w:rsidRPr="00516246">
        <w:rPr>
          <w:sz w:val="22"/>
          <w:szCs w:val="22"/>
        </w:rPr>
        <w:t>období 2007-2013 a 2014-2020</w:t>
      </w:r>
      <w:r w:rsidRPr="0087109B">
        <w:rPr>
          <w:sz w:val="22"/>
          <w:szCs w:val="22"/>
        </w:rPr>
        <w:t xml:space="preserve">. </w:t>
      </w:r>
    </w:p>
    <w:p w:rsidR="008D310D" w:rsidRPr="009364CF" w:rsidRDefault="008D310D" w:rsidP="008D310D">
      <w:pPr>
        <w:jc w:val="both"/>
        <w:rPr>
          <w:sz w:val="22"/>
          <w:szCs w:val="22"/>
        </w:rPr>
      </w:pPr>
    </w:p>
    <w:p w:rsidR="00CC54CE" w:rsidRDefault="008D310D" w:rsidP="008D310D">
      <w:pPr>
        <w:jc w:val="both"/>
        <w:rPr>
          <w:sz w:val="22"/>
          <w:szCs w:val="22"/>
        </w:rPr>
      </w:pPr>
      <w:r w:rsidRPr="009364CF">
        <w:rPr>
          <w:sz w:val="22"/>
          <w:szCs w:val="22"/>
        </w:rPr>
        <w:t>ŘO IOP si je vědom závazku</w:t>
      </w:r>
      <w:r w:rsidR="009F521A">
        <w:rPr>
          <w:sz w:val="22"/>
          <w:szCs w:val="22"/>
        </w:rPr>
        <w:t>,</w:t>
      </w:r>
      <w:r w:rsidRPr="009364CF">
        <w:rPr>
          <w:sz w:val="22"/>
          <w:szCs w:val="22"/>
        </w:rPr>
        <w:t xml:space="preserve"> plynoucího z kapitoly 4.2 Programového dokumentu IOP – Administrativní kapacita, kde je stanoven předpokládaný cílový stav pracovníků implementační struktury IOP na 179 pracovníků. Tento stav byl za rok 201</w:t>
      </w:r>
      <w:r>
        <w:rPr>
          <w:sz w:val="22"/>
          <w:szCs w:val="22"/>
        </w:rPr>
        <w:t>4</w:t>
      </w:r>
      <w:r w:rsidRPr="009364CF">
        <w:rPr>
          <w:sz w:val="22"/>
          <w:szCs w:val="22"/>
        </w:rPr>
        <w:t xml:space="preserve"> překročen o </w:t>
      </w:r>
      <w:r w:rsidR="00495B39">
        <w:rPr>
          <w:sz w:val="22"/>
          <w:szCs w:val="22"/>
        </w:rPr>
        <w:t>10</w:t>
      </w:r>
      <w:r>
        <w:rPr>
          <w:sz w:val="22"/>
          <w:szCs w:val="22"/>
        </w:rPr>
        <w:t>,</w:t>
      </w:r>
      <w:r w:rsidR="00495B39">
        <w:rPr>
          <w:sz w:val="22"/>
          <w:szCs w:val="22"/>
        </w:rPr>
        <w:t>09</w:t>
      </w:r>
      <w:r w:rsidRPr="009364CF">
        <w:rPr>
          <w:sz w:val="22"/>
          <w:szCs w:val="22"/>
        </w:rPr>
        <w:t xml:space="preserve"> pracovníků</w:t>
      </w:r>
      <w:r>
        <w:rPr>
          <w:sz w:val="22"/>
          <w:szCs w:val="22"/>
        </w:rPr>
        <w:t>. Oproti roku 2013 došlo k nepatrnému snížení překročení stanovené hodnoty o 1,29 pracovníků</w:t>
      </w:r>
      <w:r w:rsidRPr="009364CF">
        <w:rPr>
          <w:sz w:val="22"/>
          <w:szCs w:val="22"/>
        </w:rPr>
        <w:t>. ŘO IOP musí</w:t>
      </w:r>
      <w:r>
        <w:rPr>
          <w:sz w:val="22"/>
          <w:szCs w:val="22"/>
        </w:rPr>
        <w:t xml:space="preserve"> i</w:t>
      </w:r>
      <w:r w:rsidRPr="009364CF">
        <w:rPr>
          <w:sz w:val="22"/>
          <w:szCs w:val="22"/>
        </w:rPr>
        <w:t xml:space="preserve"> v následujícím období administrativní kapacity sledovat a postupně snižovat </w:t>
      </w:r>
      <w:r>
        <w:rPr>
          <w:sz w:val="22"/>
          <w:szCs w:val="22"/>
        </w:rPr>
        <w:t xml:space="preserve">počet pracovníků </w:t>
      </w:r>
      <w:r w:rsidRPr="009364CF">
        <w:rPr>
          <w:sz w:val="22"/>
          <w:szCs w:val="22"/>
        </w:rPr>
        <w:t>v celé implementační struktu</w:t>
      </w:r>
      <w:r>
        <w:rPr>
          <w:sz w:val="22"/>
          <w:szCs w:val="22"/>
        </w:rPr>
        <w:t>ře</w:t>
      </w:r>
      <w:r w:rsidRPr="009364CF">
        <w:rPr>
          <w:sz w:val="22"/>
          <w:szCs w:val="22"/>
        </w:rPr>
        <w:t xml:space="preserve">. </w:t>
      </w:r>
    </w:p>
    <w:p w:rsidR="00EC3379" w:rsidRDefault="00EC3379" w:rsidP="000F2A6C">
      <w:pPr>
        <w:pStyle w:val="Nadpis3"/>
      </w:pPr>
      <w:bookmarkStart w:id="85" w:name="_Toc417024851"/>
      <w:r w:rsidRPr="00EC3379">
        <w:t>2.3.</w:t>
      </w:r>
      <w:bookmarkStart w:id="86" w:name="_Toc402516851"/>
      <w:r w:rsidR="00311546">
        <w:t>8</w:t>
      </w:r>
      <w:r>
        <w:t xml:space="preserve"> </w:t>
      </w:r>
      <w:r w:rsidRPr="00716250">
        <w:t>Česká pošta</w:t>
      </w:r>
      <w:bookmarkEnd w:id="86"/>
      <w:bookmarkEnd w:id="85"/>
      <w:r w:rsidRPr="00716250">
        <w:t xml:space="preserve"> </w:t>
      </w:r>
    </w:p>
    <w:p w:rsidR="009F521A" w:rsidRPr="00D06A4F" w:rsidRDefault="009F521A" w:rsidP="009F521A">
      <w:pPr>
        <w:shd w:val="clear" w:color="auto" w:fill="FFFFFF"/>
        <w:jc w:val="both"/>
        <w:rPr>
          <w:color w:val="222222"/>
          <w:sz w:val="22"/>
          <w:szCs w:val="22"/>
        </w:rPr>
      </w:pPr>
      <w:bookmarkStart w:id="87" w:name="_Toc382407678"/>
      <w:bookmarkStart w:id="88" w:name="_Toc383084685"/>
      <w:r>
        <w:rPr>
          <w:color w:val="222222"/>
          <w:sz w:val="22"/>
          <w:szCs w:val="22"/>
        </w:rPr>
        <w:t>Česká pošta, odštěpný závod ICT (dále jen „</w:t>
      </w:r>
      <w:r w:rsidRPr="00D06A4F">
        <w:rPr>
          <w:color w:val="222222"/>
          <w:sz w:val="22"/>
          <w:szCs w:val="22"/>
        </w:rPr>
        <w:t>ČP OZ ICT</w:t>
      </w:r>
      <w:r>
        <w:rPr>
          <w:color w:val="222222"/>
          <w:sz w:val="22"/>
          <w:szCs w:val="22"/>
        </w:rPr>
        <w:t xml:space="preserve">“), </w:t>
      </w:r>
      <w:r w:rsidRPr="00D06A4F">
        <w:rPr>
          <w:color w:val="222222"/>
          <w:sz w:val="22"/>
          <w:szCs w:val="22"/>
        </w:rPr>
        <w:t>je zapojen</w:t>
      </w:r>
      <w:r>
        <w:rPr>
          <w:color w:val="222222"/>
          <w:sz w:val="22"/>
          <w:szCs w:val="22"/>
        </w:rPr>
        <w:t>á</w:t>
      </w:r>
      <w:r w:rsidRPr="00D06A4F">
        <w:rPr>
          <w:color w:val="222222"/>
          <w:sz w:val="22"/>
          <w:szCs w:val="22"/>
        </w:rPr>
        <w:t xml:space="preserve"> </w:t>
      </w:r>
      <w:r>
        <w:rPr>
          <w:color w:val="222222"/>
          <w:sz w:val="22"/>
          <w:szCs w:val="22"/>
        </w:rPr>
        <w:t xml:space="preserve">jako dodavatel </w:t>
      </w:r>
      <w:r w:rsidRPr="00D06A4F">
        <w:rPr>
          <w:color w:val="222222"/>
          <w:sz w:val="22"/>
          <w:szCs w:val="22"/>
        </w:rPr>
        <w:t xml:space="preserve">do realizace </w:t>
      </w:r>
      <w:r>
        <w:rPr>
          <w:color w:val="222222"/>
          <w:sz w:val="22"/>
          <w:szCs w:val="22"/>
        </w:rPr>
        <w:t>dvou</w:t>
      </w:r>
      <w:r w:rsidRPr="00D06A4F">
        <w:rPr>
          <w:color w:val="222222"/>
          <w:sz w:val="22"/>
          <w:szCs w:val="22"/>
        </w:rPr>
        <w:t xml:space="preserve"> projektů v oblasti intervence 1.1 v celkové hodnotě přibližně 1 mld. Kč a </w:t>
      </w:r>
      <w:r>
        <w:rPr>
          <w:color w:val="222222"/>
          <w:sz w:val="22"/>
          <w:szCs w:val="22"/>
        </w:rPr>
        <w:t>do čtrnácti</w:t>
      </w:r>
      <w:r w:rsidRPr="00D06A4F">
        <w:rPr>
          <w:color w:val="222222"/>
          <w:sz w:val="22"/>
          <w:szCs w:val="22"/>
        </w:rPr>
        <w:t xml:space="preserve"> projektů v oblasti intervence 3.4 v hodnotě 1 mld. Kč, na které navazují další projekty v oblasti intervence </w:t>
      </w:r>
      <w:r w:rsidR="006E0399">
        <w:rPr>
          <w:color w:val="222222"/>
          <w:sz w:val="22"/>
          <w:szCs w:val="22"/>
        </w:rPr>
        <w:br/>
      </w:r>
      <w:r w:rsidRPr="00D06A4F">
        <w:rPr>
          <w:color w:val="222222"/>
          <w:sz w:val="22"/>
          <w:szCs w:val="22"/>
        </w:rPr>
        <w:t xml:space="preserve">3.4 v hodnotě 1 mld. Kč. Jedná se o projekty </w:t>
      </w:r>
      <w:r>
        <w:rPr>
          <w:color w:val="222222"/>
          <w:sz w:val="22"/>
          <w:szCs w:val="22"/>
        </w:rPr>
        <w:t>m</w:t>
      </w:r>
      <w:r w:rsidRPr="00D06A4F">
        <w:rPr>
          <w:color w:val="222222"/>
          <w:sz w:val="22"/>
          <w:szCs w:val="22"/>
        </w:rPr>
        <w:t>inisterstva vnitra, Generálního ředitelství Hasičského záchranného sboru a krajských ředitelství Hasičského záchranného sboru.</w:t>
      </w:r>
    </w:p>
    <w:p w:rsidR="00F725D7" w:rsidRDefault="00F725D7" w:rsidP="00F725D7">
      <w:pPr>
        <w:shd w:val="clear" w:color="auto" w:fill="FFFFFF"/>
        <w:jc w:val="both"/>
        <w:rPr>
          <w:color w:val="222222"/>
          <w:sz w:val="22"/>
          <w:szCs w:val="22"/>
        </w:rPr>
      </w:pPr>
    </w:p>
    <w:p w:rsidR="00F17C12" w:rsidRPr="00D06A4F" w:rsidRDefault="00F17C12" w:rsidP="00F17C12">
      <w:pPr>
        <w:shd w:val="clear" w:color="auto" w:fill="FFFFFF"/>
        <w:jc w:val="both"/>
        <w:rPr>
          <w:color w:val="222222"/>
          <w:sz w:val="22"/>
          <w:szCs w:val="22"/>
        </w:rPr>
      </w:pPr>
      <w:r>
        <w:rPr>
          <w:color w:val="222222"/>
          <w:sz w:val="22"/>
          <w:szCs w:val="22"/>
        </w:rPr>
        <w:t>V</w:t>
      </w:r>
      <w:r w:rsidRPr="00D06A4F">
        <w:rPr>
          <w:color w:val="222222"/>
          <w:sz w:val="22"/>
          <w:szCs w:val="22"/>
        </w:rPr>
        <w:t>lád</w:t>
      </w:r>
      <w:r>
        <w:rPr>
          <w:color w:val="222222"/>
          <w:sz w:val="22"/>
          <w:szCs w:val="22"/>
        </w:rPr>
        <w:t>a</w:t>
      </w:r>
      <w:r w:rsidRPr="00D06A4F">
        <w:rPr>
          <w:color w:val="222222"/>
          <w:sz w:val="22"/>
          <w:szCs w:val="22"/>
        </w:rPr>
        <w:t xml:space="preserve"> urč</w:t>
      </w:r>
      <w:r>
        <w:rPr>
          <w:color w:val="222222"/>
          <w:sz w:val="22"/>
          <w:szCs w:val="22"/>
        </w:rPr>
        <w:t>ila</w:t>
      </w:r>
      <w:r w:rsidRPr="00D06A4F">
        <w:rPr>
          <w:color w:val="222222"/>
          <w:sz w:val="22"/>
          <w:szCs w:val="22"/>
        </w:rPr>
        <w:t xml:space="preserve"> ČP OZ ICT generálním dodavatelem podle </w:t>
      </w:r>
      <w:r>
        <w:rPr>
          <w:color w:val="222222"/>
          <w:sz w:val="22"/>
          <w:szCs w:val="22"/>
        </w:rPr>
        <w:t xml:space="preserve">§ 18 </w:t>
      </w:r>
      <w:r w:rsidRPr="00D06A4F">
        <w:rPr>
          <w:color w:val="222222"/>
          <w:sz w:val="22"/>
          <w:szCs w:val="22"/>
        </w:rPr>
        <w:t>Zákona</w:t>
      </w:r>
      <w:r>
        <w:rPr>
          <w:color w:val="222222"/>
          <w:sz w:val="22"/>
          <w:szCs w:val="22"/>
        </w:rPr>
        <w:t xml:space="preserve"> </w:t>
      </w:r>
      <w:r w:rsidRPr="00D06A4F">
        <w:rPr>
          <w:color w:val="222222"/>
          <w:sz w:val="22"/>
          <w:szCs w:val="22"/>
        </w:rPr>
        <w:t xml:space="preserve">o veřejných zakázkách </w:t>
      </w:r>
      <w:r>
        <w:rPr>
          <w:color w:val="222222"/>
          <w:sz w:val="22"/>
          <w:szCs w:val="22"/>
        </w:rPr>
        <w:br/>
      </w:r>
      <w:r w:rsidRPr="00D06A4F">
        <w:rPr>
          <w:color w:val="222222"/>
          <w:sz w:val="22"/>
          <w:szCs w:val="22"/>
        </w:rPr>
        <w:t>(tzv. in-house). Zásadním problémem je výběr subdodavatelů pro dodávky HW a SW vybavení. ČP OZ ICT selhává v roli veřejného zadavatele a neúměrně p</w:t>
      </w:r>
      <w:r>
        <w:rPr>
          <w:color w:val="222222"/>
          <w:sz w:val="22"/>
          <w:szCs w:val="22"/>
        </w:rPr>
        <w:t>rodlužuje</w:t>
      </w:r>
      <w:r w:rsidRPr="00D06A4F">
        <w:rPr>
          <w:color w:val="222222"/>
          <w:sz w:val="22"/>
          <w:szCs w:val="22"/>
        </w:rPr>
        <w:t xml:space="preserve"> realizac</w:t>
      </w:r>
      <w:r>
        <w:rPr>
          <w:color w:val="222222"/>
          <w:sz w:val="22"/>
          <w:szCs w:val="22"/>
        </w:rPr>
        <w:t>i</w:t>
      </w:r>
      <w:r w:rsidRPr="00D06A4F">
        <w:rPr>
          <w:color w:val="222222"/>
          <w:sz w:val="22"/>
          <w:szCs w:val="22"/>
        </w:rPr>
        <w:t xml:space="preserve"> veřejných zakázek. </w:t>
      </w:r>
    </w:p>
    <w:p w:rsidR="00F725D7" w:rsidRDefault="00F725D7" w:rsidP="00F725D7">
      <w:pPr>
        <w:shd w:val="clear" w:color="auto" w:fill="FFFFFF"/>
        <w:jc w:val="both"/>
        <w:rPr>
          <w:color w:val="222222"/>
          <w:sz w:val="22"/>
          <w:szCs w:val="22"/>
        </w:rPr>
      </w:pPr>
    </w:p>
    <w:p w:rsidR="00F725D7" w:rsidRPr="00452CFB" w:rsidRDefault="00F725D7" w:rsidP="00452CFB">
      <w:pPr>
        <w:shd w:val="clear" w:color="auto" w:fill="FFFFFF"/>
        <w:jc w:val="both"/>
        <w:rPr>
          <w:color w:val="222222"/>
        </w:rPr>
      </w:pPr>
      <w:r w:rsidRPr="00F725D7">
        <w:rPr>
          <w:sz w:val="22"/>
          <w:szCs w:val="22"/>
        </w:rPr>
        <w:t xml:space="preserve">ŘO IOP, ZS MV a CRR se zástupci příjemců intenzivně jednají, konzultují připravované veřejné zakázky a posouvají termíny pro předložení žádosti o platbu na </w:t>
      </w:r>
      <w:r w:rsidR="009F521A">
        <w:rPr>
          <w:sz w:val="22"/>
          <w:szCs w:val="22"/>
        </w:rPr>
        <w:t>nejzazší</w:t>
      </w:r>
      <w:r w:rsidRPr="00F725D7">
        <w:rPr>
          <w:sz w:val="22"/>
          <w:szCs w:val="22"/>
        </w:rPr>
        <w:t xml:space="preserve"> termíny.</w:t>
      </w:r>
      <w:r w:rsidRPr="00F725D7">
        <w:rPr>
          <w:rFonts w:ascii="Calibri" w:hAnsi="Calibri"/>
          <w:sz w:val="22"/>
          <w:szCs w:val="22"/>
        </w:rPr>
        <w:t xml:space="preserve"> </w:t>
      </w:r>
      <w:r w:rsidRPr="00F725D7">
        <w:rPr>
          <w:sz w:val="22"/>
          <w:szCs w:val="22"/>
        </w:rPr>
        <w:t xml:space="preserve">Přes veškerou snahu musel GŘ HZS hledat náhradní variantu realizace projektu NIS IZS, ve kterém je generálním </w:t>
      </w:r>
      <w:r w:rsidRPr="00F725D7">
        <w:rPr>
          <w:sz w:val="22"/>
          <w:szCs w:val="22"/>
        </w:rPr>
        <w:lastRenderedPageBreak/>
        <w:t>dodavatelem ČP OZ ICT. </w:t>
      </w:r>
      <w:r w:rsidR="00452CFB">
        <w:rPr>
          <w:color w:val="222222"/>
        </w:rPr>
        <w:t xml:space="preserve"> </w:t>
      </w:r>
      <w:r w:rsidRPr="00F725D7">
        <w:rPr>
          <w:sz w:val="22"/>
          <w:szCs w:val="22"/>
        </w:rPr>
        <w:t>Dne 16. 9. 2014 rozhodl ministr vnitra o realizaci hybridní varianty řešení projektu NIS IZS. GŘ HZS a ČP OZ ICT zpracovávají podklady pro změnu projektu a upřesňují technické řešení.</w:t>
      </w:r>
    </w:p>
    <w:p w:rsidR="00F725D7" w:rsidRDefault="00F725D7" w:rsidP="00C969A2"/>
    <w:p w:rsidR="00A75862" w:rsidRPr="00DF4078" w:rsidRDefault="00EC3379" w:rsidP="00F725D7">
      <w:pPr>
        <w:pStyle w:val="Nadpis3"/>
      </w:pPr>
      <w:bookmarkStart w:id="89" w:name="_Toc417024852"/>
      <w:r>
        <w:t>2.3.</w:t>
      </w:r>
      <w:r w:rsidR="00311546">
        <w:t>9</w:t>
      </w:r>
      <w:r w:rsidR="00A75862" w:rsidRPr="009026D3">
        <w:t xml:space="preserve"> Zesílené řízení rizik NOK</w:t>
      </w:r>
      <w:bookmarkEnd w:id="87"/>
      <w:bookmarkEnd w:id="88"/>
      <w:bookmarkEnd w:id="89"/>
    </w:p>
    <w:p w:rsidR="00066BC0" w:rsidRDefault="00066BC0" w:rsidP="00066BC0">
      <w:pPr>
        <w:pStyle w:val="Prosttext"/>
        <w:jc w:val="both"/>
        <w:rPr>
          <w:rFonts w:ascii="Times New Roman" w:hAnsi="Times New Roman"/>
          <w:sz w:val="22"/>
          <w:szCs w:val="22"/>
        </w:rPr>
      </w:pPr>
      <w:bookmarkStart w:id="90" w:name="_Toc382407679"/>
      <w:bookmarkStart w:id="91" w:name="_Toc383084686"/>
      <w:r w:rsidRPr="00EA2381">
        <w:rPr>
          <w:rFonts w:ascii="Times New Roman" w:hAnsi="Times New Roman"/>
          <w:sz w:val="22"/>
          <w:szCs w:val="22"/>
        </w:rPr>
        <w:t xml:space="preserve">V návaznosti na usnesení vlády ČR č. 94 ze dne 10. února 2014 ŘO IOP analyzoval rizika realizace IOP s ohledem na končící programové období a zpracoval krizový akční plán IOP </w:t>
      </w:r>
      <w:r w:rsidRPr="00EA2381">
        <w:rPr>
          <w:rFonts w:ascii="Times New Roman" w:hAnsi="Times New Roman"/>
          <w:sz w:val="22"/>
          <w:szCs w:val="22"/>
        </w:rPr>
        <w:br/>
        <w:t xml:space="preserve">s popisem rizik a opatření. Tento krizový plán schválila vláda usnesením č. 144/2014. </w:t>
      </w:r>
    </w:p>
    <w:p w:rsidR="00066BC0" w:rsidRPr="00EA2381" w:rsidRDefault="00066BC0" w:rsidP="00066BC0">
      <w:pPr>
        <w:pStyle w:val="Prosttext"/>
        <w:jc w:val="both"/>
        <w:rPr>
          <w:rFonts w:ascii="Times New Roman" w:hAnsi="Times New Roman"/>
          <w:sz w:val="22"/>
          <w:szCs w:val="22"/>
        </w:rPr>
      </w:pPr>
    </w:p>
    <w:p w:rsidR="006E0399" w:rsidRDefault="00066BC0" w:rsidP="00066BC0">
      <w:pPr>
        <w:spacing w:after="120"/>
        <w:jc w:val="both"/>
        <w:rPr>
          <w:sz w:val="22"/>
          <w:szCs w:val="22"/>
        </w:rPr>
      </w:pPr>
      <w:r w:rsidRPr="00F929ED">
        <w:rPr>
          <w:sz w:val="22"/>
          <w:szCs w:val="22"/>
        </w:rPr>
        <w:t xml:space="preserve">S ohledem na blížící se konec programového období vyvstává riziko nastavení takové úrovně </w:t>
      </w:r>
      <w:proofErr w:type="spellStart"/>
      <w:r w:rsidRPr="00F929ED">
        <w:rPr>
          <w:sz w:val="22"/>
          <w:szCs w:val="22"/>
        </w:rPr>
        <w:t>závazkování</w:t>
      </w:r>
      <w:proofErr w:type="spellEnd"/>
      <w:r w:rsidRPr="00F929ED">
        <w:rPr>
          <w:sz w:val="22"/>
          <w:szCs w:val="22"/>
        </w:rPr>
        <w:t xml:space="preserve"> projektů v jednotlivých oblastech intervence, aby na konci roku 2015 </w:t>
      </w:r>
      <w:r>
        <w:rPr>
          <w:sz w:val="22"/>
          <w:szCs w:val="22"/>
        </w:rPr>
        <w:t xml:space="preserve">i přes úspory v projektech </w:t>
      </w:r>
      <w:r w:rsidRPr="00F929ED">
        <w:rPr>
          <w:sz w:val="22"/>
          <w:szCs w:val="22"/>
        </w:rPr>
        <w:t xml:space="preserve">byla využita maximální výše alokace programu. </w:t>
      </w:r>
    </w:p>
    <w:p w:rsidR="00F40DD9" w:rsidRDefault="00F40DD9" w:rsidP="00066BC0">
      <w:pPr>
        <w:spacing w:after="120"/>
        <w:jc w:val="both"/>
        <w:rPr>
          <w:sz w:val="22"/>
          <w:szCs w:val="22"/>
        </w:rPr>
      </w:pPr>
    </w:p>
    <w:p w:rsidR="00066BC0" w:rsidRDefault="00066BC0" w:rsidP="00066BC0">
      <w:pPr>
        <w:spacing w:after="120"/>
        <w:jc w:val="both"/>
        <w:rPr>
          <w:sz w:val="22"/>
          <w:szCs w:val="22"/>
        </w:rPr>
      </w:pPr>
      <w:r w:rsidRPr="00F929ED">
        <w:rPr>
          <w:sz w:val="22"/>
          <w:szCs w:val="22"/>
        </w:rPr>
        <w:t xml:space="preserve">ŘO IOP </w:t>
      </w:r>
      <w:r>
        <w:rPr>
          <w:sz w:val="22"/>
          <w:szCs w:val="22"/>
        </w:rPr>
        <w:t>připravil</w:t>
      </w:r>
      <w:r w:rsidRPr="00F929ED">
        <w:rPr>
          <w:sz w:val="22"/>
          <w:szCs w:val="22"/>
        </w:rPr>
        <w:t xml:space="preserve"> analýzu dočerpání IOP</w:t>
      </w:r>
      <w:r>
        <w:rPr>
          <w:sz w:val="22"/>
          <w:szCs w:val="22"/>
        </w:rPr>
        <w:t xml:space="preserve">, </w:t>
      </w:r>
      <w:r w:rsidRPr="00F929ED">
        <w:rPr>
          <w:sz w:val="22"/>
          <w:szCs w:val="22"/>
        </w:rPr>
        <w:t xml:space="preserve">kde </w:t>
      </w:r>
      <w:r>
        <w:rPr>
          <w:sz w:val="22"/>
          <w:szCs w:val="22"/>
        </w:rPr>
        <w:t>vzal v potaz</w:t>
      </w:r>
      <w:r w:rsidRPr="00F929ED">
        <w:rPr>
          <w:sz w:val="22"/>
          <w:szCs w:val="22"/>
        </w:rPr>
        <w:t xml:space="preserve"> uvedené faktory</w:t>
      </w:r>
      <w:r>
        <w:rPr>
          <w:sz w:val="22"/>
          <w:szCs w:val="22"/>
        </w:rPr>
        <w:t>,</w:t>
      </w:r>
      <w:r w:rsidRPr="00F929ED">
        <w:rPr>
          <w:sz w:val="22"/>
          <w:szCs w:val="22"/>
        </w:rPr>
        <w:t xml:space="preserve"> disponibilní alokaci, absorpční kapacitu jednotlivých oblastí intervencí a možnost využití flexibility na úrovni prioritní osy a stanov</w:t>
      </w:r>
      <w:r>
        <w:rPr>
          <w:sz w:val="22"/>
          <w:szCs w:val="22"/>
        </w:rPr>
        <w:t>il</w:t>
      </w:r>
      <w:r w:rsidRPr="00F929ED">
        <w:rPr>
          <w:sz w:val="22"/>
          <w:szCs w:val="22"/>
        </w:rPr>
        <w:t xml:space="preserve"> doporučení pro jednotlivé oblasti intervence.</w:t>
      </w:r>
      <w:r>
        <w:rPr>
          <w:sz w:val="22"/>
          <w:szCs w:val="22"/>
        </w:rPr>
        <w:t xml:space="preserve"> </w:t>
      </w:r>
      <w:r w:rsidRPr="00F929ED">
        <w:rPr>
          <w:sz w:val="22"/>
          <w:szCs w:val="22"/>
        </w:rPr>
        <w:t xml:space="preserve">Řídící orgán </w:t>
      </w:r>
      <w:r>
        <w:rPr>
          <w:sz w:val="22"/>
          <w:szCs w:val="22"/>
        </w:rPr>
        <w:t>identifikuje ve spolupráci se ZS</w:t>
      </w:r>
      <w:r w:rsidRPr="00F929ED">
        <w:rPr>
          <w:sz w:val="22"/>
          <w:szCs w:val="22"/>
        </w:rPr>
        <w:t xml:space="preserve"> rizika a přijímá další opatření k optimalizaci výsledku. </w:t>
      </w:r>
    </w:p>
    <w:p w:rsidR="00066BC0" w:rsidRPr="00F929ED" w:rsidRDefault="00066BC0" w:rsidP="00066BC0">
      <w:pPr>
        <w:spacing w:after="120"/>
        <w:jc w:val="both"/>
        <w:rPr>
          <w:sz w:val="22"/>
          <w:szCs w:val="22"/>
        </w:rPr>
      </w:pPr>
      <w:r w:rsidRPr="00F929ED">
        <w:rPr>
          <w:sz w:val="22"/>
          <w:szCs w:val="22"/>
        </w:rPr>
        <w:t>Následující rizika, uvedená v akčním plánu</w:t>
      </w:r>
      <w:r>
        <w:rPr>
          <w:sz w:val="22"/>
          <w:szCs w:val="22"/>
        </w:rPr>
        <w:t xml:space="preserve"> a pops</w:t>
      </w:r>
      <w:r w:rsidR="009F521A">
        <w:rPr>
          <w:sz w:val="22"/>
          <w:szCs w:val="22"/>
        </w:rPr>
        <w:t>a</w:t>
      </w:r>
      <w:r>
        <w:rPr>
          <w:sz w:val="22"/>
          <w:szCs w:val="22"/>
        </w:rPr>
        <w:t>n</w:t>
      </w:r>
      <w:r w:rsidR="009F521A">
        <w:rPr>
          <w:sz w:val="22"/>
          <w:szCs w:val="22"/>
        </w:rPr>
        <w:t>á</w:t>
      </w:r>
      <w:r>
        <w:rPr>
          <w:sz w:val="22"/>
          <w:szCs w:val="22"/>
        </w:rPr>
        <w:t xml:space="preserve"> v předchozích kapitolách zprávy</w:t>
      </w:r>
      <w:r w:rsidRPr="00F929ED">
        <w:rPr>
          <w:sz w:val="22"/>
          <w:szCs w:val="22"/>
        </w:rPr>
        <w:t>, byla či jsou průběžně řešena:</w:t>
      </w:r>
    </w:p>
    <w:p w:rsidR="00066BC0" w:rsidRPr="00066BC0" w:rsidRDefault="00066BC0" w:rsidP="00066BC0">
      <w:pPr>
        <w:pStyle w:val="Odstavecseseznamem"/>
        <w:numPr>
          <w:ilvl w:val="0"/>
          <w:numId w:val="40"/>
        </w:numPr>
        <w:spacing w:after="120"/>
        <w:jc w:val="both"/>
        <w:rPr>
          <w:sz w:val="22"/>
          <w:szCs w:val="22"/>
        </w:rPr>
      </w:pPr>
      <w:r w:rsidRPr="00066BC0">
        <w:rPr>
          <w:sz w:val="22"/>
          <w:szCs w:val="22"/>
        </w:rPr>
        <w:t>nedočerpání finančních prostředků volných a uvolňovaných během realizace projektů;</w:t>
      </w:r>
    </w:p>
    <w:p w:rsidR="00066BC0" w:rsidRPr="00066BC0" w:rsidRDefault="00066BC0" w:rsidP="00066BC0">
      <w:pPr>
        <w:pStyle w:val="Odstavecseseznamem"/>
        <w:numPr>
          <w:ilvl w:val="0"/>
          <w:numId w:val="40"/>
        </w:numPr>
        <w:spacing w:after="120"/>
        <w:jc w:val="both"/>
        <w:rPr>
          <w:sz w:val="22"/>
          <w:szCs w:val="22"/>
        </w:rPr>
      </w:pPr>
      <w:r w:rsidRPr="00066BC0">
        <w:rPr>
          <w:sz w:val="22"/>
          <w:szCs w:val="22"/>
        </w:rPr>
        <w:t xml:space="preserve">nenaplnění limitu n+2 v termínu pravidelné certifikace výdajů a ztráta alokace; </w:t>
      </w:r>
    </w:p>
    <w:p w:rsidR="00066BC0" w:rsidRPr="00066BC0" w:rsidRDefault="00066BC0" w:rsidP="00066BC0">
      <w:pPr>
        <w:pStyle w:val="Odstavecseseznamem"/>
        <w:numPr>
          <w:ilvl w:val="0"/>
          <w:numId w:val="40"/>
        </w:numPr>
        <w:spacing w:after="120"/>
        <w:jc w:val="both"/>
        <w:rPr>
          <w:sz w:val="22"/>
          <w:szCs w:val="22"/>
        </w:rPr>
      </w:pPr>
      <w:r w:rsidRPr="00066BC0">
        <w:rPr>
          <w:sz w:val="22"/>
          <w:szCs w:val="22"/>
        </w:rPr>
        <w:t>zastavení proplácení finančních prostředků z EK na základě zjištění auditů a kontrol, vyměření sankcí a penále;</w:t>
      </w:r>
    </w:p>
    <w:p w:rsidR="00066BC0" w:rsidRPr="00066BC0" w:rsidRDefault="00066BC0" w:rsidP="00066BC0">
      <w:pPr>
        <w:pStyle w:val="Odstavecseseznamem"/>
        <w:numPr>
          <w:ilvl w:val="0"/>
          <w:numId w:val="40"/>
        </w:numPr>
        <w:spacing w:after="120"/>
        <w:jc w:val="both"/>
        <w:rPr>
          <w:sz w:val="22"/>
          <w:szCs w:val="22"/>
        </w:rPr>
      </w:pPr>
      <w:r w:rsidRPr="00066BC0">
        <w:rPr>
          <w:sz w:val="22"/>
          <w:szCs w:val="22"/>
        </w:rPr>
        <w:t>nedostatečná administrativní kapacita zprostředkujících subjektů pro dokončení implementace programu.</w:t>
      </w:r>
    </w:p>
    <w:p w:rsidR="00066BC0" w:rsidRDefault="00066BC0" w:rsidP="00066BC0">
      <w:pPr>
        <w:pStyle w:val="Prosttext"/>
        <w:jc w:val="both"/>
        <w:rPr>
          <w:rFonts w:ascii="Times New Roman" w:hAnsi="Times New Roman"/>
          <w:sz w:val="22"/>
          <w:szCs w:val="22"/>
        </w:rPr>
      </w:pPr>
      <w:r w:rsidRPr="00697274">
        <w:rPr>
          <w:rFonts w:ascii="Times New Roman" w:hAnsi="Times New Roman"/>
          <w:sz w:val="22"/>
          <w:szCs w:val="22"/>
        </w:rPr>
        <w:t>Seznam opatření, stanovených v UV 144</w:t>
      </w:r>
      <w:r w:rsidR="002726E9" w:rsidRPr="00697274">
        <w:rPr>
          <w:rFonts w:ascii="Times New Roman" w:hAnsi="Times New Roman"/>
          <w:sz w:val="22"/>
          <w:szCs w:val="22"/>
        </w:rPr>
        <w:t>/2014, je uvedený v příloze č. 4</w:t>
      </w:r>
      <w:r w:rsidRPr="00697274">
        <w:rPr>
          <w:rFonts w:ascii="Times New Roman" w:hAnsi="Times New Roman"/>
          <w:sz w:val="22"/>
          <w:szCs w:val="22"/>
        </w:rPr>
        <w:t>.</w:t>
      </w:r>
      <w:r>
        <w:rPr>
          <w:rFonts w:ascii="Times New Roman" w:hAnsi="Times New Roman"/>
          <w:sz w:val="22"/>
          <w:szCs w:val="22"/>
        </w:rPr>
        <w:t xml:space="preserve"> </w:t>
      </w:r>
    </w:p>
    <w:p w:rsidR="00066BC0" w:rsidRDefault="00066BC0" w:rsidP="00066BC0">
      <w:pPr>
        <w:pStyle w:val="Prosttext"/>
        <w:jc w:val="both"/>
        <w:rPr>
          <w:rFonts w:ascii="Times New Roman" w:hAnsi="Times New Roman"/>
          <w:sz w:val="22"/>
          <w:szCs w:val="22"/>
        </w:rPr>
      </w:pPr>
    </w:p>
    <w:p w:rsidR="00CC54CE" w:rsidRPr="00383135" w:rsidRDefault="00066BC0" w:rsidP="00383135">
      <w:pPr>
        <w:jc w:val="both"/>
        <w:rPr>
          <w:sz w:val="22"/>
          <w:szCs w:val="22"/>
        </w:rPr>
      </w:pPr>
      <w:r>
        <w:rPr>
          <w:sz w:val="22"/>
          <w:szCs w:val="22"/>
        </w:rPr>
        <w:t>ŘO IOP vypracoval v červenci 2014 Strategii dočerpání IOP, kterou v</w:t>
      </w:r>
      <w:r w:rsidRPr="00AE530D">
        <w:rPr>
          <w:sz w:val="22"/>
          <w:szCs w:val="22"/>
        </w:rPr>
        <w:t>láda České republiky na svém zasedání 6. srpna 2014 usnesením číslo 646/2014 odsouhlasila</w:t>
      </w:r>
      <w:r>
        <w:rPr>
          <w:sz w:val="22"/>
          <w:szCs w:val="22"/>
        </w:rPr>
        <w:t xml:space="preserve">. </w:t>
      </w:r>
      <w:r w:rsidRPr="00FA162C">
        <w:rPr>
          <w:sz w:val="22"/>
          <w:szCs w:val="22"/>
        </w:rPr>
        <w:t>Ř</w:t>
      </w:r>
      <w:r w:rsidRPr="00404105">
        <w:rPr>
          <w:sz w:val="22"/>
          <w:szCs w:val="22"/>
        </w:rPr>
        <w:t xml:space="preserve">ídicí orgán IOP, na základě informací poskytnutých zprostředkujícími subjekty, </w:t>
      </w:r>
      <w:r>
        <w:rPr>
          <w:sz w:val="22"/>
          <w:szCs w:val="22"/>
        </w:rPr>
        <w:t xml:space="preserve">během září a října </w:t>
      </w:r>
      <w:r w:rsidRPr="00404105">
        <w:rPr>
          <w:sz w:val="22"/>
          <w:szCs w:val="22"/>
        </w:rPr>
        <w:t xml:space="preserve">aktualizoval strategii dočerpání </w:t>
      </w:r>
      <w:r>
        <w:rPr>
          <w:sz w:val="22"/>
          <w:szCs w:val="22"/>
        </w:rPr>
        <w:t>IOP</w:t>
      </w:r>
      <w:r w:rsidRPr="00404105">
        <w:rPr>
          <w:sz w:val="22"/>
          <w:szCs w:val="22"/>
        </w:rPr>
        <w:t xml:space="preserve"> v roce 2014 a s výhledem do konce roku 2015. Aktualizace k začátku října </w:t>
      </w:r>
      <w:r>
        <w:rPr>
          <w:sz w:val="22"/>
          <w:szCs w:val="22"/>
        </w:rPr>
        <w:t>reagovala</w:t>
      </w:r>
      <w:r w:rsidRPr="00404105">
        <w:rPr>
          <w:sz w:val="22"/>
          <w:szCs w:val="22"/>
        </w:rPr>
        <w:t xml:space="preserve"> na vývoj realizace projektů a hodnocení výzev </w:t>
      </w:r>
      <w:r>
        <w:rPr>
          <w:sz w:val="22"/>
          <w:szCs w:val="22"/>
        </w:rPr>
        <w:t>v</w:t>
      </w:r>
      <w:r w:rsidRPr="00404105">
        <w:rPr>
          <w:sz w:val="22"/>
          <w:szCs w:val="22"/>
        </w:rPr>
        <w:t xml:space="preserve"> srpn</w:t>
      </w:r>
      <w:r>
        <w:rPr>
          <w:sz w:val="22"/>
          <w:szCs w:val="22"/>
        </w:rPr>
        <w:t>u</w:t>
      </w:r>
      <w:r w:rsidRPr="00404105">
        <w:rPr>
          <w:sz w:val="22"/>
          <w:szCs w:val="22"/>
        </w:rPr>
        <w:t xml:space="preserve"> a září 2014</w:t>
      </w:r>
      <w:r>
        <w:rPr>
          <w:sz w:val="22"/>
          <w:szCs w:val="22"/>
        </w:rPr>
        <w:t xml:space="preserve">. Výsledkem je rozhodnutí nevyhlašovat další výzvy a využít uvolněných prostředků k uspokojení náhradních projektů v ukončených výzvách. Pro </w:t>
      </w:r>
      <w:r w:rsidRPr="00FA162C">
        <w:rPr>
          <w:sz w:val="22"/>
          <w:szCs w:val="22"/>
        </w:rPr>
        <w:t>dos</w:t>
      </w:r>
      <w:r>
        <w:rPr>
          <w:sz w:val="22"/>
          <w:szCs w:val="22"/>
        </w:rPr>
        <w:t>ažení</w:t>
      </w:r>
      <w:r w:rsidRPr="00FA162C">
        <w:rPr>
          <w:sz w:val="22"/>
          <w:szCs w:val="22"/>
        </w:rPr>
        <w:t xml:space="preserve"> maximálního vyčerpání alokace v roce 2015</w:t>
      </w:r>
      <w:r>
        <w:rPr>
          <w:sz w:val="22"/>
          <w:szCs w:val="22"/>
        </w:rPr>
        <w:t xml:space="preserve"> je nezbytná</w:t>
      </w:r>
      <w:r w:rsidRPr="00FA162C">
        <w:rPr>
          <w:sz w:val="22"/>
          <w:szCs w:val="22"/>
        </w:rPr>
        <w:t xml:space="preserve"> soustředěn</w:t>
      </w:r>
      <w:r>
        <w:rPr>
          <w:sz w:val="22"/>
          <w:szCs w:val="22"/>
        </w:rPr>
        <w:t>á</w:t>
      </w:r>
      <w:r w:rsidRPr="00FA162C">
        <w:rPr>
          <w:sz w:val="22"/>
          <w:szCs w:val="22"/>
        </w:rPr>
        <w:t xml:space="preserve"> </w:t>
      </w:r>
      <w:r>
        <w:rPr>
          <w:sz w:val="22"/>
          <w:szCs w:val="22"/>
        </w:rPr>
        <w:br/>
      </w:r>
      <w:r w:rsidRPr="00FA162C">
        <w:rPr>
          <w:sz w:val="22"/>
          <w:szCs w:val="22"/>
        </w:rPr>
        <w:t>a odpovědn</w:t>
      </w:r>
      <w:r>
        <w:rPr>
          <w:sz w:val="22"/>
          <w:szCs w:val="22"/>
        </w:rPr>
        <w:t>á</w:t>
      </w:r>
      <w:r w:rsidRPr="00FA162C">
        <w:rPr>
          <w:sz w:val="22"/>
          <w:szCs w:val="22"/>
        </w:rPr>
        <w:t xml:space="preserve"> prác</w:t>
      </w:r>
      <w:r>
        <w:rPr>
          <w:sz w:val="22"/>
          <w:szCs w:val="22"/>
        </w:rPr>
        <w:t>e</w:t>
      </w:r>
      <w:r w:rsidRPr="00FA162C">
        <w:rPr>
          <w:sz w:val="22"/>
          <w:szCs w:val="22"/>
        </w:rPr>
        <w:t xml:space="preserve"> celé implementační </w:t>
      </w:r>
      <w:r w:rsidR="00CC54CE" w:rsidRPr="00FA162C">
        <w:rPr>
          <w:sz w:val="22"/>
          <w:szCs w:val="22"/>
        </w:rPr>
        <w:t>struktury</w:t>
      </w:r>
      <w:r w:rsidR="00CC54CE">
        <w:rPr>
          <w:sz w:val="22"/>
          <w:szCs w:val="22"/>
        </w:rPr>
        <w:t xml:space="preserve">, </w:t>
      </w:r>
      <w:r w:rsidR="00CC54CE" w:rsidRPr="00FA162C">
        <w:rPr>
          <w:sz w:val="22"/>
          <w:szCs w:val="22"/>
        </w:rPr>
        <w:t>plnění</w:t>
      </w:r>
      <w:r w:rsidRPr="00FA162C">
        <w:rPr>
          <w:sz w:val="22"/>
          <w:szCs w:val="22"/>
        </w:rPr>
        <w:t xml:space="preserve"> plánů čerpání a </w:t>
      </w:r>
      <w:r w:rsidR="00900B3F">
        <w:rPr>
          <w:sz w:val="22"/>
          <w:szCs w:val="22"/>
        </w:rPr>
        <w:t xml:space="preserve">včasná </w:t>
      </w:r>
      <w:r w:rsidRPr="00FA162C">
        <w:rPr>
          <w:sz w:val="22"/>
          <w:szCs w:val="22"/>
        </w:rPr>
        <w:t>realizace projektů.</w:t>
      </w:r>
    </w:p>
    <w:p w:rsidR="00F40DD9" w:rsidRDefault="00F40DD9" w:rsidP="00F40DD9"/>
    <w:p w:rsidR="00A75862" w:rsidRPr="009026D3" w:rsidRDefault="009F3CED" w:rsidP="000F2A6C">
      <w:pPr>
        <w:pStyle w:val="Nadpis3"/>
      </w:pPr>
      <w:bookmarkStart w:id="92" w:name="_Toc417024853"/>
      <w:proofErr w:type="gramStart"/>
      <w:r>
        <w:t>2.3.</w:t>
      </w:r>
      <w:r w:rsidR="00311546">
        <w:t>10</w:t>
      </w:r>
      <w:proofErr w:type="gramEnd"/>
      <w:r w:rsidR="00A75862" w:rsidRPr="009026D3">
        <w:t xml:space="preserve"> Krizové řízení vybraných oblastí intervence</w:t>
      </w:r>
      <w:bookmarkEnd w:id="90"/>
      <w:bookmarkEnd w:id="91"/>
      <w:bookmarkEnd w:id="92"/>
    </w:p>
    <w:p w:rsidR="00A75862" w:rsidRPr="00BA2A62" w:rsidRDefault="00A75862" w:rsidP="00BB6A32">
      <w:pPr>
        <w:rPr>
          <w:b/>
          <w:sz w:val="24"/>
          <w:szCs w:val="24"/>
        </w:rPr>
      </w:pPr>
      <w:r w:rsidRPr="00FB5385">
        <w:rPr>
          <w:b/>
          <w:sz w:val="24"/>
          <w:szCs w:val="24"/>
        </w:rPr>
        <w:t>2.3.</w:t>
      </w:r>
      <w:r w:rsidR="00311546">
        <w:rPr>
          <w:b/>
          <w:sz w:val="24"/>
          <w:szCs w:val="24"/>
        </w:rPr>
        <w:t>10</w:t>
      </w:r>
      <w:r w:rsidRPr="00FB5385">
        <w:rPr>
          <w:b/>
          <w:sz w:val="24"/>
          <w:szCs w:val="24"/>
        </w:rPr>
        <w:t>.</w:t>
      </w:r>
      <w:r w:rsidR="00BB6A32">
        <w:rPr>
          <w:b/>
          <w:sz w:val="24"/>
          <w:szCs w:val="24"/>
        </w:rPr>
        <w:t>1</w:t>
      </w:r>
      <w:r w:rsidRPr="00FB5385">
        <w:rPr>
          <w:b/>
          <w:sz w:val="24"/>
          <w:szCs w:val="24"/>
        </w:rPr>
        <w:t xml:space="preserve"> Spící a rizikové projekty</w:t>
      </w:r>
      <w:r>
        <w:rPr>
          <w:b/>
          <w:sz w:val="24"/>
          <w:szCs w:val="24"/>
        </w:rPr>
        <w:t xml:space="preserve"> IOP</w:t>
      </w:r>
    </w:p>
    <w:p w:rsidR="00876AEB" w:rsidRDefault="00876AEB" w:rsidP="00876AEB">
      <w:pPr>
        <w:jc w:val="both"/>
        <w:rPr>
          <w:sz w:val="22"/>
          <w:szCs w:val="22"/>
        </w:rPr>
      </w:pPr>
      <w:r w:rsidRPr="00837C5F">
        <w:rPr>
          <w:sz w:val="22"/>
          <w:szCs w:val="22"/>
        </w:rPr>
        <w:t>IOP je zařazený mezi rizikové operační programy, spadající pod zesílené řízení rizik Národního orgánu pro koordinaci, mimo jiné i v návaznosti na dlouhodobé problémy s realizací některých projektů. Říd</w:t>
      </w:r>
      <w:r>
        <w:rPr>
          <w:sz w:val="22"/>
          <w:szCs w:val="22"/>
        </w:rPr>
        <w:t>i</w:t>
      </w:r>
      <w:r w:rsidRPr="00837C5F">
        <w:rPr>
          <w:sz w:val="22"/>
          <w:szCs w:val="22"/>
        </w:rPr>
        <w:t xml:space="preserve">cí orgán IOP ve spolupráci se zprostředkujícími subjekty provádí od července 2012 dohled a řízení spících projektů (termíny pro realizaci jsou již na hranici proveditelnosti), vysoce rizikových projektů (obtížná komunikace s příjemcem, plnění termínů vykazuje vážné nedostatky). Vyhodnocování problémových projektů je součástí akčního plánu pro zlepšení systému řízení </w:t>
      </w:r>
      <w:r>
        <w:rPr>
          <w:sz w:val="22"/>
          <w:szCs w:val="22"/>
        </w:rPr>
        <w:br/>
      </w:r>
      <w:r w:rsidRPr="00837C5F">
        <w:rPr>
          <w:sz w:val="22"/>
          <w:szCs w:val="22"/>
        </w:rPr>
        <w:t xml:space="preserve">a kontroly strukturálních fondů v České republice. </w:t>
      </w:r>
    </w:p>
    <w:p w:rsidR="009F521A" w:rsidRPr="00837C5F" w:rsidRDefault="009F521A" w:rsidP="00876AEB">
      <w:pPr>
        <w:jc w:val="both"/>
        <w:rPr>
          <w:sz w:val="22"/>
          <w:szCs w:val="22"/>
        </w:rPr>
      </w:pPr>
    </w:p>
    <w:p w:rsidR="009F521A" w:rsidRPr="00837C5F" w:rsidRDefault="009F521A" w:rsidP="009F521A">
      <w:pPr>
        <w:jc w:val="both"/>
        <w:rPr>
          <w:sz w:val="22"/>
          <w:szCs w:val="22"/>
        </w:rPr>
      </w:pPr>
      <w:r w:rsidRPr="00837C5F">
        <w:rPr>
          <w:sz w:val="22"/>
          <w:szCs w:val="22"/>
        </w:rPr>
        <w:t>Dlouhodobé problémy s realizací projektů mají především příjemci z řad organizačních složek státu (dále jen „OSS“). Na základě zkušeností</w:t>
      </w:r>
      <w:r>
        <w:rPr>
          <w:sz w:val="22"/>
          <w:szCs w:val="22"/>
        </w:rPr>
        <w:t>,</w:t>
      </w:r>
      <w:r w:rsidRPr="00837C5F">
        <w:rPr>
          <w:sz w:val="22"/>
          <w:szCs w:val="22"/>
        </w:rPr>
        <w:t xml:space="preserve"> získaných při práci s rizikovými projekty</w:t>
      </w:r>
      <w:r>
        <w:rPr>
          <w:sz w:val="22"/>
          <w:szCs w:val="22"/>
        </w:rPr>
        <w:t>,</w:t>
      </w:r>
      <w:r w:rsidRPr="00837C5F">
        <w:rPr>
          <w:sz w:val="22"/>
          <w:szCs w:val="22"/>
        </w:rPr>
        <w:t xml:space="preserve"> zavedl ŘO IOP </w:t>
      </w:r>
      <w:r>
        <w:rPr>
          <w:sz w:val="22"/>
          <w:szCs w:val="22"/>
        </w:rPr>
        <w:br/>
      </w:r>
      <w:r w:rsidRPr="00837C5F">
        <w:rPr>
          <w:sz w:val="22"/>
          <w:szCs w:val="22"/>
        </w:rPr>
        <w:t xml:space="preserve">v srpnu 2014 zesílený dohled nad vysoce rizikovými a rizikovými projekty s alokací finančních prostředků nižší než 35 mil. Kč. </w:t>
      </w:r>
    </w:p>
    <w:p w:rsidR="00876AEB" w:rsidRDefault="00876AEB" w:rsidP="00876AEB">
      <w:pPr>
        <w:jc w:val="both"/>
        <w:rPr>
          <w:sz w:val="22"/>
          <w:szCs w:val="22"/>
        </w:rPr>
      </w:pPr>
      <w:r w:rsidRPr="00837C5F">
        <w:rPr>
          <w:sz w:val="22"/>
          <w:szCs w:val="22"/>
        </w:rPr>
        <w:lastRenderedPageBreak/>
        <w:t xml:space="preserve">S ohledem na blížící se konec programového období vyvstává u mnohých projektů, zařazených mezi vysoce rizikové nebo rizikové, problém s </w:t>
      </w:r>
      <w:r>
        <w:rPr>
          <w:sz w:val="22"/>
          <w:szCs w:val="22"/>
        </w:rPr>
        <w:t>nedostatkem</w:t>
      </w:r>
      <w:r w:rsidRPr="00837C5F">
        <w:rPr>
          <w:sz w:val="22"/>
          <w:szCs w:val="22"/>
        </w:rPr>
        <w:t xml:space="preserve"> času v případě zdržení oproti harmonogramu, případně nutnost</w:t>
      </w:r>
      <w:r>
        <w:rPr>
          <w:sz w:val="22"/>
          <w:szCs w:val="22"/>
        </w:rPr>
        <w:t>í</w:t>
      </w:r>
      <w:r w:rsidRPr="00837C5F">
        <w:rPr>
          <w:sz w:val="22"/>
          <w:szCs w:val="22"/>
        </w:rPr>
        <w:t xml:space="preserve"> opakovat </w:t>
      </w:r>
      <w:r>
        <w:rPr>
          <w:sz w:val="22"/>
          <w:szCs w:val="22"/>
        </w:rPr>
        <w:t>zadávací</w:t>
      </w:r>
      <w:r w:rsidRPr="00837C5F">
        <w:rPr>
          <w:sz w:val="22"/>
          <w:szCs w:val="22"/>
        </w:rPr>
        <w:t xml:space="preserve"> řízení.</w:t>
      </w:r>
    </w:p>
    <w:p w:rsidR="009F521A" w:rsidRPr="00837C5F" w:rsidRDefault="009F521A" w:rsidP="00876AEB">
      <w:pPr>
        <w:jc w:val="both"/>
        <w:rPr>
          <w:sz w:val="22"/>
          <w:szCs w:val="22"/>
        </w:rPr>
      </w:pPr>
    </w:p>
    <w:p w:rsidR="00876AEB" w:rsidRDefault="00876AEB" w:rsidP="00837C5F">
      <w:pPr>
        <w:jc w:val="both"/>
        <w:rPr>
          <w:sz w:val="22"/>
          <w:szCs w:val="22"/>
        </w:rPr>
      </w:pPr>
      <w:r w:rsidRPr="00837C5F">
        <w:rPr>
          <w:sz w:val="22"/>
          <w:szCs w:val="22"/>
        </w:rPr>
        <w:t>Poslední aktualizaci provedl ŘO IOP k 6. 1. 2015, kdy byly evidovány 3 spící projekty v hodnotě cca</w:t>
      </w:r>
      <w:r>
        <w:rPr>
          <w:sz w:val="22"/>
          <w:szCs w:val="22"/>
        </w:rPr>
        <w:t xml:space="preserve"> </w:t>
      </w:r>
      <w:r w:rsidRPr="00837C5F">
        <w:rPr>
          <w:sz w:val="22"/>
          <w:szCs w:val="22"/>
        </w:rPr>
        <w:t xml:space="preserve">597 mil. Kč, 30 vysoce rizikových projektů v hodnotě cca. 3,9 mld. Kč 91 rizikových projektů </w:t>
      </w:r>
      <w:r>
        <w:rPr>
          <w:sz w:val="22"/>
          <w:szCs w:val="22"/>
        </w:rPr>
        <w:br/>
      </w:r>
      <w:r w:rsidRPr="00837C5F">
        <w:rPr>
          <w:sz w:val="22"/>
          <w:szCs w:val="22"/>
        </w:rPr>
        <w:t>v hodnotě přesahující 6,5 mld. Kč. Identifikace rizikových projektů je nezbytná z hlediska posunu těchto kategorií do kategorií vysoce rizikových a spících projektů. ŘO IOP a zprostředkující subjekty řeší a stanovují opatření již pro projekty rizikové</w:t>
      </w:r>
      <w:r>
        <w:rPr>
          <w:sz w:val="22"/>
          <w:szCs w:val="22"/>
        </w:rPr>
        <w:t>.</w:t>
      </w:r>
    </w:p>
    <w:p w:rsidR="00837C5F" w:rsidRPr="00837C5F" w:rsidRDefault="00837C5F" w:rsidP="00837C5F">
      <w:pPr>
        <w:jc w:val="both"/>
        <w:rPr>
          <w:sz w:val="22"/>
          <w:szCs w:val="22"/>
        </w:rPr>
      </w:pPr>
      <w:r w:rsidRPr="00837C5F">
        <w:rPr>
          <w:sz w:val="22"/>
          <w:szCs w:val="22"/>
        </w:rPr>
        <w:t xml:space="preserve">Přehled jednotlivých projektů dle kategorie rizikovosti podle příjemce je uveden v následující tabulce. </w:t>
      </w:r>
    </w:p>
    <w:p w:rsidR="00F40DD9" w:rsidRDefault="00F40DD9" w:rsidP="001E0F27">
      <w:pPr>
        <w:pStyle w:val="Prosttext"/>
        <w:jc w:val="both"/>
        <w:rPr>
          <w:rFonts w:ascii="Times New Roman" w:hAnsi="Times New Roman"/>
          <w:sz w:val="22"/>
          <w:szCs w:val="22"/>
        </w:rPr>
      </w:pPr>
    </w:p>
    <w:p w:rsidR="00837C5F" w:rsidRPr="00837C5F" w:rsidRDefault="00A75862" w:rsidP="00850D52">
      <w:pPr>
        <w:pStyle w:val="Tabulkanzev"/>
      </w:pPr>
      <w:bookmarkStart w:id="93" w:name="_Toc416431814"/>
      <w:r w:rsidRPr="009026D3">
        <w:t>Přehled spících a vysoce rizi</w:t>
      </w:r>
      <w:r w:rsidR="00837C5F">
        <w:t>kových projektů</w:t>
      </w:r>
      <w:bookmarkEnd w:id="93"/>
    </w:p>
    <w:p w:rsidR="00837C5F" w:rsidRPr="00837C5F" w:rsidRDefault="00837C5F" w:rsidP="0070007B">
      <w:pPr>
        <w:rPr>
          <w:sz w:val="18"/>
          <w:szCs w:val="18"/>
        </w:rPr>
      </w:pPr>
      <w:bookmarkStart w:id="94" w:name="_Toc411422627"/>
      <w:bookmarkStart w:id="95" w:name="_Toc411427636"/>
      <w:bookmarkStart w:id="96" w:name="_Toc411945335"/>
      <w:bookmarkStart w:id="97" w:name="_Toc412116364"/>
      <w:bookmarkStart w:id="98" w:name="_Toc412116458"/>
      <w:bookmarkStart w:id="99" w:name="_Toc412116550"/>
      <w:bookmarkStart w:id="100" w:name="_Toc412116641"/>
      <w:bookmarkStart w:id="101" w:name="_Toc412449787"/>
      <w:bookmarkStart w:id="102" w:name="_Toc412618504"/>
      <w:r w:rsidRPr="003A1C90">
        <w:rPr>
          <w:noProof/>
        </w:rPr>
        <w:drawing>
          <wp:inline distT="0" distB="0" distL="0" distR="0" wp14:anchorId="0A500E64" wp14:editId="3C44C488">
            <wp:extent cx="5838825" cy="24765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1648" cy="2477697"/>
                    </a:xfrm>
                    <a:prstGeom prst="rect">
                      <a:avLst/>
                    </a:prstGeom>
                    <a:noFill/>
                    <a:ln>
                      <a:noFill/>
                    </a:ln>
                  </pic:spPr>
                </pic:pic>
              </a:graphicData>
            </a:graphic>
          </wp:inline>
        </w:drawing>
      </w:r>
      <w:bookmarkEnd w:id="94"/>
      <w:bookmarkEnd w:id="95"/>
      <w:bookmarkEnd w:id="96"/>
      <w:bookmarkEnd w:id="97"/>
      <w:bookmarkEnd w:id="98"/>
      <w:bookmarkEnd w:id="99"/>
      <w:bookmarkEnd w:id="100"/>
      <w:bookmarkEnd w:id="101"/>
      <w:bookmarkEnd w:id="102"/>
    </w:p>
    <w:p w:rsidR="00837C5F" w:rsidRDefault="00837C5F" w:rsidP="00837C5F">
      <w:pPr>
        <w:rPr>
          <w:rFonts w:cs="Arial"/>
          <w:i/>
          <w:iCs/>
          <w:sz w:val="18"/>
          <w:szCs w:val="18"/>
        </w:rPr>
      </w:pPr>
      <w:r w:rsidRPr="00736E6D">
        <w:rPr>
          <w:rFonts w:cs="Arial"/>
          <w:i/>
          <w:iCs/>
          <w:sz w:val="18"/>
          <w:szCs w:val="18"/>
        </w:rPr>
        <w:t xml:space="preserve">Zdroj: IS Monit7+IOP a Řídící orgán IOP ve spolupráci se zprostředkujícími subjekty ke dni </w:t>
      </w:r>
      <w:r>
        <w:rPr>
          <w:rFonts w:cs="Arial"/>
          <w:i/>
          <w:iCs/>
          <w:sz w:val="18"/>
          <w:szCs w:val="18"/>
        </w:rPr>
        <w:t xml:space="preserve">6. 1. </w:t>
      </w:r>
      <w:r w:rsidRPr="00736E6D">
        <w:rPr>
          <w:rFonts w:cs="Arial"/>
          <w:i/>
          <w:iCs/>
          <w:sz w:val="18"/>
          <w:szCs w:val="18"/>
        </w:rPr>
        <w:t>201</w:t>
      </w:r>
      <w:r>
        <w:rPr>
          <w:rFonts w:cs="Arial"/>
          <w:i/>
          <w:iCs/>
          <w:sz w:val="18"/>
          <w:szCs w:val="18"/>
        </w:rPr>
        <w:t>5</w:t>
      </w:r>
    </w:p>
    <w:p w:rsidR="00253DAA" w:rsidRPr="00F95266" w:rsidRDefault="00253DAA" w:rsidP="00253DAA">
      <w:pPr>
        <w:jc w:val="both"/>
        <w:rPr>
          <w:i/>
          <w:sz w:val="18"/>
          <w:szCs w:val="18"/>
        </w:rPr>
      </w:pPr>
    </w:p>
    <w:p w:rsidR="007B0C2A" w:rsidRPr="00133A3B" w:rsidRDefault="007B0C2A" w:rsidP="007B0C2A">
      <w:pPr>
        <w:jc w:val="both"/>
        <w:rPr>
          <w:sz w:val="22"/>
          <w:szCs w:val="22"/>
        </w:rPr>
      </w:pPr>
      <w:r w:rsidRPr="00133A3B">
        <w:rPr>
          <w:sz w:val="22"/>
          <w:szCs w:val="22"/>
        </w:rPr>
        <w:t xml:space="preserve">Organizační složky státu a jejich příspěvkové organizace realizují 2 spící projekty, 16 vysoce rizikových a 17 rizikových projektů. Tyto projekty představují riziko pro </w:t>
      </w:r>
      <w:r>
        <w:rPr>
          <w:sz w:val="22"/>
          <w:szCs w:val="22"/>
        </w:rPr>
        <w:t>do</w:t>
      </w:r>
      <w:r w:rsidRPr="00133A3B">
        <w:rPr>
          <w:sz w:val="22"/>
          <w:szCs w:val="22"/>
        </w:rPr>
        <w:t xml:space="preserve">čerpání </w:t>
      </w:r>
      <w:r>
        <w:rPr>
          <w:sz w:val="22"/>
          <w:szCs w:val="22"/>
        </w:rPr>
        <w:t>alokace programu</w:t>
      </w:r>
      <w:r w:rsidRPr="00133A3B">
        <w:rPr>
          <w:sz w:val="22"/>
          <w:szCs w:val="22"/>
        </w:rPr>
        <w:t xml:space="preserve">. </w:t>
      </w:r>
    </w:p>
    <w:p w:rsidR="007B0C2A" w:rsidRDefault="007B0C2A" w:rsidP="007B0C2A">
      <w:pPr>
        <w:jc w:val="both"/>
        <w:rPr>
          <w:sz w:val="22"/>
          <w:szCs w:val="22"/>
        </w:rPr>
      </w:pPr>
    </w:p>
    <w:p w:rsidR="007B0C2A" w:rsidRPr="00133A3B" w:rsidRDefault="007B0C2A" w:rsidP="007B0C2A">
      <w:pPr>
        <w:jc w:val="both"/>
        <w:rPr>
          <w:sz w:val="22"/>
          <w:szCs w:val="22"/>
        </w:rPr>
      </w:pPr>
      <w:r w:rsidRPr="00133A3B">
        <w:rPr>
          <w:sz w:val="22"/>
          <w:szCs w:val="22"/>
        </w:rPr>
        <w:t xml:space="preserve">Spící projekty mají v roce 2015 očekávaný objem žádostí o platbu ve výši 377 mil. Kč a vysoce rizikové projekty 2,4 mld. Kč. </w:t>
      </w:r>
      <w:r>
        <w:rPr>
          <w:sz w:val="22"/>
          <w:szCs w:val="22"/>
        </w:rPr>
        <w:t>R</w:t>
      </w:r>
      <w:r w:rsidRPr="00133A3B">
        <w:rPr>
          <w:sz w:val="22"/>
          <w:szCs w:val="22"/>
        </w:rPr>
        <w:t>izikov</w:t>
      </w:r>
      <w:r>
        <w:rPr>
          <w:sz w:val="22"/>
          <w:szCs w:val="22"/>
        </w:rPr>
        <w:t>é</w:t>
      </w:r>
      <w:r w:rsidRPr="00133A3B">
        <w:rPr>
          <w:sz w:val="22"/>
          <w:szCs w:val="22"/>
        </w:rPr>
        <w:t xml:space="preserve"> projekt</w:t>
      </w:r>
      <w:r>
        <w:rPr>
          <w:sz w:val="22"/>
          <w:szCs w:val="22"/>
        </w:rPr>
        <w:t>y</w:t>
      </w:r>
      <w:r w:rsidRPr="00133A3B">
        <w:rPr>
          <w:sz w:val="22"/>
          <w:szCs w:val="22"/>
        </w:rPr>
        <w:t xml:space="preserve"> </w:t>
      </w:r>
      <w:r>
        <w:rPr>
          <w:sz w:val="22"/>
          <w:szCs w:val="22"/>
        </w:rPr>
        <w:t>na</w:t>
      </w:r>
      <w:r w:rsidRPr="00133A3B">
        <w:rPr>
          <w:sz w:val="22"/>
          <w:szCs w:val="22"/>
        </w:rPr>
        <w:t xml:space="preserve"> rok 2015 plán</w:t>
      </w:r>
      <w:r>
        <w:rPr>
          <w:sz w:val="22"/>
          <w:szCs w:val="22"/>
        </w:rPr>
        <w:t>ují</w:t>
      </w:r>
      <w:r w:rsidRPr="00133A3B">
        <w:rPr>
          <w:sz w:val="22"/>
          <w:szCs w:val="22"/>
        </w:rPr>
        <w:t xml:space="preserve"> předložení žádostí o platbu </w:t>
      </w:r>
      <w:r w:rsidR="00871A85">
        <w:rPr>
          <w:sz w:val="22"/>
          <w:szCs w:val="22"/>
        </w:rPr>
        <w:br/>
      </w:r>
      <w:r w:rsidRPr="00133A3B">
        <w:rPr>
          <w:sz w:val="22"/>
          <w:szCs w:val="22"/>
        </w:rPr>
        <w:t xml:space="preserve">ve výši 4,5 mld. Kč.  V případě, že by příjemci nevyřešili problémy v realizaci a nepředložili žádosti </w:t>
      </w:r>
      <w:r w:rsidR="00871A85">
        <w:rPr>
          <w:sz w:val="22"/>
          <w:szCs w:val="22"/>
        </w:rPr>
        <w:br/>
      </w:r>
      <w:r w:rsidRPr="00133A3B">
        <w:rPr>
          <w:sz w:val="22"/>
          <w:szCs w:val="22"/>
        </w:rPr>
        <w:t xml:space="preserve">o platbu v termínu a ve výši podle plánu, </w:t>
      </w:r>
      <w:r>
        <w:rPr>
          <w:sz w:val="22"/>
          <w:szCs w:val="22"/>
        </w:rPr>
        <w:t>z</w:t>
      </w:r>
      <w:r w:rsidRPr="00133A3B">
        <w:rPr>
          <w:sz w:val="22"/>
          <w:szCs w:val="22"/>
        </w:rPr>
        <w:t xml:space="preserve">výší tyto částky nedočerpání alokace programu.  </w:t>
      </w:r>
    </w:p>
    <w:p w:rsidR="007B0C2A" w:rsidRDefault="007B0C2A" w:rsidP="007B0C2A">
      <w:pPr>
        <w:jc w:val="both"/>
        <w:rPr>
          <w:sz w:val="22"/>
          <w:szCs w:val="22"/>
        </w:rPr>
      </w:pPr>
    </w:p>
    <w:p w:rsidR="00133A3B" w:rsidRPr="00133A3B" w:rsidRDefault="007B0C2A" w:rsidP="007B0C2A">
      <w:pPr>
        <w:jc w:val="both"/>
        <w:rPr>
          <w:sz w:val="22"/>
          <w:szCs w:val="22"/>
        </w:rPr>
      </w:pPr>
      <w:r w:rsidRPr="00133A3B">
        <w:rPr>
          <w:sz w:val="22"/>
          <w:szCs w:val="22"/>
        </w:rPr>
        <w:t xml:space="preserve">Z dlouhodobého hlediska došlo od července 2012, kdy ŘO IOP přijímá opatření v otázce spících </w:t>
      </w:r>
      <w:r>
        <w:rPr>
          <w:sz w:val="22"/>
          <w:szCs w:val="22"/>
        </w:rPr>
        <w:br/>
      </w:r>
      <w:r w:rsidRPr="00133A3B">
        <w:rPr>
          <w:sz w:val="22"/>
          <w:szCs w:val="22"/>
        </w:rPr>
        <w:t xml:space="preserve">a vysoce rizikových projektů, k výraznému zlepšení v realizaci některých projektů organizačních složek státu. Nejproblematičtější spící projekty v gesci Ministerstva vnitra ČR a Hasičského záchranného sboru (HZS), navázané na generálního dodavatele Českou poštu, odštěpný závod, se na základě přijatých opatření podařilo stabilizovat.  Významně se ovšem zhoršila situace </w:t>
      </w:r>
      <w:r>
        <w:rPr>
          <w:sz w:val="22"/>
          <w:szCs w:val="22"/>
        </w:rPr>
        <w:t>v</w:t>
      </w:r>
      <w:r w:rsidRPr="00133A3B">
        <w:rPr>
          <w:sz w:val="22"/>
          <w:szCs w:val="22"/>
        </w:rPr>
        <w:t xml:space="preserve"> projekt</w:t>
      </w:r>
      <w:r>
        <w:rPr>
          <w:sz w:val="22"/>
          <w:szCs w:val="22"/>
        </w:rPr>
        <w:t>ech</w:t>
      </w:r>
      <w:r w:rsidRPr="00133A3B">
        <w:rPr>
          <w:sz w:val="22"/>
          <w:szCs w:val="22"/>
        </w:rPr>
        <w:t xml:space="preserve"> rizikov</w:t>
      </w:r>
      <w:r>
        <w:rPr>
          <w:sz w:val="22"/>
          <w:szCs w:val="22"/>
        </w:rPr>
        <w:t>ých</w:t>
      </w:r>
      <w:r w:rsidRPr="00133A3B">
        <w:rPr>
          <w:sz w:val="22"/>
          <w:szCs w:val="22"/>
        </w:rPr>
        <w:t xml:space="preserve">. ŘO IOP identifikuje jako rizikové téměř všechny nové projekty oblasti intervence </w:t>
      </w:r>
      <w:r w:rsidR="00520FA4">
        <w:rPr>
          <w:sz w:val="22"/>
          <w:szCs w:val="22"/>
        </w:rPr>
        <w:br/>
      </w:r>
      <w:r w:rsidRPr="00133A3B">
        <w:rPr>
          <w:sz w:val="22"/>
          <w:szCs w:val="22"/>
        </w:rPr>
        <w:t xml:space="preserve">1.1 Rozvoj informační společnosti ve veřejné správě. Tyto projekty jsou rizikové zejména </w:t>
      </w:r>
      <w:r>
        <w:rPr>
          <w:sz w:val="22"/>
          <w:szCs w:val="22"/>
        </w:rPr>
        <w:br/>
      </w:r>
      <w:r w:rsidRPr="00133A3B">
        <w:rPr>
          <w:sz w:val="22"/>
          <w:szCs w:val="22"/>
        </w:rPr>
        <w:t>z důvodu napjatého časového plánu. Důvodem je jejich schválení v průběhu léta a podzimu 2014, ze kterého vyplývá délka realizace zhruba jednoho roku, a to včetně uskutečnění všech veřejných zakázek. Je tedy nezbytně nutné, aby příjemci vyvinuli maximální úsilí při realizaci jednotlivých fází projektu a předcházeli všem rizikovým faktorům</w:t>
      </w:r>
      <w:r w:rsidR="00133A3B" w:rsidRPr="00133A3B">
        <w:rPr>
          <w:sz w:val="22"/>
          <w:szCs w:val="22"/>
        </w:rPr>
        <w:t xml:space="preserve">.    </w:t>
      </w:r>
    </w:p>
    <w:p w:rsidR="00763C85" w:rsidRDefault="00763C85" w:rsidP="001E0F27">
      <w:pPr>
        <w:rPr>
          <w:b/>
          <w:sz w:val="24"/>
          <w:szCs w:val="24"/>
        </w:rPr>
      </w:pPr>
    </w:p>
    <w:p w:rsidR="00A75862" w:rsidRPr="00BA2A62" w:rsidRDefault="00A75862" w:rsidP="001E0F27">
      <w:pPr>
        <w:rPr>
          <w:b/>
          <w:sz w:val="24"/>
          <w:szCs w:val="24"/>
        </w:rPr>
      </w:pPr>
      <w:r w:rsidRPr="00FB5385">
        <w:rPr>
          <w:b/>
          <w:sz w:val="24"/>
          <w:szCs w:val="24"/>
        </w:rPr>
        <w:t>2.3.</w:t>
      </w:r>
      <w:r w:rsidR="00311546">
        <w:rPr>
          <w:b/>
          <w:sz w:val="24"/>
          <w:szCs w:val="24"/>
        </w:rPr>
        <w:t>10</w:t>
      </w:r>
      <w:r w:rsidRPr="00FB5385">
        <w:rPr>
          <w:b/>
          <w:sz w:val="24"/>
          <w:szCs w:val="24"/>
        </w:rPr>
        <w:t>.</w:t>
      </w:r>
      <w:r w:rsidR="000639E5">
        <w:rPr>
          <w:b/>
          <w:sz w:val="24"/>
          <w:szCs w:val="24"/>
        </w:rPr>
        <w:t>2</w:t>
      </w:r>
      <w:r w:rsidRPr="00FB5385">
        <w:rPr>
          <w:b/>
          <w:sz w:val="24"/>
          <w:szCs w:val="24"/>
        </w:rPr>
        <w:t xml:space="preserve"> Opatření k zajištění naplnění pravidla n+3/n+2</w:t>
      </w:r>
      <w:r>
        <w:rPr>
          <w:b/>
          <w:sz w:val="24"/>
          <w:szCs w:val="24"/>
        </w:rPr>
        <w:t xml:space="preserve"> </w:t>
      </w:r>
    </w:p>
    <w:p w:rsidR="005A55CF" w:rsidRPr="00D06A4F" w:rsidRDefault="005A55CF" w:rsidP="005A55CF">
      <w:pPr>
        <w:rPr>
          <w:sz w:val="22"/>
          <w:szCs w:val="22"/>
        </w:rPr>
      </w:pPr>
      <w:r w:rsidRPr="00D06A4F">
        <w:rPr>
          <w:sz w:val="22"/>
          <w:szCs w:val="22"/>
        </w:rPr>
        <w:t xml:space="preserve">ŘO IOP aplikoval </w:t>
      </w:r>
      <w:r>
        <w:rPr>
          <w:sz w:val="22"/>
          <w:szCs w:val="22"/>
        </w:rPr>
        <w:t>v roce</w:t>
      </w:r>
      <w:r w:rsidRPr="00D06A4F">
        <w:rPr>
          <w:sz w:val="22"/>
          <w:szCs w:val="22"/>
        </w:rPr>
        <w:t xml:space="preserve"> 2014 obdobná opatření k minimalizaci ztráty alokace jako v roce 2013, např.: </w:t>
      </w:r>
    </w:p>
    <w:p w:rsidR="005A55CF" w:rsidRPr="00B30728" w:rsidRDefault="005A55CF" w:rsidP="005A55CF">
      <w:pPr>
        <w:pStyle w:val="Odstavecseseznamem"/>
        <w:numPr>
          <w:ilvl w:val="0"/>
          <w:numId w:val="51"/>
        </w:numPr>
        <w:ind w:left="714" w:hanging="357"/>
        <w:jc w:val="both"/>
        <w:rPr>
          <w:sz w:val="22"/>
          <w:szCs w:val="22"/>
        </w:rPr>
      </w:pPr>
      <w:r w:rsidRPr="00B30728">
        <w:rPr>
          <w:sz w:val="22"/>
          <w:szCs w:val="22"/>
        </w:rPr>
        <w:t xml:space="preserve">konzultace </w:t>
      </w:r>
      <w:proofErr w:type="spellStart"/>
      <w:r w:rsidRPr="00B30728">
        <w:rPr>
          <w:sz w:val="22"/>
          <w:szCs w:val="22"/>
        </w:rPr>
        <w:t>ŽoP</w:t>
      </w:r>
      <w:proofErr w:type="spellEnd"/>
      <w:r w:rsidRPr="00B30728">
        <w:rPr>
          <w:sz w:val="22"/>
          <w:szCs w:val="22"/>
        </w:rPr>
        <w:t xml:space="preserve"> a monitorovací zprávy před předložením na zprostředkující subjekty,</w:t>
      </w:r>
    </w:p>
    <w:p w:rsidR="005A55CF" w:rsidRPr="00B30728" w:rsidRDefault="005A55CF" w:rsidP="005A55CF">
      <w:pPr>
        <w:pStyle w:val="Odstavecseseznamem"/>
        <w:numPr>
          <w:ilvl w:val="0"/>
          <w:numId w:val="51"/>
        </w:numPr>
        <w:ind w:left="714" w:hanging="357"/>
        <w:jc w:val="both"/>
        <w:rPr>
          <w:sz w:val="22"/>
          <w:szCs w:val="22"/>
        </w:rPr>
      </w:pPr>
      <w:r w:rsidRPr="00B30728">
        <w:rPr>
          <w:sz w:val="22"/>
          <w:szCs w:val="22"/>
        </w:rPr>
        <w:t>mimořádné dělení etap projektů, aby mohla být zkontrolována, proplacena a certifikována alespoň část výdajů,</w:t>
      </w:r>
    </w:p>
    <w:p w:rsidR="005A55CF" w:rsidRPr="00B30728" w:rsidRDefault="005A55CF" w:rsidP="005A55CF">
      <w:pPr>
        <w:pStyle w:val="Odstavecseseznamem"/>
        <w:numPr>
          <w:ilvl w:val="0"/>
          <w:numId w:val="51"/>
        </w:numPr>
        <w:ind w:left="714" w:hanging="357"/>
        <w:jc w:val="both"/>
        <w:rPr>
          <w:sz w:val="22"/>
          <w:szCs w:val="22"/>
        </w:rPr>
      </w:pPr>
      <w:r w:rsidRPr="00B30728">
        <w:rPr>
          <w:sz w:val="22"/>
          <w:szCs w:val="22"/>
        </w:rPr>
        <w:lastRenderedPageBreak/>
        <w:t xml:space="preserve">efektivní kontrola výběrových řízení </w:t>
      </w:r>
      <w:proofErr w:type="spellStart"/>
      <w:r w:rsidRPr="00B30728">
        <w:rPr>
          <w:sz w:val="22"/>
          <w:szCs w:val="22"/>
        </w:rPr>
        <w:t>ŽoP</w:t>
      </w:r>
      <w:proofErr w:type="spellEnd"/>
      <w:r w:rsidRPr="00B30728">
        <w:rPr>
          <w:sz w:val="22"/>
          <w:szCs w:val="22"/>
        </w:rPr>
        <w:t xml:space="preserve"> a Oznámení o změně s cílem eliminovat prodlevy </w:t>
      </w:r>
      <w:r w:rsidRPr="00B30728">
        <w:rPr>
          <w:sz w:val="22"/>
          <w:szCs w:val="22"/>
        </w:rPr>
        <w:br/>
        <w:t xml:space="preserve">v administraci </w:t>
      </w:r>
      <w:proofErr w:type="spellStart"/>
      <w:r w:rsidRPr="00B30728">
        <w:rPr>
          <w:sz w:val="22"/>
          <w:szCs w:val="22"/>
        </w:rPr>
        <w:t>ŽoP</w:t>
      </w:r>
      <w:proofErr w:type="spellEnd"/>
      <w:r w:rsidRPr="00B30728">
        <w:rPr>
          <w:sz w:val="22"/>
          <w:szCs w:val="22"/>
        </w:rPr>
        <w:t xml:space="preserve">, </w:t>
      </w:r>
    </w:p>
    <w:p w:rsidR="005A55CF" w:rsidRPr="00B30728" w:rsidRDefault="005A55CF" w:rsidP="005A55CF">
      <w:pPr>
        <w:pStyle w:val="Odstavecseseznamem"/>
        <w:numPr>
          <w:ilvl w:val="0"/>
          <w:numId w:val="51"/>
        </w:numPr>
        <w:ind w:left="714" w:hanging="357"/>
        <w:jc w:val="both"/>
        <w:rPr>
          <w:sz w:val="22"/>
          <w:szCs w:val="22"/>
        </w:rPr>
      </w:pPr>
      <w:r w:rsidRPr="00B30728">
        <w:rPr>
          <w:sz w:val="22"/>
          <w:szCs w:val="22"/>
        </w:rPr>
        <w:t>měsíční jednání se zástupci finančních útvarů zprostředkujících subjektů s cílem identifikovat příčiny zpoždění v administraci jednotlivých žádostí o platbu a navrhovat řešení.</w:t>
      </w:r>
    </w:p>
    <w:p w:rsidR="005A55CF" w:rsidRPr="00516F37" w:rsidRDefault="005A55CF" w:rsidP="005A55CF">
      <w:pPr>
        <w:pStyle w:val="Odstavecseseznamem"/>
        <w:ind w:left="714"/>
      </w:pPr>
    </w:p>
    <w:p w:rsidR="005A55CF" w:rsidRDefault="005A55CF" w:rsidP="005A55CF">
      <w:pPr>
        <w:jc w:val="both"/>
        <w:rPr>
          <w:sz w:val="22"/>
          <w:szCs w:val="22"/>
        </w:rPr>
      </w:pPr>
      <w:r w:rsidRPr="00D06A4F">
        <w:rPr>
          <w:sz w:val="22"/>
          <w:szCs w:val="22"/>
        </w:rPr>
        <w:t xml:space="preserve">V červenci 2014 vytvořil ŘO IOP ve spolupráci se ZS IOP pro maximalizaci čerpání soubor šedesáti plošných </w:t>
      </w:r>
      <w:r>
        <w:rPr>
          <w:sz w:val="22"/>
          <w:szCs w:val="22"/>
        </w:rPr>
        <w:t>a</w:t>
      </w:r>
      <w:r w:rsidRPr="00D06A4F">
        <w:rPr>
          <w:sz w:val="22"/>
          <w:szCs w:val="22"/>
        </w:rPr>
        <w:t> devatenáct</w:t>
      </w:r>
      <w:r>
        <w:rPr>
          <w:sz w:val="22"/>
          <w:szCs w:val="22"/>
        </w:rPr>
        <w:t>i</w:t>
      </w:r>
      <w:r w:rsidRPr="00D06A4F">
        <w:rPr>
          <w:sz w:val="22"/>
          <w:szCs w:val="22"/>
        </w:rPr>
        <w:t xml:space="preserve"> specifický</w:t>
      </w:r>
      <w:r>
        <w:rPr>
          <w:sz w:val="22"/>
          <w:szCs w:val="22"/>
        </w:rPr>
        <w:t xml:space="preserve">ch </w:t>
      </w:r>
      <w:r w:rsidRPr="00D06A4F">
        <w:rPr>
          <w:sz w:val="22"/>
          <w:szCs w:val="22"/>
        </w:rPr>
        <w:t>opatření pro jednotlivé oblasti intervence</w:t>
      </w:r>
      <w:r>
        <w:rPr>
          <w:sz w:val="22"/>
          <w:szCs w:val="22"/>
        </w:rPr>
        <w:t>.</w:t>
      </w:r>
      <w:r w:rsidRPr="00D06A4F">
        <w:rPr>
          <w:sz w:val="22"/>
          <w:szCs w:val="22"/>
        </w:rPr>
        <w:t xml:space="preserve"> </w:t>
      </w:r>
      <w:r w:rsidRPr="00A339F0">
        <w:rPr>
          <w:sz w:val="22"/>
          <w:szCs w:val="22"/>
        </w:rPr>
        <w:t xml:space="preserve">Jejich plnění </w:t>
      </w:r>
      <w:r w:rsidR="00E80EC3" w:rsidRPr="00A339F0">
        <w:rPr>
          <w:sz w:val="22"/>
          <w:szCs w:val="22"/>
        </w:rPr>
        <w:t xml:space="preserve">probíhalo do konce </w:t>
      </w:r>
      <w:r w:rsidRPr="00A339F0">
        <w:rPr>
          <w:sz w:val="22"/>
          <w:szCs w:val="22"/>
        </w:rPr>
        <w:t>2014</w:t>
      </w:r>
      <w:r w:rsidR="00E80EC3" w:rsidRPr="00A339F0">
        <w:rPr>
          <w:sz w:val="22"/>
          <w:szCs w:val="22"/>
        </w:rPr>
        <w:t xml:space="preserve"> a k </w:t>
      </w:r>
      <w:r w:rsidR="00383135" w:rsidRPr="00A339F0">
        <w:rPr>
          <w:sz w:val="22"/>
          <w:szCs w:val="22"/>
        </w:rPr>
        <w:t>31. 12. 2014</w:t>
      </w:r>
      <w:r w:rsidR="00E80EC3" w:rsidRPr="00A339F0">
        <w:rPr>
          <w:sz w:val="22"/>
          <w:szCs w:val="22"/>
        </w:rPr>
        <w:t xml:space="preserve"> byl soubor těchto opatření naplněn. </w:t>
      </w:r>
      <w:r w:rsidRPr="00A339F0">
        <w:rPr>
          <w:sz w:val="22"/>
          <w:szCs w:val="22"/>
        </w:rPr>
        <w:t xml:space="preserve"> </w:t>
      </w:r>
    </w:p>
    <w:p w:rsidR="00E80EC3" w:rsidRDefault="00E80EC3" w:rsidP="005A55CF">
      <w:pPr>
        <w:jc w:val="both"/>
        <w:rPr>
          <w:sz w:val="22"/>
          <w:szCs w:val="22"/>
        </w:rPr>
      </w:pPr>
    </w:p>
    <w:p w:rsidR="00F40DD9" w:rsidRDefault="00F40DD9" w:rsidP="005A55CF">
      <w:pPr>
        <w:jc w:val="both"/>
        <w:rPr>
          <w:sz w:val="22"/>
          <w:szCs w:val="22"/>
        </w:rPr>
      </w:pPr>
    </w:p>
    <w:p w:rsidR="00E80EC3" w:rsidRDefault="005A55CF" w:rsidP="00191CF6">
      <w:pPr>
        <w:pStyle w:val="Tabulkanzev"/>
      </w:pPr>
      <w:bookmarkStart w:id="103" w:name="_Toc402516924"/>
      <w:bookmarkStart w:id="104" w:name="_Toc416431815"/>
      <w:r w:rsidRPr="00E80EC3">
        <w:t>Přehled počtu opatření podle jednotlivých subjektů implementace IOP</w:t>
      </w:r>
      <w:bookmarkEnd w:id="103"/>
      <w:bookmarkEnd w:id="104"/>
      <w:r w:rsidRPr="00E80EC3">
        <w:t xml:space="preserve"> </w:t>
      </w:r>
    </w:p>
    <w:tbl>
      <w:tblPr>
        <w:tblW w:w="924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062"/>
        <w:gridCol w:w="851"/>
        <w:gridCol w:w="992"/>
        <w:gridCol w:w="992"/>
        <w:gridCol w:w="851"/>
        <w:gridCol w:w="992"/>
        <w:gridCol w:w="1276"/>
        <w:gridCol w:w="862"/>
      </w:tblGrid>
      <w:tr w:rsidR="00E80EC3" w:rsidRPr="00E80EC3" w:rsidTr="00AE496C">
        <w:trPr>
          <w:trHeight w:val="1025"/>
        </w:trPr>
        <w:tc>
          <w:tcPr>
            <w:tcW w:w="1363" w:type="dxa"/>
            <w:shd w:val="clear" w:color="000000" w:fill="C4D79B"/>
            <w:vAlign w:val="center"/>
            <w:hideMark/>
          </w:tcPr>
          <w:p w:rsidR="00E80EC3" w:rsidRPr="00E80EC3" w:rsidRDefault="00E80EC3" w:rsidP="00E80EC3">
            <w:pPr>
              <w:jc w:val="center"/>
              <w:rPr>
                <w:b/>
                <w:bCs/>
                <w:color w:val="000000"/>
              </w:rPr>
            </w:pPr>
            <w:r w:rsidRPr="00E80EC3">
              <w:rPr>
                <w:b/>
                <w:bCs/>
                <w:color w:val="000000"/>
              </w:rPr>
              <w:t>Odpovědnost</w:t>
            </w:r>
          </w:p>
        </w:tc>
        <w:tc>
          <w:tcPr>
            <w:tcW w:w="1062" w:type="dxa"/>
            <w:shd w:val="clear" w:color="000000" w:fill="C4D79B"/>
            <w:vAlign w:val="center"/>
            <w:hideMark/>
          </w:tcPr>
          <w:p w:rsidR="00E80EC3" w:rsidRPr="00E80EC3" w:rsidRDefault="00E80EC3" w:rsidP="00E80EC3">
            <w:pPr>
              <w:jc w:val="center"/>
              <w:rPr>
                <w:b/>
                <w:bCs/>
                <w:color w:val="000000"/>
              </w:rPr>
            </w:pPr>
            <w:r w:rsidRPr="00E80EC3">
              <w:rPr>
                <w:b/>
                <w:bCs/>
                <w:color w:val="000000"/>
              </w:rPr>
              <w:t>ŘO IOP</w:t>
            </w:r>
          </w:p>
        </w:tc>
        <w:tc>
          <w:tcPr>
            <w:tcW w:w="851" w:type="dxa"/>
            <w:shd w:val="clear" w:color="000000" w:fill="C4D79B"/>
            <w:vAlign w:val="center"/>
            <w:hideMark/>
          </w:tcPr>
          <w:p w:rsidR="00E80EC3" w:rsidRPr="00E80EC3" w:rsidRDefault="00E80EC3" w:rsidP="00E80EC3">
            <w:pPr>
              <w:jc w:val="center"/>
              <w:rPr>
                <w:b/>
                <w:bCs/>
                <w:color w:val="000000"/>
              </w:rPr>
            </w:pPr>
            <w:r w:rsidRPr="00E80EC3">
              <w:rPr>
                <w:b/>
                <w:bCs/>
                <w:color w:val="000000"/>
              </w:rPr>
              <w:t>ZS MV</w:t>
            </w:r>
          </w:p>
        </w:tc>
        <w:tc>
          <w:tcPr>
            <w:tcW w:w="992" w:type="dxa"/>
            <w:shd w:val="clear" w:color="000000" w:fill="C4D79B"/>
            <w:vAlign w:val="center"/>
            <w:hideMark/>
          </w:tcPr>
          <w:p w:rsidR="00E80EC3" w:rsidRPr="00E80EC3" w:rsidRDefault="00E80EC3" w:rsidP="00E80EC3">
            <w:pPr>
              <w:jc w:val="center"/>
              <w:rPr>
                <w:b/>
                <w:bCs/>
                <w:color w:val="000000"/>
              </w:rPr>
            </w:pPr>
            <w:r w:rsidRPr="00E80EC3">
              <w:rPr>
                <w:b/>
                <w:bCs/>
                <w:color w:val="000000"/>
              </w:rPr>
              <w:t xml:space="preserve">ZS </w:t>
            </w:r>
            <w:proofErr w:type="spellStart"/>
            <w:r w:rsidRPr="00E80EC3">
              <w:rPr>
                <w:b/>
                <w:bCs/>
                <w:color w:val="000000"/>
              </w:rPr>
              <w:t>MZd</w:t>
            </w:r>
            <w:proofErr w:type="spellEnd"/>
          </w:p>
        </w:tc>
        <w:tc>
          <w:tcPr>
            <w:tcW w:w="992" w:type="dxa"/>
            <w:shd w:val="clear" w:color="000000" w:fill="C4D79B"/>
            <w:vAlign w:val="center"/>
            <w:hideMark/>
          </w:tcPr>
          <w:p w:rsidR="00E80EC3" w:rsidRPr="00E80EC3" w:rsidRDefault="00E80EC3" w:rsidP="00E80EC3">
            <w:pPr>
              <w:jc w:val="center"/>
              <w:rPr>
                <w:b/>
                <w:bCs/>
                <w:color w:val="000000"/>
              </w:rPr>
            </w:pPr>
            <w:r w:rsidRPr="00E80EC3">
              <w:rPr>
                <w:b/>
                <w:bCs/>
                <w:color w:val="000000"/>
              </w:rPr>
              <w:t>ZS MPSV</w:t>
            </w:r>
          </w:p>
        </w:tc>
        <w:tc>
          <w:tcPr>
            <w:tcW w:w="851" w:type="dxa"/>
            <w:shd w:val="clear" w:color="000000" w:fill="C4D79B"/>
            <w:vAlign w:val="center"/>
            <w:hideMark/>
          </w:tcPr>
          <w:p w:rsidR="00E80EC3" w:rsidRPr="00E80EC3" w:rsidRDefault="00E80EC3" w:rsidP="00E80EC3">
            <w:pPr>
              <w:jc w:val="center"/>
              <w:rPr>
                <w:b/>
                <w:bCs/>
                <w:color w:val="000000"/>
              </w:rPr>
            </w:pPr>
            <w:r w:rsidRPr="00E80EC3">
              <w:rPr>
                <w:b/>
                <w:bCs/>
                <w:color w:val="000000"/>
              </w:rPr>
              <w:t>CRR</w:t>
            </w:r>
          </w:p>
        </w:tc>
        <w:tc>
          <w:tcPr>
            <w:tcW w:w="992" w:type="dxa"/>
            <w:shd w:val="clear" w:color="000000" w:fill="C4D79B"/>
            <w:vAlign w:val="center"/>
            <w:hideMark/>
          </w:tcPr>
          <w:p w:rsidR="00E80EC3" w:rsidRPr="00E80EC3" w:rsidRDefault="00E80EC3" w:rsidP="00E80EC3">
            <w:pPr>
              <w:jc w:val="center"/>
              <w:rPr>
                <w:b/>
                <w:bCs/>
                <w:color w:val="000000"/>
              </w:rPr>
            </w:pPr>
            <w:r w:rsidRPr="00E80EC3">
              <w:rPr>
                <w:b/>
                <w:bCs/>
                <w:color w:val="000000"/>
              </w:rPr>
              <w:t>Všechny ZS IOP</w:t>
            </w:r>
          </w:p>
        </w:tc>
        <w:tc>
          <w:tcPr>
            <w:tcW w:w="1276" w:type="dxa"/>
            <w:shd w:val="clear" w:color="000000" w:fill="C4D79B"/>
            <w:vAlign w:val="center"/>
            <w:hideMark/>
          </w:tcPr>
          <w:p w:rsidR="00E80EC3" w:rsidRPr="00E80EC3" w:rsidRDefault="00E80EC3" w:rsidP="00E80EC3">
            <w:pPr>
              <w:jc w:val="center"/>
              <w:rPr>
                <w:b/>
                <w:bCs/>
                <w:color w:val="000000"/>
              </w:rPr>
            </w:pPr>
            <w:r w:rsidRPr="00E80EC3">
              <w:rPr>
                <w:b/>
                <w:bCs/>
                <w:color w:val="000000"/>
              </w:rPr>
              <w:t>Sdílená odpovědnost ŘO IOP a ZS IOP</w:t>
            </w:r>
          </w:p>
        </w:tc>
        <w:tc>
          <w:tcPr>
            <w:tcW w:w="862" w:type="dxa"/>
            <w:shd w:val="clear" w:color="000000" w:fill="C4D79B"/>
            <w:vAlign w:val="center"/>
            <w:hideMark/>
          </w:tcPr>
          <w:p w:rsidR="00E80EC3" w:rsidRPr="00E80EC3" w:rsidRDefault="00E80EC3" w:rsidP="00E80EC3">
            <w:pPr>
              <w:jc w:val="center"/>
              <w:rPr>
                <w:b/>
                <w:bCs/>
                <w:color w:val="000000"/>
              </w:rPr>
            </w:pPr>
            <w:r w:rsidRPr="00E80EC3">
              <w:rPr>
                <w:b/>
                <w:bCs/>
                <w:color w:val="000000"/>
              </w:rPr>
              <w:t>Celkem</w:t>
            </w:r>
          </w:p>
        </w:tc>
      </w:tr>
      <w:tr w:rsidR="00E80EC3" w:rsidRPr="00E80EC3" w:rsidTr="00AE496C">
        <w:trPr>
          <w:trHeight w:val="569"/>
        </w:trPr>
        <w:tc>
          <w:tcPr>
            <w:tcW w:w="1363" w:type="dxa"/>
            <w:shd w:val="clear" w:color="000000" w:fill="E4DFEC"/>
            <w:vAlign w:val="center"/>
            <w:hideMark/>
          </w:tcPr>
          <w:p w:rsidR="00E80EC3" w:rsidRPr="00E80EC3" w:rsidRDefault="00E80EC3" w:rsidP="00E80EC3">
            <w:pPr>
              <w:jc w:val="center"/>
              <w:rPr>
                <w:b/>
                <w:bCs/>
                <w:color w:val="000000"/>
              </w:rPr>
            </w:pPr>
            <w:r w:rsidRPr="00E80EC3">
              <w:rPr>
                <w:b/>
                <w:bCs/>
                <w:color w:val="000000"/>
              </w:rPr>
              <w:t>Celkový počet opatření</w:t>
            </w:r>
          </w:p>
        </w:tc>
        <w:tc>
          <w:tcPr>
            <w:tcW w:w="1062" w:type="dxa"/>
            <w:shd w:val="clear" w:color="000000" w:fill="E4DFEC"/>
            <w:vAlign w:val="center"/>
            <w:hideMark/>
          </w:tcPr>
          <w:p w:rsidR="00E80EC3" w:rsidRPr="00E80EC3" w:rsidRDefault="00E80EC3" w:rsidP="00E80EC3">
            <w:pPr>
              <w:jc w:val="center"/>
              <w:rPr>
                <w:color w:val="000000"/>
              </w:rPr>
            </w:pPr>
            <w:r w:rsidRPr="00E80EC3">
              <w:rPr>
                <w:color w:val="000000"/>
              </w:rPr>
              <w:t>20</w:t>
            </w:r>
          </w:p>
        </w:tc>
        <w:tc>
          <w:tcPr>
            <w:tcW w:w="851" w:type="dxa"/>
            <w:shd w:val="clear" w:color="000000" w:fill="E4DFEC"/>
            <w:vAlign w:val="center"/>
            <w:hideMark/>
          </w:tcPr>
          <w:p w:rsidR="00E80EC3" w:rsidRPr="00E80EC3" w:rsidRDefault="00E80EC3" w:rsidP="00E80EC3">
            <w:pPr>
              <w:jc w:val="center"/>
              <w:rPr>
                <w:color w:val="000000"/>
              </w:rPr>
            </w:pPr>
            <w:r w:rsidRPr="00E80EC3">
              <w:rPr>
                <w:color w:val="000000"/>
              </w:rPr>
              <w:t>11</w:t>
            </w:r>
          </w:p>
        </w:tc>
        <w:tc>
          <w:tcPr>
            <w:tcW w:w="992" w:type="dxa"/>
            <w:shd w:val="clear" w:color="000000" w:fill="E4DFEC"/>
            <w:vAlign w:val="center"/>
            <w:hideMark/>
          </w:tcPr>
          <w:p w:rsidR="00E80EC3" w:rsidRPr="00E80EC3" w:rsidRDefault="00E80EC3" w:rsidP="00E80EC3">
            <w:pPr>
              <w:jc w:val="center"/>
              <w:rPr>
                <w:color w:val="000000"/>
              </w:rPr>
            </w:pPr>
            <w:r w:rsidRPr="00E80EC3">
              <w:rPr>
                <w:color w:val="000000"/>
              </w:rPr>
              <w:t>12</w:t>
            </w:r>
          </w:p>
        </w:tc>
        <w:tc>
          <w:tcPr>
            <w:tcW w:w="992" w:type="dxa"/>
            <w:shd w:val="clear" w:color="000000" w:fill="E4DFEC"/>
            <w:vAlign w:val="center"/>
            <w:hideMark/>
          </w:tcPr>
          <w:p w:rsidR="00E80EC3" w:rsidRPr="00E80EC3" w:rsidRDefault="00E80EC3" w:rsidP="00E80EC3">
            <w:pPr>
              <w:jc w:val="center"/>
              <w:rPr>
                <w:color w:val="000000"/>
              </w:rPr>
            </w:pPr>
            <w:r w:rsidRPr="00E80EC3">
              <w:rPr>
                <w:color w:val="000000"/>
              </w:rPr>
              <w:t>13</w:t>
            </w:r>
          </w:p>
        </w:tc>
        <w:tc>
          <w:tcPr>
            <w:tcW w:w="851" w:type="dxa"/>
            <w:shd w:val="clear" w:color="000000" w:fill="E4DFEC"/>
            <w:vAlign w:val="center"/>
            <w:hideMark/>
          </w:tcPr>
          <w:p w:rsidR="00E80EC3" w:rsidRPr="00E80EC3" w:rsidRDefault="00E80EC3" w:rsidP="00E80EC3">
            <w:pPr>
              <w:jc w:val="center"/>
              <w:rPr>
                <w:color w:val="000000"/>
              </w:rPr>
            </w:pPr>
            <w:r w:rsidRPr="00E80EC3">
              <w:rPr>
                <w:color w:val="000000"/>
              </w:rPr>
              <w:t>4</w:t>
            </w:r>
          </w:p>
        </w:tc>
        <w:tc>
          <w:tcPr>
            <w:tcW w:w="992" w:type="dxa"/>
            <w:shd w:val="clear" w:color="000000" w:fill="E4DFEC"/>
            <w:vAlign w:val="center"/>
            <w:hideMark/>
          </w:tcPr>
          <w:p w:rsidR="00E80EC3" w:rsidRPr="00E80EC3" w:rsidRDefault="00E80EC3" w:rsidP="00E80EC3">
            <w:pPr>
              <w:jc w:val="center"/>
              <w:rPr>
                <w:color w:val="000000"/>
              </w:rPr>
            </w:pPr>
            <w:r w:rsidRPr="00E80EC3">
              <w:rPr>
                <w:color w:val="000000"/>
              </w:rPr>
              <w:t>4</w:t>
            </w:r>
          </w:p>
        </w:tc>
        <w:tc>
          <w:tcPr>
            <w:tcW w:w="1276" w:type="dxa"/>
            <w:shd w:val="clear" w:color="000000" w:fill="E4DFEC"/>
            <w:vAlign w:val="center"/>
            <w:hideMark/>
          </w:tcPr>
          <w:p w:rsidR="00E80EC3" w:rsidRPr="00E80EC3" w:rsidRDefault="00E80EC3" w:rsidP="00E80EC3">
            <w:pPr>
              <w:jc w:val="center"/>
              <w:rPr>
                <w:color w:val="000000"/>
              </w:rPr>
            </w:pPr>
            <w:r w:rsidRPr="00E80EC3">
              <w:rPr>
                <w:color w:val="000000"/>
              </w:rPr>
              <w:t>15</w:t>
            </w:r>
          </w:p>
        </w:tc>
        <w:tc>
          <w:tcPr>
            <w:tcW w:w="862" w:type="dxa"/>
            <w:shd w:val="clear" w:color="000000" w:fill="E4DFEC"/>
            <w:vAlign w:val="center"/>
            <w:hideMark/>
          </w:tcPr>
          <w:p w:rsidR="00E80EC3" w:rsidRPr="00E80EC3" w:rsidRDefault="00E80EC3" w:rsidP="00E80EC3">
            <w:pPr>
              <w:jc w:val="center"/>
              <w:rPr>
                <w:b/>
                <w:bCs/>
                <w:color w:val="000000"/>
              </w:rPr>
            </w:pPr>
            <w:r w:rsidRPr="00E80EC3">
              <w:rPr>
                <w:b/>
                <w:bCs/>
                <w:color w:val="000000"/>
              </w:rPr>
              <w:t>79</w:t>
            </w:r>
          </w:p>
        </w:tc>
      </w:tr>
      <w:tr w:rsidR="00E80EC3" w:rsidRPr="00E80EC3" w:rsidTr="00AE496C">
        <w:trPr>
          <w:trHeight w:val="1062"/>
        </w:trPr>
        <w:tc>
          <w:tcPr>
            <w:tcW w:w="1363" w:type="dxa"/>
            <w:shd w:val="clear" w:color="000000" w:fill="FFFFFF"/>
            <w:vAlign w:val="center"/>
            <w:hideMark/>
          </w:tcPr>
          <w:p w:rsidR="00E80EC3" w:rsidRPr="00E80EC3" w:rsidRDefault="00E80EC3" w:rsidP="00E80EC3">
            <w:pPr>
              <w:jc w:val="center"/>
              <w:rPr>
                <w:b/>
                <w:bCs/>
                <w:color w:val="000000"/>
              </w:rPr>
            </w:pPr>
            <w:r w:rsidRPr="00E80EC3">
              <w:rPr>
                <w:b/>
                <w:bCs/>
                <w:color w:val="000000"/>
              </w:rPr>
              <w:t xml:space="preserve">Z toho splněno v termínu </w:t>
            </w:r>
            <w:r w:rsidRPr="00E80EC3">
              <w:rPr>
                <w:b/>
                <w:bCs/>
                <w:color w:val="000000"/>
              </w:rPr>
              <w:br/>
              <w:t>k 31. 12. 2014</w:t>
            </w:r>
          </w:p>
        </w:tc>
        <w:tc>
          <w:tcPr>
            <w:tcW w:w="1062" w:type="dxa"/>
            <w:shd w:val="clear" w:color="auto" w:fill="auto"/>
            <w:vAlign w:val="center"/>
            <w:hideMark/>
          </w:tcPr>
          <w:p w:rsidR="00E80EC3" w:rsidRPr="00E80EC3" w:rsidRDefault="00E80EC3" w:rsidP="00E80EC3">
            <w:pPr>
              <w:jc w:val="center"/>
              <w:rPr>
                <w:color w:val="000000"/>
              </w:rPr>
            </w:pPr>
            <w:r w:rsidRPr="00E80EC3">
              <w:rPr>
                <w:color w:val="000000"/>
              </w:rPr>
              <w:t>14</w:t>
            </w:r>
          </w:p>
        </w:tc>
        <w:tc>
          <w:tcPr>
            <w:tcW w:w="851" w:type="dxa"/>
            <w:shd w:val="clear" w:color="auto" w:fill="auto"/>
            <w:vAlign w:val="center"/>
            <w:hideMark/>
          </w:tcPr>
          <w:p w:rsidR="00E80EC3" w:rsidRPr="00E80EC3" w:rsidRDefault="00E80EC3" w:rsidP="00E80EC3">
            <w:pPr>
              <w:jc w:val="center"/>
              <w:rPr>
                <w:color w:val="000000"/>
              </w:rPr>
            </w:pPr>
            <w:r w:rsidRPr="00E80EC3">
              <w:rPr>
                <w:color w:val="000000"/>
              </w:rPr>
              <w:t>5</w:t>
            </w:r>
          </w:p>
        </w:tc>
        <w:tc>
          <w:tcPr>
            <w:tcW w:w="992" w:type="dxa"/>
            <w:shd w:val="clear" w:color="auto" w:fill="auto"/>
            <w:vAlign w:val="center"/>
            <w:hideMark/>
          </w:tcPr>
          <w:p w:rsidR="00E80EC3" w:rsidRPr="00E80EC3" w:rsidRDefault="00E80EC3" w:rsidP="00E80EC3">
            <w:pPr>
              <w:jc w:val="center"/>
              <w:rPr>
                <w:color w:val="000000"/>
              </w:rPr>
            </w:pPr>
            <w:r w:rsidRPr="00E80EC3">
              <w:rPr>
                <w:color w:val="000000"/>
              </w:rPr>
              <w:t>6</w:t>
            </w:r>
          </w:p>
        </w:tc>
        <w:tc>
          <w:tcPr>
            <w:tcW w:w="992" w:type="dxa"/>
            <w:shd w:val="clear" w:color="auto" w:fill="auto"/>
            <w:vAlign w:val="center"/>
            <w:hideMark/>
          </w:tcPr>
          <w:p w:rsidR="00E80EC3" w:rsidRPr="00E80EC3" w:rsidRDefault="00E80EC3" w:rsidP="00E80EC3">
            <w:pPr>
              <w:jc w:val="center"/>
              <w:rPr>
                <w:color w:val="000000"/>
              </w:rPr>
            </w:pPr>
            <w:r w:rsidRPr="00E80EC3">
              <w:rPr>
                <w:color w:val="000000"/>
              </w:rPr>
              <w:t>11</w:t>
            </w:r>
          </w:p>
        </w:tc>
        <w:tc>
          <w:tcPr>
            <w:tcW w:w="851" w:type="dxa"/>
            <w:shd w:val="clear" w:color="auto" w:fill="auto"/>
            <w:vAlign w:val="center"/>
            <w:hideMark/>
          </w:tcPr>
          <w:p w:rsidR="00E80EC3" w:rsidRPr="00E80EC3" w:rsidRDefault="00E80EC3" w:rsidP="00E80EC3">
            <w:pPr>
              <w:jc w:val="center"/>
              <w:rPr>
                <w:color w:val="000000"/>
              </w:rPr>
            </w:pPr>
            <w:r w:rsidRPr="00E80EC3">
              <w:rPr>
                <w:color w:val="000000"/>
              </w:rPr>
              <w:t>2</w:t>
            </w:r>
          </w:p>
        </w:tc>
        <w:tc>
          <w:tcPr>
            <w:tcW w:w="992" w:type="dxa"/>
            <w:shd w:val="clear" w:color="auto" w:fill="auto"/>
            <w:vAlign w:val="center"/>
            <w:hideMark/>
          </w:tcPr>
          <w:p w:rsidR="00E80EC3" w:rsidRPr="00E80EC3" w:rsidRDefault="00E80EC3" w:rsidP="00E80EC3">
            <w:pPr>
              <w:jc w:val="center"/>
              <w:rPr>
                <w:color w:val="000000"/>
              </w:rPr>
            </w:pPr>
            <w:r w:rsidRPr="00E80EC3">
              <w:rPr>
                <w:color w:val="000000"/>
              </w:rPr>
              <w:t>3</w:t>
            </w:r>
          </w:p>
        </w:tc>
        <w:tc>
          <w:tcPr>
            <w:tcW w:w="1276" w:type="dxa"/>
            <w:shd w:val="clear" w:color="auto" w:fill="auto"/>
            <w:vAlign w:val="center"/>
            <w:hideMark/>
          </w:tcPr>
          <w:p w:rsidR="00E80EC3" w:rsidRPr="00E80EC3" w:rsidRDefault="00E80EC3" w:rsidP="00E80EC3">
            <w:pPr>
              <w:jc w:val="center"/>
              <w:rPr>
                <w:color w:val="000000"/>
              </w:rPr>
            </w:pPr>
            <w:r w:rsidRPr="00E80EC3">
              <w:rPr>
                <w:color w:val="000000"/>
              </w:rPr>
              <w:t>8</w:t>
            </w:r>
          </w:p>
        </w:tc>
        <w:tc>
          <w:tcPr>
            <w:tcW w:w="862" w:type="dxa"/>
            <w:shd w:val="clear" w:color="auto" w:fill="auto"/>
            <w:vAlign w:val="center"/>
            <w:hideMark/>
          </w:tcPr>
          <w:p w:rsidR="00E80EC3" w:rsidRPr="00E80EC3" w:rsidRDefault="00E80EC3" w:rsidP="00E80EC3">
            <w:pPr>
              <w:jc w:val="center"/>
              <w:rPr>
                <w:b/>
                <w:bCs/>
                <w:color w:val="000000"/>
              </w:rPr>
            </w:pPr>
            <w:r w:rsidRPr="00E80EC3">
              <w:rPr>
                <w:b/>
                <w:bCs/>
                <w:color w:val="000000"/>
              </w:rPr>
              <w:t>49</w:t>
            </w:r>
          </w:p>
        </w:tc>
      </w:tr>
    </w:tbl>
    <w:p w:rsidR="00E80EC3" w:rsidRDefault="00E80EC3" w:rsidP="00E80EC3">
      <w:r>
        <w:t>Zdroj dat: ŘO IOP</w:t>
      </w:r>
      <w:r w:rsidR="00AE496C">
        <w:t xml:space="preserve"> ke dni </w:t>
      </w:r>
      <w:r w:rsidR="00383135">
        <w:t>31. 12. 2014</w:t>
      </w:r>
    </w:p>
    <w:p w:rsidR="00A17915" w:rsidRDefault="00A17915" w:rsidP="00DF4078"/>
    <w:p w:rsidR="00A339F0" w:rsidRPr="00D06A4F" w:rsidRDefault="00A339F0" w:rsidP="00A339F0">
      <w:pPr>
        <w:jc w:val="both"/>
        <w:rPr>
          <w:sz w:val="22"/>
          <w:szCs w:val="22"/>
        </w:rPr>
      </w:pPr>
      <w:r>
        <w:rPr>
          <w:sz w:val="22"/>
          <w:szCs w:val="22"/>
        </w:rPr>
        <w:t xml:space="preserve">ŘO IOP </w:t>
      </w:r>
      <w:r w:rsidRPr="00D06A4F">
        <w:rPr>
          <w:sz w:val="22"/>
          <w:szCs w:val="22"/>
        </w:rPr>
        <w:t>zejména intenzivně spolupr</w:t>
      </w:r>
      <w:r>
        <w:rPr>
          <w:sz w:val="22"/>
          <w:szCs w:val="22"/>
        </w:rPr>
        <w:t>a</w:t>
      </w:r>
      <w:r w:rsidRPr="00D06A4F">
        <w:rPr>
          <w:sz w:val="22"/>
          <w:szCs w:val="22"/>
        </w:rPr>
        <w:t>c</w:t>
      </w:r>
      <w:r>
        <w:rPr>
          <w:sz w:val="22"/>
          <w:szCs w:val="22"/>
        </w:rPr>
        <w:t>uje</w:t>
      </w:r>
      <w:r w:rsidRPr="00D06A4F">
        <w:rPr>
          <w:sz w:val="22"/>
          <w:szCs w:val="22"/>
        </w:rPr>
        <w:t xml:space="preserve"> a komunik</w:t>
      </w:r>
      <w:r>
        <w:rPr>
          <w:sz w:val="22"/>
          <w:szCs w:val="22"/>
        </w:rPr>
        <w:t>uje</w:t>
      </w:r>
      <w:r w:rsidRPr="00D06A4F">
        <w:rPr>
          <w:sz w:val="22"/>
          <w:szCs w:val="22"/>
        </w:rPr>
        <w:t xml:space="preserve"> se zprostředkujícími </w:t>
      </w:r>
      <w:r>
        <w:rPr>
          <w:sz w:val="22"/>
          <w:szCs w:val="22"/>
        </w:rPr>
        <w:t>a příjemci a zajišťuje</w:t>
      </w:r>
      <w:r w:rsidRPr="00D06A4F">
        <w:rPr>
          <w:sz w:val="22"/>
          <w:szCs w:val="22"/>
        </w:rPr>
        <w:t xml:space="preserve"> využití projektu NOK </w:t>
      </w:r>
      <w:r>
        <w:rPr>
          <w:sz w:val="22"/>
          <w:szCs w:val="22"/>
        </w:rPr>
        <w:t xml:space="preserve">„Prevence“ </w:t>
      </w:r>
      <w:r w:rsidRPr="00D06A4F">
        <w:rPr>
          <w:sz w:val="22"/>
          <w:szCs w:val="22"/>
        </w:rPr>
        <w:t>pro spící</w:t>
      </w:r>
      <w:r>
        <w:rPr>
          <w:sz w:val="22"/>
          <w:szCs w:val="22"/>
        </w:rPr>
        <w:t xml:space="preserve"> </w:t>
      </w:r>
      <w:r w:rsidRPr="00D06A4F">
        <w:rPr>
          <w:sz w:val="22"/>
          <w:szCs w:val="22"/>
        </w:rPr>
        <w:t xml:space="preserve">projekty a projekty s vysokou chybovostí v žádostech </w:t>
      </w:r>
      <w:r>
        <w:rPr>
          <w:sz w:val="22"/>
          <w:szCs w:val="22"/>
        </w:rPr>
        <w:br/>
      </w:r>
      <w:r w:rsidRPr="00D06A4F">
        <w:rPr>
          <w:sz w:val="22"/>
          <w:szCs w:val="22"/>
        </w:rPr>
        <w:t xml:space="preserve">o platbu. </w:t>
      </w:r>
    </w:p>
    <w:p w:rsidR="00A339F0" w:rsidRDefault="00A339F0" w:rsidP="00A339F0">
      <w:pPr>
        <w:jc w:val="both"/>
        <w:rPr>
          <w:sz w:val="22"/>
          <w:szCs w:val="22"/>
        </w:rPr>
      </w:pPr>
    </w:p>
    <w:p w:rsidR="00A339F0" w:rsidRPr="00D06A4F" w:rsidRDefault="00A339F0" w:rsidP="00A339F0">
      <w:pPr>
        <w:jc w:val="both"/>
        <w:rPr>
          <w:sz w:val="22"/>
          <w:szCs w:val="22"/>
        </w:rPr>
      </w:pPr>
      <w:r w:rsidRPr="00D06A4F">
        <w:rPr>
          <w:sz w:val="22"/>
          <w:szCs w:val="22"/>
        </w:rPr>
        <w:t>V případě ZS IOP se jedná především o zefektiv</w:t>
      </w:r>
      <w:r>
        <w:rPr>
          <w:sz w:val="22"/>
          <w:szCs w:val="22"/>
        </w:rPr>
        <w:t>nění</w:t>
      </w:r>
      <w:r w:rsidRPr="00D06A4F">
        <w:rPr>
          <w:sz w:val="22"/>
          <w:szCs w:val="22"/>
        </w:rPr>
        <w:t xml:space="preserve"> </w:t>
      </w:r>
      <w:r>
        <w:rPr>
          <w:sz w:val="22"/>
          <w:szCs w:val="22"/>
        </w:rPr>
        <w:t>výkonu delegovaných činností,</w:t>
      </w:r>
      <w:r w:rsidRPr="00D06A4F">
        <w:rPr>
          <w:sz w:val="22"/>
          <w:szCs w:val="22"/>
        </w:rPr>
        <w:t xml:space="preserve"> komunikaci s příjemci a dalšími subjekty (</w:t>
      </w:r>
      <w:r>
        <w:rPr>
          <w:sz w:val="22"/>
          <w:szCs w:val="22"/>
        </w:rPr>
        <w:t>A</w:t>
      </w:r>
      <w:r w:rsidRPr="00D06A4F">
        <w:rPr>
          <w:sz w:val="22"/>
          <w:szCs w:val="22"/>
        </w:rPr>
        <w:t xml:space="preserve">uditní orgán, </w:t>
      </w:r>
      <w:r>
        <w:rPr>
          <w:sz w:val="22"/>
          <w:szCs w:val="22"/>
        </w:rPr>
        <w:t xml:space="preserve">Finanční úřady, </w:t>
      </w:r>
      <w:r w:rsidRPr="00D06A4F">
        <w:rPr>
          <w:sz w:val="22"/>
          <w:szCs w:val="22"/>
        </w:rPr>
        <w:t xml:space="preserve">ÚOHS). Specifická opatření </w:t>
      </w:r>
      <w:r>
        <w:rPr>
          <w:sz w:val="22"/>
          <w:szCs w:val="22"/>
        </w:rPr>
        <w:t xml:space="preserve">se </w:t>
      </w:r>
      <w:r w:rsidRPr="00D06A4F">
        <w:rPr>
          <w:sz w:val="22"/>
          <w:szCs w:val="22"/>
        </w:rPr>
        <w:t>zaměřují na konkrétní problémy v jednotlivých oblastech intervence</w:t>
      </w:r>
      <w:r>
        <w:rPr>
          <w:sz w:val="22"/>
          <w:szCs w:val="22"/>
        </w:rPr>
        <w:t>.</w:t>
      </w:r>
    </w:p>
    <w:p w:rsidR="00680D32" w:rsidRDefault="00680D32" w:rsidP="00DF4078"/>
    <w:p w:rsidR="00A75862" w:rsidRPr="00E76099" w:rsidRDefault="00A75862" w:rsidP="00E76099">
      <w:pPr>
        <w:pStyle w:val="Nadpis2"/>
        <w:rPr>
          <w:rFonts w:ascii="Times New Roman" w:hAnsi="Times New Roman"/>
          <w:i w:val="0"/>
        </w:rPr>
      </w:pPr>
      <w:bookmarkStart w:id="105" w:name="_Toc417024854"/>
      <w:r w:rsidRPr="009026D3">
        <w:rPr>
          <w:rFonts w:ascii="Times New Roman" w:hAnsi="Times New Roman"/>
          <w:i w:val="0"/>
        </w:rPr>
        <w:t>2.4 Případné změny v souvislosti s prováděním programu</w:t>
      </w:r>
      <w:bookmarkEnd w:id="105"/>
    </w:p>
    <w:p w:rsidR="00A56530" w:rsidRDefault="00A56530" w:rsidP="00A56530">
      <w:pPr>
        <w:pStyle w:val="Nadpis3"/>
      </w:pPr>
      <w:bookmarkStart w:id="106" w:name="_Toc417024855"/>
      <w:r>
        <w:t>2.4.1 Ekonomické změny</w:t>
      </w:r>
      <w:bookmarkEnd w:id="106"/>
    </w:p>
    <w:p w:rsidR="00E76099" w:rsidRPr="004B4A30" w:rsidRDefault="00E76099" w:rsidP="0078482E">
      <w:pPr>
        <w:jc w:val="both"/>
        <w:rPr>
          <w:b/>
          <w:sz w:val="22"/>
          <w:szCs w:val="22"/>
        </w:rPr>
      </w:pPr>
      <w:r w:rsidRPr="004B4A30">
        <w:rPr>
          <w:sz w:val="22"/>
          <w:szCs w:val="22"/>
        </w:rPr>
        <w:t>Ekonomická data za rok  2014 dokumentují, že Česká republika překonala dvouletou recesi. Hrubý domácí produkt v roce 2014 vzrostl cca o 2,0 %.</w:t>
      </w:r>
    </w:p>
    <w:p w:rsidR="00E76099" w:rsidRPr="004B4A30" w:rsidRDefault="00E76099" w:rsidP="00E76099">
      <w:pPr>
        <w:jc w:val="both"/>
        <w:rPr>
          <w:sz w:val="22"/>
          <w:szCs w:val="22"/>
        </w:rPr>
      </w:pPr>
    </w:p>
    <w:p w:rsidR="00E76099" w:rsidRPr="004B4A30" w:rsidRDefault="00E76099" w:rsidP="00E76099">
      <w:pPr>
        <w:jc w:val="both"/>
        <w:rPr>
          <w:sz w:val="22"/>
          <w:szCs w:val="22"/>
        </w:rPr>
      </w:pPr>
      <w:r w:rsidRPr="004B4A30">
        <w:rPr>
          <w:sz w:val="22"/>
          <w:szCs w:val="22"/>
        </w:rPr>
        <w:t>Podle statistik stoupla v roce 2014 proti roku 2013 průmyslová produkce reálně o 4,9 %, v tržbách šlo o růsty +8,4 %. Umělé oslabení koruny napomohlo výraznému nárůstu tržeb především v odvětvích silně orientovaných na export. Průmysl přijímal zaměstnance a stoupla i průměrná nominální měsíční mzda.</w:t>
      </w:r>
    </w:p>
    <w:p w:rsidR="00E76099" w:rsidRPr="004B4A30" w:rsidRDefault="00E76099" w:rsidP="00E76099">
      <w:pPr>
        <w:jc w:val="both"/>
        <w:rPr>
          <w:sz w:val="22"/>
          <w:szCs w:val="22"/>
        </w:rPr>
      </w:pPr>
    </w:p>
    <w:p w:rsidR="009F521A" w:rsidRDefault="009F521A" w:rsidP="009F521A">
      <w:pPr>
        <w:jc w:val="both"/>
        <w:rPr>
          <w:sz w:val="22"/>
          <w:szCs w:val="22"/>
        </w:rPr>
      </w:pPr>
      <w:r w:rsidRPr="004B4A30">
        <w:rPr>
          <w:sz w:val="22"/>
          <w:szCs w:val="22"/>
        </w:rPr>
        <w:t>V průběhu roku šly meziročně výš nejen mzdy a platy (v podobě náhrad zaměstnancům +3,4 % v průměru za první tři čtvrtletí 2014 proti +1 % za stejné období 2013, ale opět ve snižujícím se tempu). Rostly i zisky živnostníků (+1,6 % v průměru každé čtvrtletí, zatímco rok předtím ve stejnou dobu srovnatelně o 0,8 % klesaly). V čistých příjmech z vlastnictví obdrželi lidé sice proti stejnému období roku 2013 o 3,7 mld. korun méně, ale naopak rostly příjmy domácností ve formě sociálních příspěvků a dávek</w:t>
      </w:r>
      <w:r>
        <w:rPr>
          <w:sz w:val="22"/>
          <w:szCs w:val="22"/>
        </w:rPr>
        <w:t xml:space="preserve"> za </w:t>
      </w:r>
      <w:r w:rsidRPr="004B4A30">
        <w:rPr>
          <w:sz w:val="22"/>
          <w:szCs w:val="22"/>
        </w:rPr>
        <w:t xml:space="preserve">každé čtvrtletí rychleji (od +1,9 % v prvním po +3,4 % ve třetím čtvrtletí 2014, v průměru o 2,6 %, přičemž za stejné období roku 2013 jen o 0,9 %). </w:t>
      </w:r>
    </w:p>
    <w:p w:rsidR="00732F40" w:rsidRPr="004B4A30" w:rsidRDefault="00732F40" w:rsidP="00E76099">
      <w:pPr>
        <w:jc w:val="both"/>
        <w:rPr>
          <w:sz w:val="22"/>
          <w:szCs w:val="22"/>
        </w:rPr>
      </w:pPr>
    </w:p>
    <w:p w:rsidR="00E76099" w:rsidRPr="004B4A30" w:rsidRDefault="00E76099" w:rsidP="00E76099">
      <w:pPr>
        <w:jc w:val="both"/>
        <w:rPr>
          <w:sz w:val="22"/>
          <w:szCs w:val="22"/>
        </w:rPr>
      </w:pPr>
      <w:r w:rsidRPr="004B4A30">
        <w:rPr>
          <w:sz w:val="22"/>
          <w:szCs w:val="22"/>
        </w:rPr>
        <w:t xml:space="preserve">Zaměstnanost roste a obecná míra nezaměstnanosti konkuruje stavu na konci dlouhé konjunktury české ekonomiky, resp. posledního čtvrtletí 2008 (tehdy přicházela ekonomická krize s propady vnější poptávky, ale trh práce v této době ještě zasažen nebyl). </w:t>
      </w:r>
    </w:p>
    <w:p w:rsidR="00E76099" w:rsidRPr="004B4A30" w:rsidRDefault="00E76099" w:rsidP="00E76099">
      <w:pPr>
        <w:jc w:val="both"/>
        <w:rPr>
          <w:sz w:val="22"/>
          <w:szCs w:val="22"/>
        </w:rPr>
      </w:pPr>
      <w:r w:rsidRPr="004B4A30">
        <w:rPr>
          <w:sz w:val="22"/>
          <w:szCs w:val="22"/>
        </w:rPr>
        <w:lastRenderedPageBreak/>
        <w:t xml:space="preserve">Výsledek obchodu ČR se zahraničím je příznivý – exportéři vyvezli o 157,1 mld. korun více zboží, než kolik ho importující firmy dovezly. Český export na trhy EU narostl v roce 2014 meziročně o 15 %, do ostatního světa o 7,5 % (v úhrnu o 12,7 %). Ve druhém čtvrtletí tempo dovozu přestihovalo tempo vývozu. </w:t>
      </w:r>
    </w:p>
    <w:p w:rsidR="00E76099" w:rsidRPr="004B4A30" w:rsidRDefault="00E76099" w:rsidP="00E76099">
      <w:pPr>
        <w:jc w:val="both"/>
        <w:rPr>
          <w:sz w:val="22"/>
          <w:szCs w:val="22"/>
        </w:rPr>
      </w:pPr>
    </w:p>
    <w:p w:rsidR="00280956" w:rsidRDefault="00E76099" w:rsidP="00E76099">
      <w:pPr>
        <w:jc w:val="both"/>
        <w:rPr>
          <w:sz w:val="22"/>
          <w:szCs w:val="22"/>
        </w:rPr>
      </w:pPr>
      <w:r w:rsidRPr="004B4A30">
        <w:rPr>
          <w:sz w:val="22"/>
          <w:szCs w:val="22"/>
        </w:rPr>
        <w:t xml:space="preserve">V loňském roce poprvé po pěti letech soustavných poklesů byla stavební výroba v 1. čtvrtletí o 2,3 % vyšší než rok předtím. </w:t>
      </w:r>
    </w:p>
    <w:p w:rsidR="00280956" w:rsidRDefault="00280956" w:rsidP="00E76099">
      <w:pPr>
        <w:jc w:val="both"/>
        <w:rPr>
          <w:sz w:val="22"/>
          <w:szCs w:val="22"/>
        </w:rPr>
      </w:pPr>
    </w:p>
    <w:p w:rsidR="00E76099" w:rsidRPr="004B4A30" w:rsidRDefault="00E76099" w:rsidP="00E76099">
      <w:pPr>
        <w:jc w:val="both"/>
        <w:rPr>
          <w:sz w:val="22"/>
          <w:szCs w:val="22"/>
        </w:rPr>
      </w:pPr>
      <w:r w:rsidRPr="004B4A30">
        <w:rPr>
          <w:sz w:val="22"/>
          <w:szCs w:val="22"/>
        </w:rPr>
        <w:t xml:space="preserve">Na roční růst zřejmě zapůsobila okolnost, že byly i vlivem financování z evropských fondů znovu obnoveny velké infrastrukturní stavby, předtím zmrazené, zejména po roce 2010. Kvartální tempa stavební produkce v ČR v meziročním vyjádření dosahovala +8,3 %, +3,9 % </w:t>
      </w:r>
      <w:r w:rsidR="00732F40">
        <w:rPr>
          <w:sz w:val="22"/>
          <w:szCs w:val="22"/>
        </w:rPr>
        <w:br/>
      </w:r>
      <w:r w:rsidRPr="004B4A30">
        <w:rPr>
          <w:sz w:val="22"/>
          <w:szCs w:val="22"/>
        </w:rPr>
        <w:t>a +1,2 %.</w:t>
      </w:r>
    </w:p>
    <w:p w:rsidR="00E76099" w:rsidRPr="004B4A30" w:rsidRDefault="00E76099" w:rsidP="00E76099">
      <w:pPr>
        <w:jc w:val="both"/>
        <w:rPr>
          <w:sz w:val="22"/>
          <w:szCs w:val="22"/>
        </w:rPr>
      </w:pPr>
    </w:p>
    <w:p w:rsidR="00E76099" w:rsidRPr="004B4A30" w:rsidRDefault="00E76099" w:rsidP="00E76099">
      <w:pPr>
        <w:jc w:val="both"/>
        <w:rPr>
          <w:b/>
          <w:sz w:val="22"/>
          <w:szCs w:val="22"/>
        </w:rPr>
      </w:pPr>
      <w:r w:rsidRPr="004B4A30">
        <w:rPr>
          <w:sz w:val="22"/>
          <w:szCs w:val="22"/>
        </w:rPr>
        <w:t>Tržby ve službách stouply loni meziročně reálně sice jen o 0,6 %. Ovšem i to je pozitivní posun proti předchozím nepřetržitým poklesům, které začaly v roce 2009. V úhrnu data z reálné ekonomiky vykreslila příznivý obrázek loňského roku, v němž pokračovalo oživení patrné již v posledním čtvrtletí 2013</w:t>
      </w:r>
    </w:p>
    <w:p w:rsidR="00E76099" w:rsidRPr="004B4A30" w:rsidRDefault="00E76099" w:rsidP="00E76099">
      <w:pPr>
        <w:rPr>
          <w:b/>
          <w:sz w:val="22"/>
          <w:szCs w:val="22"/>
        </w:rPr>
      </w:pPr>
    </w:p>
    <w:p w:rsidR="00E76099" w:rsidRPr="004B4A30" w:rsidRDefault="00E76099" w:rsidP="00E76099">
      <w:pPr>
        <w:jc w:val="both"/>
        <w:rPr>
          <w:sz w:val="22"/>
          <w:szCs w:val="22"/>
        </w:rPr>
      </w:pPr>
      <w:r w:rsidRPr="004B4A30">
        <w:rPr>
          <w:sz w:val="22"/>
          <w:szCs w:val="22"/>
        </w:rPr>
        <w:t>Míra inflace dosahovala méně než jedno procento. Do stavu české cenové hladiny se promítá řada dezinflačních tlaků, počínaje letošní dobrou úrodou, přes sankce namířené proti Rusku až po hospodářský útlum v eurozóně a aktuální citelný pokles ceny ropy.</w:t>
      </w:r>
    </w:p>
    <w:p w:rsidR="00CC790D" w:rsidRPr="004B4A30" w:rsidRDefault="00CC790D" w:rsidP="00E76099">
      <w:pPr>
        <w:jc w:val="both"/>
        <w:rPr>
          <w:sz w:val="22"/>
          <w:szCs w:val="22"/>
        </w:rPr>
      </w:pPr>
    </w:p>
    <w:p w:rsidR="00E76099" w:rsidRPr="004B4A30" w:rsidRDefault="00E76099" w:rsidP="00E76099">
      <w:pPr>
        <w:pStyle w:val="Normlnweb"/>
        <w:jc w:val="both"/>
        <w:rPr>
          <w:rFonts w:ascii="Times New Roman" w:hAnsi="Times New Roman" w:cs="Times New Roman"/>
          <w:sz w:val="22"/>
          <w:szCs w:val="22"/>
        </w:rPr>
      </w:pPr>
      <w:r w:rsidRPr="004B4A30">
        <w:rPr>
          <w:rFonts w:ascii="Times New Roman" w:hAnsi="Times New Roman" w:cs="Times New Roman"/>
          <w:sz w:val="22"/>
          <w:szCs w:val="22"/>
        </w:rPr>
        <w:t xml:space="preserve">Bankovní rada ČNB rozhodla o používání měnového kurzu jako nástroje měnové politiky, </w:t>
      </w:r>
      <w:r w:rsidRPr="004B4A30">
        <w:rPr>
          <w:rFonts w:ascii="Times New Roman" w:hAnsi="Times New Roman" w:cs="Times New Roman"/>
          <w:sz w:val="22"/>
          <w:szCs w:val="22"/>
        </w:rPr>
        <w:br/>
        <w:t xml:space="preserve">a tedy o zahájení devizových intervencí, dne 7. listopadu 2013. </w:t>
      </w:r>
    </w:p>
    <w:p w:rsidR="00E76099" w:rsidRPr="004B4A30" w:rsidRDefault="00E76099" w:rsidP="00E76099">
      <w:pPr>
        <w:pStyle w:val="Normlnweb"/>
        <w:jc w:val="both"/>
        <w:rPr>
          <w:rFonts w:ascii="Times New Roman" w:hAnsi="Times New Roman" w:cs="Times New Roman"/>
          <w:sz w:val="22"/>
          <w:szCs w:val="22"/>
        </w:rPr>
      </w:pPr>
      <w:r w:rsidRPr="004B4A30">
        <w:rPr>
          <w:rFonts w:ascii="Times New Roman" w:hAnsi="Times New Roman" w:cs="Times New Roman"/>
          <w:sz w:val="22"/>
          <w:szCs w:val="22"/>
        </w:rPr>
        <w:t xml:space="preserve">Použití devizových intervencí k oslabení koruny znamená snahu významně omezit riziko deflace </w:t>
      </w:r>
      <w:r w:rsidR="00732F40">
        <w:rPr>
          <w:rFonts w:ascii="Times New Roman" w:hAnsi="Times New Roman" w:cs="Times New Roman"/>
          <w:sz w:val="22"/>
          <w:szCs w:val="22"/>
        </w:rPr>
        <w:br/>
      </w:r>
      <w:r w:rsidRPr="004B4A30">
        <w:rPr>
          <w:rFonts w:ascii="Times New Roman" w:hAnsi="Times New Roman" w:cs="Times New Roman"/>
          <w:sz w:val="22"/>
          <w:szCs w:val="22"/>
        </w:rPr>
        <w:t xml:space="preserve">a urychlit návrat do situace, kdy bude ČNB moci opět začít používat svůj standardní nástroj, </w:t>
      </w:r>
      <w:r w:rsidR="00732F40">
        <w:rPr>
          <w:rFonts w:ascii="Times New Roman" w:hAnsi="Times New Roman" w:cs="Times New Roman"/>
          <w:sz w:val="22"/>
          <w:szCs w:val="22"/>
        </w:rPr>
        <w:br/>
      </w:r>
      <w:r w:rsidRPr="004B4A30">
        <w:rPr>
          <w:rFonts w:ascii="Times New Roman" w:hAnsi="Times New Roman" w:cs="Times New Roman"/>
          <w:sz w:val="22"/>
          <w:szCs w:val="22"/>
        </w:rPr>
        <w:t xml:space="preserve">tj. úrokové sazby. </w:t>
      </w:r>
    </w:p>
    <w:p w:rsidR="00E76099" w:rsidRPr="004B4A30" w:rsidRDefault="00E76099" w:rsidP="00E76099">
      <w:pPr>
        <w:pStyle w:val="Normlnweb"/>
        <w:jc w:val="both"/>
        <w:rPr>
          <w:rFonts w:ascii="Times New Roman" w:hAnsi="Times New Roman" w:cs="Times New Roman"/>
          <w:sz w:val="22"/>
          <w:szCs w:val="22"/>
        </w:rPr>
      </w:pPr>
      <w:bookmarkStart w:id="107" w:name="2"/>
      <w:bookmarkEnd w:id="107"/>
      <w:r w:rsidRPr="004B4A30">
        <w:rPr>
          <w:rFonts w:ascii="Times New Roman" w:hAnsi="Times New Roman" w:cs="Times New Roman"/>
          <w:sz w:val="22"/>
          <w:szCs w:val="22"/>
        </w:rPr>
        <w:t xml:space="preserve">ČNB je rozhodnuta v případě potřeby intervenovat v takovém objemu a tak dlouho, jak bude potřeba </w:t>
      </w:r>
      <w:r w:rsidR="00732F40">
        <w:rPr>
          <w:rFonts w:ascii="Times New Roman" w:hAnsi="Times New Roman" w:cs="Times New Roman"/>
          <w:sz w:val="22"/>
          <w:szCs w:val="22"/>
        </w:rPr>
        <w:br/>
      </w:r>
      <w:r w:rsidRPr="004B4A30">
        <w:rPr>
          <w:rFonts w:ascii="Times New Roman" w:hAnsi="Times New Roman" w:cs="Times New Roman"/>
          <w:sz w:val="22"/>
          <w:szCs w:val="22"/>
        </w:rPr>
        <w:t xml:space="preserve">k dosažení požadované hodnoty měnového kurzu, a tím k hladkému plnění jejího inflačního cíle </w:t>
      </w:r>
      <w:r w:rsidR="00732F40">
        <w:rPr>
          <w:rFonts w:ascii="Times New Roman" w:hAnsi="Times New Roman" w:cs="Times New Roman"/>
          <w:sz w:val="22"/>
          <w:szCs w:val="22"/>
        </w:rPr>
        <w:br/>
      </w:r>
      <w:r w:rsidRPr="004B4A30">
        <w:rPr>
          <w:rFonts w:ascii="Times New Roman" w:hAnsi="Times New Roman" w:cs="Times New Roman"/>
          <w:sz w:val="22"/>
          <w:szCs w:val="22"/>
        </w:rPr>
        <w:t xml:space="preserve">v budoucnosti. ČNB se zavázala bránit přílišnému posílení kurzu koruny pod úroveň 27 korun za euro. </w:t>
      </w:r>
    </w:p>
    <w:p w:rsidR="00E76099" w:rsidRPr="004B4A30" w:rsidRDefault="00E76099" w:rsidP="00E76099">
      <w:pPr>
        <w:pStyle w:val="Normlnweb"/>
        <w:jc w:val="both"/>
        <w:rPr>
          <w:rFonts w:ascii="Times New Roman" w:hAnsi="Times New Roman" w:cs="Times New Roman"/>
          <w:sz w:val="22"/>
          <w:szCs w:val="22"/>
        </w:rPr>
      </w:pPr>
      <w:bookmarkStart w:id="108" w:name="5"/>
      <w:bookmarkEnd w:id="108"/>
      <w:r w:rsidRPr="004B4A30">
        <w:rPr>
          <w:rFonts w:ascii="Times New Roman" w:hAnsi="Times New Roman" w:cs="Times New Roman"/>
          <w:sz w:val="22"/>
          <w:szCs w:val="22"/>
        </w:rPr>
        <w:t xml:space="preserve">Oslabení kurzu koruny vede ke zvýšení dovozních cen a tím celkové cenové hladiny v tuzemsku. </w:t>
      </w:r>
      <w:r w:rsidR="00732F40">
        <w:rPr>
          <w:rFonts w:ascii="Times New Roman" w:hAnsi="Times New Roman" w:cs="Times New Roman"/>
          <w:sz w:val="22"/>
          <w:szCs w:val="22"/>
        </w:rPr>
        <w:br/>
      </w:r>
      <w:r w:rsidRPr="004B4A30">
        <w:rPr>
          <w:rFonts w:ascii="Times New Roman" w:hAnsi="Times New Roman" w:cs="Times New Roman"/>
          <w:sz w:val="22"/>
          <w:szCs w:val="22"/>
        </w:rPr>
        <w:t xml:space="preserve">V menší míře podpoří domácí ekonomickou aktivitu. Vlivem růstu dovozních cen lze sice očekávat nižší koupěschopnost domácností, jejich poptávka však může být ve zvýšené míře přesměrována </w:t>
      </w:r>
      <w:r w:rsidR="00732F40">
        <w:rPr>
          <w:rFonts w:ascii="Times New Roman" w:hAnsi="Times New Roman" w:cs="Times New Roman"/>
          <w:sz w:val="22"/>
          <w:szCs w:val="22"/>
        </w:rPr>
        <w:br/>
      </w:r>
      <w:r w:rsidRPr="004B4A30">
        <w:rPr>
          <w:rFonts w:ascii="Times New Roman" w:hAnsi="Times New Roman" w:cs="Times New Roman"/>
          <w:sz w:val="22"/>
          <w:szCs w:val="22"/>
        </w:rPr>
        <w:t xml:space="preserve">k domácímu zboží a službám a podpořena nižšími reálnými úrokovými sazbami v důsledku zvýšených inflačních očekávání. Zároveň slabší kurz podporuje české vývozy a tím roste konkurenceschopnost </w:t>
      </w:r>
      <w:r w:rsidR="00732F40">
        <w:rPr>
          <w:rFonts w:ascii="Times New Roman" w:hAnsi="Times New Roman" w:cs="Times New Roman"/>
          <w:sz w:val="22"/>
          <w:szCs w:val="22"/>
        </w:rPr>
        <w:br/>
      </w:r>
      <w:r w:rsidRPr="004B4A30">
        <w:rPr>
          <w:rFonts w:ascii="Times New Roman" w:hAnsi="Times New Roman" w:cs="Times New Roman"/>
          <w:sz w:val="22"/>
          <w:szCs w:val="22"/>
        </w:rPr>
        <w:t>a ziskovost podniků a jejich ochota investovat. Oživení výroby přispívá k růstu zaměstnanosti a mezd, což zvyšuje kupní sílu domácností.</w:t>
      </w:r>
    </w:p>
    <w:p w:rsidR="00E76099" w:rsidRPr="00CC790D" w:rsidRDefault="00E76099" w:rsidP="00191CF6">
      <w:pPr>
        <w:pStyle w:val="Tabulkanzev"/>
      </w:pPr>
      <w:bookmarkStart w:id="109" w:name="_Toc416431816"/>
      <w:r w:rsidRPr="00CC790D">
        <w:t>Vývoj kurzu CZK/EUR v letech 2007-2014</w:t>
      </w:r>
      <w:bookmarkEnd w:id="109"/>
    </w:p>
    <w:tbl>
      <w:tblPr>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1E0" w:firstRow="1" w:lastRow="1" w:firstColumn="1" w:lastColumn="1" w:noHBand="0" w:noVBand="0"/>
      </w:tblPr>
      <w:tblGrid>
        <w:gridCol w:w="2223"/>
        <w:gridCol w:w="952"/>
        <w:gridCol w:w="847"/>
        <w:gridCol w:w="847"/>
        <w:gridCol w:w="847"/>
        <w:gridCol w:w="847"/>
        <w:gridCol w:w="847"/>
        <w:gridCol w:w="847"/>
        <w:gridCol w:w="847"/>
      </w:tblGrid>
      <w:tr w:rsidR="00CC790D" w:rsidRPr="00471527" w:rsidTr="00CC790D">
        <w:trPr>
          <w:trHeight w:val="254"/>
        </w:trPr>
        <w:tc>
          <w:tcPr>
            <w:tcW w:w="2223" w:type="dxa"/>
            <w:shd w:val="clear" w:color="auto" w:fill="C2D69B" w:themeFill="accent3" w:themeFillTint="99"/>
            <w:vAlign w:val="center"/>
          </w:tcPr>
          <w:p w:rsidR="00E76099" w:rsidRPr="00D7143C" w:rsidRDefault="00E76099" w:rsidP="00D7143C">
            <w:pPr>
              <w:rPr>
                <w:b/>
              </w:rPr>
            </w:pPr>
            <w:r w:rsidRPr="00D7143C">
              <w:rPr>
                <w:b/>
              </w:rPr>
              <w:t>Ukazatel</w:t>
            </w:r>
          </w:p>
        </w:tc>
        <w:tc>
          <w:tcPr>
            <w:tcW w:w="952" w:type="dxa"/>
            <w:shd w:val="clear" w:color="auto" w:fill="C2D69B" w:themeFill="accent3" w:themeFillTint="99"/>
            <w:vAlign w:val="center"/>
          </w:tcPr>
          <w:p w:rsidR="00E76099" w:rsidRPr="00CC790D" w:rsidRDefault="00E76099" w:rsidP="00CC790D">
            <w:pPr>
              <w:jc w:val="center"/>
              <w:rPr>
                <w:b/>
              </w:rPr>
            </w:pPr>
            <w:r w:rsidRPr="00CC790D">
              <w:rPr>
                <w:b/>
              </w:rPr>
              <w:t>2007</w:t>
            </w:r>
          </w:p>
        </w:tc>
        <w:tc>
          <w:tcPr>
            <w:tcW w:w="847" w:type="dxa"/>
            <w:shd w:val="clear" w:color="auto" w:fill="C2D69B" w:themeFill="accent3" w:themeFillTint="99"/>
            <w:vAlign w:val="center"/>
          </w:tcPr>
          <w:p w:rsidR="00E76099" w:rsidRPr="00CC790D" w:rsidRDefault="00E76099" w:rsidP="00CC790D">
            <w:pPr>
              <w:jc w:val="center"/>
              <w:rPr>
                <w:b/>
              </w:rPr>
            </w:pPr>
            <w:r w:rsidRPr="00CC790D">
              <w:rPr>
                <w:b/>
              </w:rPr>
              <w:t>2008</w:t>
            </w:r>
          </w:p>
        </w:tc>
        <w:tc>
          <w:tcPr>
            <w:tcW w:w="847" w:type="dxa"/>
            <w:shd w:val="clear" w:color="auto" w:fill="C2D69B" w:themeFill="accent3" w:themeFillTint="99"/>
            <w:vAlign w:val="center"/>
          </w:tcPr>
          <w:p w:rsidR="00E76099" w:rsidRPr="00CC790D" w:rsidRDefault="00E76099" w:rsidP="00CC790D">
            <w:pPr>
              <w:jc w:val="center"/>
              <w:rPr>
                <w:b/>
              </w:rPr>
            </w:pPr>
            <w:r w:rsidRPr="00CC790D">
              <w:rPr>
                <w:b/>
              </w:rPr>
              <w:t>2009</w:t>
            </w:r>
          </w:p>
        </w:tc>
        <w:tc>
          <w:tcPr>
            <w:tcW w:w="847" w:type="dxa"/>
            <w:shd w:val="clear" w:color="auto" w:fill="C2D69B" w:themeFill="accent3" w:themeFillTint="99"/>
            <w:vAlign w:val="center"/>
          </w:tcPr>
          <w:p w:rsidR="00E76099" w:rsidRPr="00CC790D" w:rsidRDefault="00E76099" w:rsidP="00CC790D">
            <w:pPr>
              <w:jc w:val="center"/>
              <w:rPr>
                <w:b/>
              </w:rPr>
            </w:pPr>
            <w:r w:rsidRPr="00CC790D">
              <w:rPr>
                <w:b/>
              </w:rPr>
              <w:t>2010</w:t>
            </w:r>
          </w:p>
        </w:tc>
        <w:tc>
          <w:tcPr>
            <w:tcW w:w="847" w:type="dxa"/>
            <w:shd w:val="clear" w:color="auto" w:fill="C2D69B" w:themeFill="accent3" w:themeFillTint="99"/>
            <w:vAlign w:val="center"/>
          </w:tcPr>
          <w:p w:rsidR="00E76099" w:rsidRPr="00CC790D" w:rsidRDefault="00E76099" w:rsidP="00CC790D">
            <w:pPr>
              <w:jc w:val="center"/>
              <w:rPr>
                <w:b/>
              </w:rPr>
            </w:pPr>
            <w:r w:rsidRPr="00CC790D">
              <w:rPr>
                <w:b/>
              </w:rPr>
              <w:t>2011</w:t>
            </w:r>
          </w:p>
        </w:tc>
        <w:tc>
          <w:tcPr>
            <w:tcW w:w="847" w:type="dxa"/>
            <w:shd w:val="clear" w:color="auto" w:fill="C2D69B" w:themeFill="accent3" w:themeFillTint="99"/>
            <w:vAlign w:val="center"/>
          </w:tcPr>
          <w:p w:rsidR="00E76099" w:rsidRPr="00CC790D" w:rsidRDefault="00E76099" w:rsidP="00CC790D">
            <w:pPr>
              <w:jc w:val="center"/>
              <w:rPr>
                <w:b/>
              </w:rPr>
            </w:pPr>
            <w:r w:rsidRPr="00CC790D">
              <w:rPr>
                <w:b/>
              </w:rPr>
              <w:t>2012</w:t>
            </w:r>
          </w:p>
        </w:tc>
        <w:tc>
          <w:tcPr>
            <w:tcW w:w="847" w:type="dxa"/>
            <w:shd w:val="clear" w:color="auto" w:fill="C2D69B" w:themeFill="accent3" w:themeFillTint="99"/>
          </w:tcPr>
          <w:p w:rsidR="00E76099" w:rsidRPr="00CC790D" w:rsidRDefault="00E76099" w:rsidP="00CC790D">
            <w:pPr>
              <w:jc w:val="center"/>
              <w:rPr>
                <w:b/>
              </w:rPr>
            </w:pPr>
            <w:r w:rsidRPr="00CC790D">
              <w:rPr>
                <w:b/>
              </w:rPr>
              <w:t>2013</w:t>
            </w:r>
          </w:p>
        </w:tc>
        <w:tc>
          <w:tcPr>
            <w:tcW w:w="847" w:type="dxa"/>
            <w:shd w:val="clear" w:color="auto" w:fill="C2D69B" w:themeFill="accent3" w:themeFillTint="99"/>
          </w:tcPr>
          <w:p w:rsidR="00E76099" w:rsidRPr="00CC790D" w:rsidRDefault="00E76099" w:rsidP="00CC790D">
            <w:pPr>
              <w:jc w:val="center"/>
              <w:rPr>
                <w:b/>
              </w:rPr>
            </w:pPr>
            <w:r w:rsidRPr="00CC790D">
              <w:rPr>
                <w:b/>
              </w:rPr>
              <w:t>2014</w:t>
            </w:r>
          </w:p>
        </w:tc>
      </w:tr>
      <w:tr w:rsidR="00E76099" w:rsidRPr="00471527" w:rsidTr="00CC790D">
        <w:trPr>
          <w:trHeight w:val="933"/>
        </w:trPr>
        <w:tc>
          <w:tcPr>
            <w:tcW w:w="2223" w:type="dxa"/>
            <w:vAlign w:val="center"/>
          </w:tcPr>
          <w:p w:rsidR="00E76099" w:rsidRPr="00273D01" w:rsidRDefault="00E76099" w:rsidP="007B2C09">
            <w:r w:rsidRPr="00273D01">
              <w:t>Průměrný denní nominální kurz koruny vůči euru za rok</w:t>
            </w:r>
          </w:p>
        </w:tc>
        <w:tc>
          <w:tcPr>
            <w:tcW w:w="952" w:type="dxa"/>
            <w:vAlign w:val="center"/>
          </w:tcPr>
          <w:p w:rsidR="00E76099" w:rsidRPr="00273D01" w:rsidRDefault="00E76099" w:rsidP="009A1F69">
            <w:r w:rsidRPr="00273D01">
              <w:t>27,76</w:t>
            </w:r>
          </w:p>
        </w:tc>
        <w:tc>
          <w:tcPr>
            <w:tcW w:w="847" w:type="dxa"/>
            <w:vAlign w:val="center"/>
          </w:tcPr>
          <w:p w:rsidR="00E76099" w:rsidRPr="00273D01" w:rsidRDefault="00E76099" w:rsidP="009A1F69">
            <w:r w:rsidRPr="00273D01">
              <w:t>24,96</w:t>
            </w:r>
          </w:p>
        </w:tc>
        <w:tc>
          <w:tcPr>
            <w:tcW w:w="847" w:type="dxa"/>
            <w:vAlign w:val="center"/>
          </w:tcPr>
          <w:p w:rsidR="00E76099" w:rsidRPr="00273D01" w:rsidRDefault="00E76099" w:rsidP="009A1F69">
            <w:r w:rsidRPr="00273D01">
              <w:t>26,45</w:t>
            </w:r>
          </w:p>
        </w:tc>
        <w:tc>
          <w:tcPr>
            <w:tcW w:w="847" w:type="dxa"/>
            <w:vAlign w:val="center"/>
          </w:tcPr>
          <w:p w:rsidR="00E76099" w:rsidRPr="00273D01" w:rsidRDefault="00E76099" w:rsidP="009A1F69">
            <w:r w:rsidRPr="00273D01">
              <w:t>25,29</w:t>
            </w:r>
          </w:p>
        </w:tc>
        <w:tc>
          <w:tcPr>
            <w:tcW w:w="847" w:type="dxa"/>
            <w:vAlign w:val="center"/>
          </w:tcPr>
          <w:p w:rsidR="00E76099" w:rsidRPr="00273D01" w:rsidRDefault="00E76099" w:rsidP="009A1F69">
            <w:r w:rsidRPr="00273D01">
              <w:t>24,59</w:t>
            </w:r>
          </w:p>
        </w:tc>
        <w:tc>
          <w:tcPr>
            <w:tcW w:w="847" w:type="dxa"/>
            <w:vAlign w:val="center"/>
          </w:tcPr>
          <w:p w:rsidR="00E76099" w:rsidRPr="00273D01" w:rsidRDefault="00E76099" w:rsidP="009A1F69">
            <w:r w:rsidRPr="00273D01">
              <w:t>25,14</w:t>
            </w:r>
          </w:p>
        </w:tc>
        <w:tc>
          <w:tcPr>
            <w:tcW w:w="847" w:type="dxa"/>
            <w:shd w:val="clear" w:color="auto" w:fill="auto"/>
            <w:vAlign w:val="center"/>
          </w:tcPr>
          <w:p w:rsidR="00E76099" w:rsidRPr="00273D01" w:rsidRDefault="00E76099" w:rsidP="009A1F69">
            <w:r w:rsidRPr="00273D01">
              <w:t>25,98</w:t>
            </w:r>
          </w:p>
        </w:tc>
        <w:tc>
          <w:tcPr>
            <w:tcW w:w="847" w:type="dxa"/>
            <w:shd w:val="clear" w:color="auto" w:fill="auto"/>
            <w:vAlign w:val="center"/>
          </w:tcPr>
          <w:p w:rsidR="00E76099" w:rsidRPr="00273D01" w:rsidRDefault="00E76099" w:rsidP="009A1F69">
            <w:r w:rsidRPr="00273D01">
              <w:t>27,53</w:t>
            </w:r>
          </w:p>
        </w:tc>
      </w:tr>
    </w:tbl>
    <w:p w:rsidR="00E76099" w:rsidRPr="00520FA4" w:rsidRDefault="00E76099" w:rsidP="00E76099">
      <w:pPr>
        <w:rPr>
          <w:i/>
        </w:rPr>
      </w:pPr>
      <w:r w:rsidRPr="00520FA4">
        <w:rPr>
          <w:i/>
        </w:rPr>
        <w:t>Zdroj: MF, stav k 10. 2. 201</w:t>
      </w:r>
      <w:r w:rsidR="00054807" w:rsidRPr="00520FA4">
        <w:rPr>
          <w:i/>
        </w:rPr>
        <w:t>5</w:t>
      </w:r>
    </w:p>
    <w:p w:rsidR="00E76099" w:rsidRDefault="00E76099" w:rsidP="00E76099"/>
    <w:p w:rsidR="00A17915" w:rsidRDefault="00E76099" w:rsidP="00E61FD5">
      <w:pPr>
        <w:rPr>
          <w:sz w:val="24"/>
          <w:szCs w:val="24"/>
        </w:rPr>
      </w:pPr>
      <w:r w:rsidRPr="00BB067A">
        <w:rPr>
          <w:sz w:val="24"/>
          <w:szCs w:val="24"/>
        </w:rPr>
        <w:t xml:space="preserve">Pro finanční řízení programu znamenaly kurzové intervence významné zvýšení alokace </w:t>
      </w:r>
      <w:r w:rsidR="00732F40">
        <w:rPr>
          <w:sz w:val="24"/>
          <w:szCs w:val="24"/>
        </w:rPr>
        <w:br/>
      </w:r>
      <w:r w:rsidRPr="00BB067A">
        <w:rPr>
          <w:sz w:val="24"/>
          <w:szCs w:val="24"/>
        </w:rPr>
        <w:t xml:space="preserve">a přispěly k nedočerpání finančních prostředků. </w:t>
      </w:r>
    </w:p>
    <w:p w:rsidR="00871A85" w:rsidRDefault="00871A85" w:rsidP="00E61FD5">
      <w:pPr>
        <w:rPr>
          <w:sz w:val="24"/>
          <w:szCs w:val="24"/>
        </w:rPr>
      </w:pPr>
    </w:p>
    <w:p w:rsidR="00EE5025" w:rsidRPr="00273D01" w:rsidRDefault="00EE5025" w:rsidP="00E61FD5">
      <w:pPr>
        <w:rPr>
          <w:sz w:val="24"/>
          <w:szCs w:val="24"/>
        </w:rPr>
      </w:pPr>
    </w:p>
    <w:p w:rsidR="003A1DD4" w:rsidRPr="00A56530" w:rsidRDefault="00A56530" w:rsidP="00A56530">
      <w:pPr>
        <w:pStyle w:val="Nadpis3"/>
      </w:pPr>
      <w:bookmarkStart w:id="110" w:name="_Toc417024856"/>
      <w:r>
        <w:lastRenderedPageBreak/>
        <w:t xml:space="preserve">2.4.2 </w:t>
      </w:r>
      <w:r w:rsidR="003A1DD4" w:rsidRPr="00A56530">
        <w:t>Změny v dokumentaci IOP</w:t>
      </w:r>
      <w:bookmarkEnd w:id="110"/>
    </w:p>
    <w:p w:rsidR="00867EE1" w:rsidRDefault="00867EE1" w:rsidP="00E61FD5">
      <w:pPr>
        <w:rPr>
          <w:b/>
          <w:sz w:val="22"/>
          <w:szCs w:val="22"/>
        </w:rPr>
      </w:pPr>
      <w:r w:rsidRPr="008E5BCA">
        <w:rPr>
          <w:b/>
          <w:sz w:val="22"/>
          <w:szCs w:val="22"/>
        </w:rPr>
        <w:t>Změny Programového dokumentu IOP</w:t>
      </w:r>
    </w:p>
    <w:p w:rsidR="00B84ABE" w:rsidRDefault="00B84ABE" w:rsidP="00B84ABE">
      <w:pPr>
        <w:jc w:val="both"/>
        <w:rPr>
          <w:sz w:val="22"/>
          <w:szCs w:val="22"/>
        </w:rPr>
      </w:pPr>
      <w:r w:rsidRPr="008E5BCA">
        <w:rPr>
          <w:sz w:val="22"/>
          <w:szCs w:val="22"/>
        </w:rPr>
        <w:t>Monitorovací výbor IOP na svém řádném zasedání dne 3. 6. 2014 schválil návrh revize Programového dokumentu IOP ve smyslu článku 33 Nařízení Rady (ES) 1083/2006. Revize Programového dokumentu byla provedena z podmětu čl</w:t>
      </w:r>
      <w:r>
        <w:rPr>
          <w:sz w:val="22"/>
          <w:szCs w:val="22"/>
        </w:rPr>
        <w:t>enského státu</w:t>
      </w:r>
      <w:r w:rsidR="009F521A">
        <w:rPr>
          <w:sz w:val="22"/>
          <w:szCs w:val="22"/>
        </w:rPr>
        <w:t xml:space="preserve"> podle </w:t>
      </w:r>
      <w:r>
        <w:rPr>
          <w:sz w:val="22"/>
          <w:szCs w:val="22"/>
        </w:rPr>
        <w:t xml:space="preserve">čl. 33 odst. 1 </w:t>
      </w:r>
      <w:r w:rsidR="00871A85">
        <w:rPr>
          <w:sz w:val="22"/>
          <w:szCs w:val="22"/>
        </w:rPr>
        <w:t>písm.</w:t>
      </w:r>
      <w:r w:rsidR="00871A85" w:rsidRPr="008E5BCA">
        <w:rPr>
          <w:sz w:val="22"/>
          <w:szCs w:val="22"/>
        </w:rPr>
        <w:t xml:space="preserve"> c</w:t>
      </w:r>
      <w:r w:rsidRPr="008E5BCA">
        <w:rPr>
          <w:sz w:val="22"/>
          <w:szCs w:val="22"/>
        </w:rPr>
        <w:t>) ohled na hodnocení podle článku 48 odst. 3 nařízení Rady (ES) 1083/2006</w:t>
      </w:r>
      <w:r>
        <w:rPr>
          <w:sz w:val="22"/>
          <w:szCs w:val="22"/>
        </w:rPr>
        <w:t xml:space="preserve"> a </w:t>
      </w:r>
      <w:r w:rsidRPr="006B17BB">
        <w:rPr>
          <w:sz w:val="22"/>
          <w:szCs w:val="22"/>
        </w:rPr>
        <w:t>d) v důsledku obtíží při provádění</w:t>
      </w:r>
      <w:r>
        <w:rPr>
          <w:sz w:val="22"/>
          <w:szCs w:val="22"/>
        </w:rPr>
        <w:t xml:space="preserve">. </w:t>
      </w:r>
    </w:p>
    <w:p w:rsidR="00B84ABE" w:rsidRPr="008E5BCA" w:rsidRDefault="00B84ABE" w:rsidP="00B84ABE">
      <w:pPr>
        <w:jc w:val="both"/>
        <w:rPr>
          <w:sz w:val="22"/>
          <w:szCs w:val="22"/>
        </w:rPr>
      </w:pPr>
    </w:p>
    <w:p w:rsidR="00B84ABE" w:rsidRPr="008E5BCA" w:rsidRDefault="00B84ABE" w:rsidP="00B84ABE">
      <w:pPr>
        <w:jc w:val="both"/>
        <w:rPr>
          <w:sz w:val="22"/>
          <w:szCs w:val="22"/>
        </w:rPr>
      </w:pPr>
      <w:r>
        <w:rPr>
          <w:sz w:val="22"/>
          <w:szCs w:val="22"/>
        </w:rPr>
        <w:t>Změny</w:t>
      </w:r>
      <w:r w:rsidRPr="008E5BCA">
        <w:rPr>
          <w:sz w:val="22"/>
          <w:szCs w:val="22"/>
        </w:rPr>
        <w:t xml:space="preserve"> se týkal</w:t>
      </w:r>
      <w:r>
        <w:rPr>
          <w:sz w:val="22"/>
          <w:szCs w:val="22"/>
        </w:rPr>
        <w:t>y</w:t>
      </w:r>
      <w:r w:rsidRPr="008E5BCA">
        <w:rPr>
          <w:sz w:val="22"/>
          <w:szCs w:val="22"/>
        </w:rPr>
        <w:t xml:space="preserve"> </w:t>
      </w:r>
      <w:r>
        <w:rPr>
          <w:sz w:val="22"/>
          <w:szCs w:val="22"/>
        </w:rPr>
        <w:t xml:space="preserve">těchto </w:t>
      </w:r>
      <w:r w:rsidRPr="008E5BCA">
        <w:rPr>
          <w:sz w:val="22"/>
          <w:szCs w:val="22"/>
        </w:rPr>
        <w:t>oblast</w:t>
      </w:r>
      <w:r>
        <w:rPr>
          <w:sz w:val="22"/>
          <w:szCs w:val="22"/>
        </w:rPr>
        <w:t>í</w:t>
      </w:r>
      <w:r w:rsidRPr="008E5BCA">
        <w:rPr>
          <w:sz w:val="22"/>
          <w:szCs w:val="22"/>
        </w:rPr>
        <w:t xml:space="preserve">: </w:t>
      </w:r>
    </w:p>
    <w:p w:rsidR="009F521A" w:rsidRPr="00A63FC1" w:rsidRDefault="009F521A" w:rsidP="009F521A">
      <w:pPr>
        <w:numPr>
          <w:ilvl w:val="0"/>
          <w:numId w:val="20"/>
        </w:numPr>
        <w:jc w:val="both"/>
        <w:rPr>
          <w:sz w:val="22"/>
          <w:szCs w:val="22"/>
        </w:rPr>
      </w:pPr>
      <w:r w:rsidRPr="00A63FC1">
        <w:rPr>
          <w:sz w:val="22"/>
          <w:szCs w:val="22"/>
        </w:rPr>
        <w:t xml:space="preserve">změna implementační struktury – </w:t>
      </w:r>
      <w:r>
        <w:rPr>
          <w:sz w:val="22"/>
          <w:szCs w:val="22"/>
        </w:rPr>
        <w:t>m</w:t>
      </w:r>
      <w:r w:rsidRPr="00A63FC1">
        <w:rPr>
          <w:sz w:val="22"/>
          <w:szCs w:val="22"/>
        </w:rPr>
        <w:t>inisterstvo kultury ukončilo výkon činnosti zprostředkující</w:t>
      </w:r>
      <w:r>
        <w:rPr>
          <w:sz w:val="22"/>
          <w:szCs w:val="22"/>
        </w:rPr>
        <w:t xml:space="preserve">ho </w:t>
      </w:r>
      <w:r w:rsidRPr="00A63FC1">
        <w:rPr>
          <w:sz w:val="22"/>
          <w:szCs w:val="22"/>
        </w:rPr>
        <w:t>subjekt</w:t>
      </w:r>
      <w:r>
        <w:rPr>
          <w:sz w:val="22"/>
          <w:szCs w:val="22"/>
        </w:rPr>
        <w:t>u v</w:t>
      </w:r>
      <w:r w:rsidRPr="00A63FC1">
        <w:rPr>
          <w:sz w:val="22"/>
          <w:szCs w:val="22"/>
        </w:rPr>
        <w:t xml:space="preserve"> oblasti intervence 5.1 (Usnesení vlády České republiky č. 567 ze dne 31. července 2013). Vzhledem k růstu agendy</w:t>
      </w:r>
      <w:r>
        <w:rPr>
          <w:sz w:val="22"/>
          <w:szCs w:val="22"/>
        </w:rPr>
        <w:t>,</w:t>
      </w:r>
      <w:r w:rsidRPr="00A63FC1">
        <w:rPr>
          <w:sz w:val="22"/>
          <w:szCs w:val="22"/>
        </w:rPr>
        <w:t xml:space="preserve"> spojené se zvýšenou administrativní náročností</w:t>
      </w:r>
      <w:r>
        <w:rPr>
          <w:sz w:val="22"/>
          <w:szCs w:val="22"/>
        </w:rPr>
        <w:t>,</w:t>
      </w:r>
      <w:r w:rsidRPr="00A63FC1">
        <w:rPr>
          <w:sz w:val="22"/>
          <w:szCs w:val="22"/>
        </w:rPr>
        <w:t xml:space="preserve"> ŘO IOP schválil ŘO IOP zařazení 0,4 přepočtených pracovních úvazků pracovníků odboru personálního do implementační struktury IOP</w:t>
      </w:r>
      <w:r>
        <w:rPr>
          <w:sz w:val="22"/>
          <w:szCs w:val="22"/>
        </w:rPr>
        <w:t>;</w:t>
      </w:r>
    </w:p>
    <w:p w:rsidR="009F521A" w:rsidRPr="008E5BCA" w:rsidRDefault="009F521A" w:rsidP="009F521A">
      <w:pPr>
        <w:numPr>
          <w:ilvl w:val="0"/>
          <w:numId w:val="20"/>
        </w:numPr>
        <w:jc w:val="both"/>
        <w:rPr>
          <w:sz w:val="22"/>
          <w:szCs w:val="22"/>
        </w:rPr>
      </w:pPr>
      <w:r w:rsidRPr="008E5BCA">
        <w:rPr>
          <w:sz w:val="22"/>
          <w:szCs w:val="22"/>
        </w:rPr>
        <w:t>změna části 6 Finančních ustanovení IOP programového dokumentu</w:t>
      </w:r>
      <w:r>
        <w:rPr>
          <w:sz w:val="22"/>
          <w:szCs w:val="22"/>
        </w:rPr>
        <w:t xml:space="preserve"> -</w:t>
      </w:r>
      <w:r w:rsidRPr="008E5BCA">
        <w:rPr>
          <w:sz w:val="22"/>
          <w:szCs w:val="22"/>
        </w:rPr>
        <w:t xml:space="preserve"> </w:t>
      </w:r>
      <w:r>
        <w:rPr>
          <w:sz w:val="22"/>
          <w:szCs w:val="22"/>
        </w:rPr>
        <w:t>b</w:t>
      </w:r>
      <w:r w:rsidRPr="008E5BCA">
        <w:rPr>
          <w:sz w:val="22"/>
          <w:szCs w:val="22"/>
        </w:rPr>
        <w:t>yly provedeny změny v souvislosti s vyčíslením ztráty alokace za rok 2013.</w:t>
      </w:r>
    </w:p>
    <w:p w:rsidR="00B84ABE" w:rsidRDefault="00B84ABE" w:rsidP="00B84ABE">
      <w:pPr>
        <w:jc w:val="both"/>
        <w:rPr>
          <w:sz w:val="22"/>
          <w:szCs w:val="22"/>
        </w:rPr>
      </w:pPr>
    </w:p>
    <w:p w:rsidR="007B0C2A" w:rsidRDefault="007B0C2A" w:rsidP="007B0C2A">
      <w:pPr>
        <w:jc w:val="both"/>
        <w:rPr>
          <w:sz w:val="22"/>
          <w:szCs w:val="22"/>
        </w:rPr>
      </w:pPr>
      <w:r w:rsidRPr="006B17BB">
        <w:rPr>
          <w:sz w:val="22"/>
          <w:szCs w:val="22"/>
        </w:rPr>
        <w:t>Monitorovací výbor IOP schválil</w:t>
      </w:r>
      <w:r>
        <w:rPr>
          <w:sz w:val="22"/>
          <w:szCs w:val="22"/>
        </w:rPr>
        <w:t xml:space="preserve"> v písemné proceduře dne </w:t>
      </w:r>
      <w:r w:rsidR="002173AD">
        <w:rPr>
          <w:sz w:val="22"/>
          <w:szCs w:val="22"/>
        </w:rPr>
        <w:t>21. 10. 2014</w:t>
      </w:r>
      <w:r>
        <w:rPr>
          <w:sz w:val="22"/>
          <w:szCs w:val="22"/>
        </w:rPr>
        <w:t xml:space="preserve"> </w:t>
      </w:r>
      <w:r w:rsidRPr="006B17BB">
        <w:rPr>
          <w:sz w:val="22"/>
          <w:szCs w:val="22"/>
        </w:rPr>
        <w:t>návrh revize Programového dokumentu IOP</w:t>
      </w:r>
      <w:r w:rsidR="009F521A">
        <w:rPr>
          <w:sz w:val="22"/>
          <w:szCs w:val="22"/>
        </w:rPr>
        <w:t>.</w:t>
      </w:r>
      <w:r w:rsidRPr="006B17BB">
        <w:rPr>
          <w:sz w:val="22"/>
          <w:szCs w:val="22"/>
        </w:rPr>
        <w:t xml:space="preserve"> </w:t>
      </w:r>
    </w:p>
    <w:p w:rsidR="00B84ABE" w:rsidRPr="008E5BCA" w:rsidRDefault="00B84ABE" w:rsidP="00B84ABE">
      <w:pPr>
        <w:jc w:val="both"/>
        <w:rPr>
          <w:sz w:val="22"/>
          <w:szCs w:val="22"/>
        </w:rPr>
      </w:pPr>
      <w:r>
        <w:rPr>
          <w:sz w:val="22"/>
          <w:szCs w:val="22"/>
        </w:rPr>
        <w:t xml:space="preserve">Dne 26. 6. 2014 ŘO IOP obdržel schvalující dopis od MŽP s vyjádřením, že předloženou změnu Programového dokumentu IOP není nutné podrobit zjišťovacímu řízení podle zákona č. 100/2001 Sb., o posuzování vlivů na životní prostředí a změně některých souvisejících zákonů. </w:t>
      </w:r>
    </w:p>
    <w:p w:rsidR="00B84ABE" w:rsidRPr="00B67BF4" w:rsidRDefault="00B84ABE" w:rsidP="00B84ABE">
      <w:pPr>
        <w:jc w:val="both"/>
        <w:rPr>
          <w:sz w:val="22"/>
          <w:szCs w:val="22"/>
        </w:rPr>
      </w:pPr>
      <w:r w:rsidRPr="00B67BF4">
        <w:rPr>
          <w:sz w:val="22"/>
          <w:szCs w:val="22"/>
        </w:rPr>
        <w:t>ŘO IOP vložil do MSC změnovou verzi Programového dokumentu, návrh změn a průvodní dopis pro Evropskou komisi dne 24.</w:t>
      </w:r>
      <w:r>
        <w:rPr>
          <w:sz w:val="22"/>
          <w:szCs w:val="22"/>
        </w:rPr>
        <w:t xml:space="preserve"> </w:t>
      </w:r>
      <w:r w:rsidRPr="00B67BF4">
        <w:rPr>
          <w:sz w:val="22"/>
          <w:szCs w:val="22"/>
        </w:rPr>
        <w:t>10.</w:t>
      </w:r>
      <w:r>
        <w:rPr>
          <w:sz w:val="22"/>
          <w:szCs w:val="22"/>
        </w:rPr>
        <w:t xml:space="preserve"> </w:t>
      </w:r>
      <w:r w:rsidRPr="00B67BF4">
        <w:rPr>
          <w:sz w:val="22"/>
          <w:szCs w:val="22"/>
        </w:rPr>
        <w:t>2014.</w:t>
      </w:r>
    </w:p>
    <w:p w:rsidR="00B84ABE" w:rsidRPr="00B84ABE" w:rsidRDefault="00B84ABE" w:rsidP="00B84ABE">
      <w:pPr>
        <w:jc w:val="both"/>
        <w:rPr>
          <w:sz w:val="22"/>
          <w:szCs w:val="22"/>
        </w:rPr>
      </w:pPr>
      <w:r w:rsidRPr="00B84ABE">
        <w:rPr>
          <w:sz w:val="22"/>
          <w:szCs w:val="22"/>
        </w:rPr>
        <w:t xml:space="preserve">Rozhodnutí Komise C(2014) 9551 k přijetí změny operačního programu IOP bylo vydáno dne </w:t>
      </w:r>
      <w:r w:rsidRPr="00B84ABE">
        <w:rPr>
          <w:sz w:val="22"/>
          <w:szCs w:val="22"/>
        </w:rPr>
        <w:br/>
        <w:t xml:space="preserve">9. 12. 2014. </w:t>
      </w:r>
    </w:p>
    <w:p w:rsidR="006F5C58" w:rsidRDefault="00B84ABE" w:rsidP="00207960">
      <w:pPr>
        <w:jc w:val="both"/>
        <w:rPr>
          <w:sz w:val="22"/>
          <w:szCs w:val="22"/>
        </w:rPr>
      </w:pPr>
      <w:r w:rsidRPr="00A2509B">
        <w:rPr>
          <w:sz w:val="22"/>
          <w:szCs w:val="22"/>
        </w:rPr>
        <w:t>O změně Programového dokumentu IOP byly informovány všechny subjekty</w:t>
      </w:r>
      <w:r w:rsidR="009F521A">
        <w:rPr>
          <w:sz w:val="22"/>
          <w:szCs w:val="22"/>
        </w:rPr>
        <w:t>,</w:t>
      </w:r>
      <w:r w:rsidRPr="00A2509B">
        <w:rPr>
          <w:sz w:val="22"/>
          <w:szCs w:val="22"/>
        </w:rPr>
        <w:t xml:space="preserve"> zapojené do implementace programu</w:t>
      </w:r>
      <w:r w:rsidR="009F521A">
        <w:rPr>
          <w:sz w:val="22"/>
          <w:szCs w:val="22"/>
        </w:rPr>
        <w:t>,</w:t>
      </w:r>
      <w:r w:rsidRPr="00A2509B">
        <w:rPr>
          <w:sz w:val="22"/>
          <w:szCs w:val="22"/>
        </w:rPr>
        <w:t xml:space="preserve"> a obdržely elektronickou kopii. Programový dokument IOP je dostupný na internetových stránkách </w:t>
      </w:r>
      <w:hyperlink r:id="rId30" w:history="1">
        <w:r w:rsidRPr="00A2509B">
          <w:rPr>
            <w:rStyle w:val="Hypertextovodkaz"/>
            <w:sz w:val="22"/>
            <w:szCs w:val="22"/>
          </w:rPr>
          <w:t>http://www.strukturalni-fondy.cz</w:t>
        </w:r>
      </w:hyperlink>
      <w:r w:rsidRPr="00A2509B">
        <w:rPr>
          <w:sz w:val="22"/>
          <w:szCs w:val="22"/>
        </w:rPr>
        <w:t>.</w:t>
      </w:r>
      <w:bookmarkStart w:id="111" w:name="_Toc402516845"/>
    </w:p>
    <w:p w:rsidR="006F5C58" w:rsidRDefault="006F5C58" w:rsidP="00207960">
      <w:pPr>
        <w:jc w:val="both"/>
        <w:rPr>
          <w:b/>
          <w:sz w:val="22"/>
          <w:szCs w:val="22"/>
        </w:rPr>
      </w:pPr>
    </w:p>
    <w:p w:rsidR="00207960" w:rsidRPr="00727BD4" w:rsidRDefault="00207960" w:rsidP="00207960">
      <w:pPr>
        <w:jc w:val="both"/>
        <w:rPr>
          <w:b/>
          <w:sz w:val="22"/>
          <w:szCs w:val="22"/>
        </w:rPr>
      </w:pPr>
      <w:r w:rsidRPr="00727BD4">
        <w:rPr>
          <w:b/>
          <w:sz w:val="22"/>
          <w:szCs w:val="22"/>
        </w:rPr>
        <w:t>Aktualizace OM IOP a OM ZS, OM ŘO</w:t>
      </w:r>
    </w:p>
    <w:p w:rsidR="00207960" w:rsidRPr="003E00B3" w:rsidRDefault="00207960" w:rsidP="00207960">
      <w:pPr>
        <w:jc w:val="both"/>
        <w:rPr>
          <w:sz w:val="22"/>
          <w:szCs w:val="22"/>
          <w:highlight w:val="yellow"/>
        </w:rPr>
      </w:pPr>
      <w:r w:rsidRPr="004A6658">
        <w:rPr>
          <w:sz w:val="22"/>
          <w:szCs w:val="22"/>
        </w:rPr>
        <w:t>Řídící orgán IOP vydal dne 16. 4. 2014 revizi 1.4 Operačního manuálu ŘO IOP, do které zapracova</w:t>
      </w:r>
      <w:r>
        <w:rPr>
          <w:sz w:val="22"/>
          <w:szCs w:val="22"/>
        </w:rPr>
        <w:t>l</w:t>
      </w:r>
      <w:r w:rsidRPr="004A6658">
        <w:rPr>
          <w:sz w:val="22"/>
          <w:szCs w:val="22"/>
        </w:rPr>
        <w:t xml:space="preserve"> změn</w:t>
      </w:r>
      <w:r>
        <w:rPr>
          <w:sz w:val="22"/>
          <w:szCs w:val="22"/>
        </w:rPr>
        <w:t>u</w:t>
      </w:r>
      <w:r w:rsidRPr="004A6658">
        <w:rPr>
          <w:sz w:val="22"/>
          <w:szCs w:val="22"/>
        </w:rPr>
        <w:t xml:space="preserve"> postupu financování po ukončení smlouvy s pověřenou bankou a přechod na platby prostřednictvím ČNB.</w:t>
      </w:r>
    </w:p>
    <w:p w:rsidR="00207960" w:rsidRPr="00727BD4" w:rsidRDefault="00207960" w:rsidP="00207960">
      <w:pPr>
        <w:spacing w:before="120"/>
        <w:jc w:val="both"/>
        <w:rPr>
          <w:sz w:val="22"/>
          <w:szCs w:val="22"/>
        </w:rPr>
      </w:pPr>
      <w:r>
        <w:rPr>
          <w:sz w:val="22"/>
          <w:szCs w:val="22"/>
        </w:rPr>
        <w:t>Během</w:t>
      </w:r>
      <w:r w:rsidRPr="00727BD4">
        <w:rPr>
          <w:sz w:val="22"/>
          <w:szCs w:val="22"/>
        </w:rPr>
        <w:t xml:space="preserve"> března 2014 proved</w:t>
      </w:r>
      <w:r>
        <w:rPr>
          <w:sz w:val="22"/>
          <w:szCs w:val="22"/>
        </w:rPr>
        <w:t>l</w:t>
      </w:r>
      <w:r w:rsidRPr="00727BD4">
        <w:rPr>
          <w:sz w:val="22"/>
          <w:szCs w:val="22"/>
        </w:rPr>
        <w:t xml:space="preserve"> ŘO revizi Manuálu pro realizaci finančního nástroje JESSICA, která zohledňuje zkušenosti z realizace finančního nástroje.</w:t>
      </w:r>
      <w:r>
        <w:rPr>
          <w:sz w:val="22"/>
          <w:szCs w:val="22"/>
        </w:rPr>
        <w:t xml:space="preserve"> Nová verze manuálu 1.5 platí od 1. dubna 2014.</w:t>
      </w:r>
    </w:p>
    <w:p w:rsidR="0070497A" w:rsidRDefault="0070497A" w:rsidP="0070497A">
      <w:pPr>
        <w:spacing w:before="120"/>
        <w:jc w:val="both"/>
        <w:rPr>
          <w:sz w:val="22"/>
          <w:szCs w:val="22"/>
        </w:rPr>
      </w:pPr>
      <w:r>
        <w:rPr>
          <w:sz w:val="22"/>
          <w:szCs w:val="22"/>
        </w:rPr>
        <w:t>Revize se týkala zejména upřesnění požadavků na reportování, na územní zaměření podpory, metodiku analýzy rizik a souladu se zákonem o kontrole č. 255/2012 Sb.</w:t>
      </w:r>
    </w:p>
    <w:p w:rsidR="00871A85" w:rsidRPr="00727BD4" w:rsidRDefault="0070497A" w:rsidP="0070497A">
      <w:pPr>
        <w:spacing w:before="120"/>
        <w:jc w:val="both"/>
        <w:rPr>
          <w:sz w:val="22"/>
          <w:szCs w:val="22"/>
        </w:rPr>
      </w:pPr>
      <w:r>
        <w:rPr>
          <w:sz w:val="22"/>
          <w:szCs w:val="22"/>
        </w:rPr>
        <w:t xml:space="preserve">Od 25. srpna 2014 platí revize </w:t>
      </w:r>
      <w:r w:rsidRPr="00727BD4">
        <w:rPr>
          <w:sz w:val="22"/>
          <w:szCs w:val="22"/>
        </w:rPr>
        <w:t>Manuálu pro realizaci finančního nástroje JESSICA</w:t>
      </w:r>
      <w:r>
        <w:rPr>
          <w:sz w:val="22"/>
          <w:szCs w:val="22"/>
        </w:rPr>
        <w:t xml:space="preserve"> 1.6, která upřesňuje postupy pro podporu de </w:t>
      </w:r>
      <w:proofErr w:type="spellStart"/>
      <w:r>
        <w:rPr>
          <w:sz w:val="22"/>
          <w:szCs w:val="22"/>
        </w:rPr>
        <w:t>minimis</w:t>
      </w:r>
      <w:proofErr w:type="spellEnd"/>
      <w:r>
        <w:rPr>
          <w:sz w:val="22"/>
          <w:szCs w:val="22"/>
        </w:rPr>
        <w:t xml:space="preserve">, navazuje na vydání nových Závazných postupů pro zakázky, nespadající do režimu zákona č. 137/2006 Sb., o veřejných zakázkách, upřesňuje kontrolu způsobilých výdajů a požadavky na reportování o uzavřených úvěrových smlouvách.  </w:t>
      </w:r>
    </w:p>
    <w:p w:rsidR="00DF394D" w:rsidRDefault="00DF394D" w:rsidP="00207960">
      <w:pPr>
        <w:rPr>
          <w:b/>
          <w:sz w:val="22"/>
          <w:szCs w:val="22"/>
        </w:rPr>
      </w:pPr>
    </w:p>
    <w:p w:rsidR="00207960" w:rsidRPr="00727BD4" w:rsidRDefault="00207960" w:rsidP="00207960">
      <w:pPr>
        <w:rPr>
          <w:b/>
          <w:sz w:val="22"/>
          <w:szCs w:val="22"/>
        </w:rPr>
      </w:pPr>
      <w:r w:rsidRPr="00727BD4">
        <w:rPr>
          <w:b/>
          <w:sz w:val="22"/>
          <w:szCs w:val="22"/>
        </w:rPr>
        <w:t>Metodické pokyny a Závazná stanoviska ŘO IOP</w:t>
      </w:r>
    </w:p>
    <w:p w:rsidR="00207960" w:rsidRPr="00207960" w:rsidRDefault="00207960" w:rsidP="00207960">
      <w:pPr>
        <w:shd w:val="clear" w:color="auto" w:fill="FFFFFF"/>
        <w:jc w:val="both"/>
        <w:rPr>
          <w:sz w:val="22"/>
          <w:szCs w:val="22"/>
        </w:rPr>
      </w:pPr>
      <w:r w:rsidRPr="00207960">
        <w:rPr>
          <w:i/>
          <w:sz w:val="22"/>
          <w:szCs w:val="22"/>
          <w:u w:val="single"/>
        </w:rPr>
        <w:t xml:space="preserve">Metodický pokyn č. </w:t>
      </w:r>
      <w:r w:rsidR="00D6470E" w:rsidRPr="00207960">
        <w:rPr>
          <w:i/>
          <w:sz w:val="22"/>
          <w:szCs w:val="22"/>
          <w:u w:val="single"/>
        </w:rPr>
        <w:t>46</w:t>
      </w:r>
      <w:r w:rsidR="00D6470E" w:rsidRPr="00207960">
        <w:rPr>
          <w:i/>
          <w:sz w:val="22"/>
          <w:szCs w:val="22"/>
        </w:rPr>
        <w:t xml:space="preserve"> </w:t>
      </w:r>
      <w:r w:rsidR="00D6470E" w:rsidRPr="00207960">
        <w:rPr>
          <w:sz w:val="22"/>
          <w:szCs w:val="22"/>
        </w:rPr>
        <w:t>Aktualizace</w:t>
      </w:r>
      <w:r w:rsidRPr="00207960">
        <w:rPr>
          <w:sz w:val="22"/>
          <w:szCs w:val="22"/>
        </w:rPr>
        <w:t xml:space="preserve"> kapitoly A. 1. 3. 6 Způsobilé výdaje</w:t>
      </w:r>
    </w:p>
    <w:p w:rsidR="00207960" w:rsidRPr="00207960" w:rsidRDefault="00207960" w:rsidP="00207960">
      <w:pPr>
        <w:tabs>
          <w:tab w:val="left" w:pos="709"/>
        </w:tabs>
        <w:jc w:val="both"/>
        <w:rPr>
          <w:sz w:val="22"/>
          <w:szCs w:val="22"/>
        </w:rPr>
      </w:pPr>
      <w:r w:rsidRPr="00207960">
        <w:rPr>
          <w:sz w:val="22"/>
          <w:szCs w:val="22"/>
        </w:rPr>
        <w:t xml:space="preserve">Metodický pokyn umožňuje prodloužení realizace projektů až do 31. 12. 2015 a je jedním z nástrojů pro vyčerpání celé alokace programu. </w:t>
      </w:r>
    </w:p>
    <w:p w:rsidR="00207960" w:rsidRPr="00207960" w:rsidRDefault="00207960" w:rsidP="00207960">
      <w:pPr>
        <w:shd w:val="clear" w:color="auto" w:fill="FFFFFF"/>
        <w:jc w:val="both"/>
        <w:rPr>
          <w:i/>
          <w:sz w:val="22"/>
          <w:szCs w:val="22"/>
          <w:u w:val="single"/>
        </w:rPr>
      </w:pPr>
    </w:p>
    <w:p w:rsidR="00207960" w:rsidRPr="00207960" w:rsidRDefault="00207960" w:rsidP="00207960">
      <w:pPr>
        <w:shd w:val="clear" w:color="auto" w:fill="FFFFFF"/>
        <w:jc w:val="both"/>
        <w:rPr>
          <w:sz w:val="22"/>
          <w:szCs w:val="22"/>
        </w:rPr>
      </w:pPr>
      <w:r w:rsidRPr="00207960">
        <w:rPr>
          <w:i/>
          <w:sz w:val="22"/>
          <w:szCs w:val="22"/>
          <w:u w:val="single"/>
        </w:rPr>
        <w:t xml:space="preserve">Metodický pokyn č. </w:t>
      </w:r>
      <w:r w:rsidR="004A5682" w:rsidRPr="00207960">
        <w:rPr>
          <w:i/>
          <w:sz w:val="22"/>
          <w:szCs w:val="22"/>
          <w:u w:val="single"/>
        </w:rPr>
        <w:t>47</w:t>
      </w:r>
      <w:r w:rsidR="004A5682" w:rsidRPr="00207960">
        <w:rPr>
          <w:i/>
          <w:sz w:val="22"/>
          <w:szCs w:val="22"/>
        </w:rPr>
        <w:t xml:space="preserve"> </w:t>
      </w:r>
      <w:r w:rsidR="004A5682" w:rsidRPr="00207960">
        <w:rPr>
          <w:sz w:val="22"/>
          <w:szCs w:val="22"/>
        </w:rPr>
        <w:t>Aktualizace</w:t>
      </w:r>
      <w:r w:rsidRPr="00207960">
        <w:rPr>
          <w:sz w:val="22"/>
          <w:szCs w:val="22"/>
        </w:rPr>
        <w:t xml:space="preserve"> kapitoly A. 3. 6. 2. 8. Poskytování a zveřejňování informací </w:t>
      </w:r>
      <w:r w:rsidR="009A1F69">
        <w:rPr>
          <w:sz w:val="22"/>
          <w:szCs w:val="22"/>
        </w:rPr>
        <w:br/>
      </w:r>
      <w:r w:rsidRPr="00207960">
        <w:rPr>
          <w:sz w:val="22"/>
          <w:szCs w:val="22"/>
        </w:rPr>
        <w:t>o dotacích</w:t>
      </w:r>
    </w:p>
    <w:p w:rsidR="00207960" w:rsidRPr="00207960" w:rsidRDefault="00207960" w:rsidP="00207960">
      <w:pPr>
        <w:tabs>
          <w:tab w:val="left" w:pos="709"/>
        </w:tabs>
        <w:ind w:hanging="360"/>
        <w:jc w:val="both"/>
        <w:rPr>
          <w:b/>
          <w:sz w:val="22"/>
          <w:szCs w:val="22"/>
        </w:rPr>
      </w:pPr>
      <w:r w:rsidRPr="00207960">
        <w:rPr>
          <w:sz w:val="22"/>
          <w:szCs w:val="22"/>
        </w:rPr>
        <w:t xml:space="preserve"> </w:t>
      </w:r>
      <w:r w:rsidRPr="00207960">
        <w:rPr>
          <w:sz w:val="22"/>
          <w:szCs w:val="22"/>
        </w:rPr>
        <w:tab/>
        <w:t xml:space="preserve">Metodický pokyn upřesňuje odpovědnost subjektů implementační struktury IOP za předávání informací o dotacích MF ČR ve smyslu zákona č. 171/2012 Sb. ze dne 26. dubna 2012, který novelizuje zákon č. 218/2000 Sb., o rozpočtových pravidlech.  </w:t>
      </w:r>
    </w:p>
    <w:p w:rsidR="00207960" w:rsidRPr="00207960" w:rsidRDefault="00207960" w:rsidP="00207960">
      <w:pPr>
        <w:shd w:val="clear" w:color="auto" w:fill="FFFFFF"/>
        <w:jc w:val="both"/>
        <w:rPr>
          <w:sz w:val="22"/>
          <w:szCs w:val="22"/>
        </w:rPr>
      </w:pPr>
    </w:p>
    <w:p w:rsidR="00207960" w:rsidRPr="00207960" w:rsidRDefault="00207960" w:rsidP="00B6297F">
      <w:pPr>
        <w:jc w:val="both"/>
        <w:rPr>
          <w:sz w:val="22"/>
          <w:szCs w:val="22"/>
        </w:rPr>
      </w:pPr>
      <w:r w:rsidRPr="00207960">
        <w:rPr>
          <w:i/>
          <w:sz w:val="22"/>
          <w:szCs w:val="22"/>
          <w:u w:val="single"/>
        </w:rPr>
        <w:lastRenderedPageBreak/>
        <w:t xml:space="preserve">Metodický pokyn č. </w:t>
      </w:r>
      <w:r w:rsidR="004A5682" w:rsidRPr="00207960">
        <w:rPr>
          <w:i/>
          <w:sz w:val="22"/>
          <w:szCs w:val="22"/>
          <w:u w:val="single"/>
        </w:rPr>
        <w:t>48</w:t>
      </w:r>
      <w:r w:rsidR="004A5682" w:rsidRPr="00207960">
        <w:rPr>
          <w:sz w:val="22"/>
          <w:szCs w:val="22"/>
        </w:rPr>
        <w:t xml:space="preserve"> Aktualizace</w:t>
      </w:r>
      <w:r w:rsidRPr="00207960">
        <w:rPr>
          <w:sz w:val="22"/>
          <w:szCs w:val="22"/>
        </w:rPr>
        <w:t xml:space="preserve"> kontrolních listů ke kontrole veřejných zakázek</w:t>
      </w:r>
    </w:p>
    <w:p w:rsidR="00B6297F" w:rsidRPr="00B6297F" w:rsidRDefault="00207960" w:rsidP="00B6297F">
      <w:pPr>
        <w:tabs>
          <w:tab w:val="left" w:pos="709"/>
        </w:tabs>
        <w:jc w:val="both"/>
        <w:rPr>
          <w:sz w:val="22"/>
          <w:szCs w:val="22"/>
        </w:rPr>
      </w:pPr>
      <w:r w:rsidRPr="00207960">
        <w:rPr>
          <w:sz w:val="22"/>
          <w:szCs w:val="22"/>
        </w:rPr>
        <w:t xml:space="preserve">Metodický pokyn byl vydán za účelem snížení administrativní zátěže při kontrolách veřejných zakázek. Národní orgán pro koordinaci (NOK) porovnal aktualizované znění kontrolních listů ke kontrole veřejných zakázek v rámci IOP se standardizovanými kontrolními listy Evropské komise (příloha </w:t>
      </w:r>
      <w:proofErr w:type="gramStart"/>
      <w:r w:rsidRPr="00207960">
        <w:rPr>
          <w:sz w:val="22"/>
          <w:szCs w:val="22"/>
        </w:rPr>
        <w:t>C.5-21</w:t>
      </w:r>
      <w:proofErr w:type="gramEnd"/>
      <w:r w:rsidRPr="00207960">
        <w:rPr>
          <w:sz w:val="22"/>
          <w:szCs w:val="22"/>
        </w:rPr>
        <w:t xml:space="preserve"> Operačního manuálu IOP). Kontrolní listy IOP byly upraveny, aby zcela splňovaly minimální požadavky Evropské komise na jejich obsah, jsou přílohou tohoto metodického pokynu </w:t>
      </w:r>
      <w:r w:rsidR="009A1F69">
        <w:rPr>
          <w:sz w:val="22"/>
          <w:szCs w:val="22"/>
        </w:rPr>
        <w:br/>
      </w:r>
      <w:r w:rsidRPr="00207960">
        <w:rPr>
          <w:sz w:val="22"/>
          <w:szCs w:val="22"/>
        </w:rPr>
        <w:t xml:space="preserve">a nahradily přílohu </w:t>
      </w:r>
      <w:proofErr w:type="gramStart"/>
      <w:r w:rsidRPr="00207960">
        <w:rPr>
          <w:sz w:val="22"/>
          <w:szCs w:val="22"/>
        </w:rPr>
        <w:t>C.5-16</w:t>
      </w:r>
      <w:proofErr w:type="gramEnd"/>
      <w:r w:rsidRPr="00207960">
        <w:rPr>
          <w:sz w:val="22"/>
          <w:szCs w:val="22"/>
        </w:rPr>
        <w:t xml:space="preserve"> Operačního manuálu IOP.</w:t>
      </w:r>
    </w:p>
    <w:p w:rsidR="00B6297F" w:rsidRPr="00207960" w:rsidRDefault="00B6297F" w:rsidP="00CC3368"/>
    <w:p w:rsidR="00207960" w:rsidRPr="00207960" w:rsidRDefault="00207960" w:rsidP="00B6297F">
      <w:pPr>
        <w:jc w:val="both"/>
        <w:rPr>
          <w:sz w:val="22"/>
          <w:szCs w:val="22"/>
        </w:rPr>
      </w:pPr>
      <w:r w:rsidRPr="00207960">
        <w:rPr>
          <w:i/>
          <w:sz w:val="22"/>
          <w:szCs w:val="22"/>
          <w:u w:val="single"/>
        </w:rPr>
        <w:t xml:space="preserve">Metodický pokyn č. </w:t>
      </w:r>
      <w:r w:rsidR="004A5682" w:rsidRPr="00207960">
        <w:rPr>
          <w:i/>
          <w:sz w:val="22"/>
          <w:szCs w:val="22"/>
          <w:u w:val="single"/>
        </w:rPr>
        <w:t>49</w:t>
      </w:r>
      <w:r w:rsidR="004A5682" w:rsidRPr="00207960">
        <w:rPr>
          <w:i/>
          <w:sz w:val="22"/>
          <w:szCs w:val="22"/>
        </w:rPr>
        <w:t xml:space="preserve"> Aktualizace</w:t>
      </w:r>
      <w:r w:rsidRPr="00207960">
        <w:rPr>
          <w:sz w:val="22"/>
          <w:szCs w:val="22"/>
        </w:rPr>
        <w:t xml:space="preserve"> kapitoly B OM IOP přechod na financování prostřednictvím ČNB</w:t>
      </w:r>
    </w:p>
    <w:p w:rsidR="008C1407" w:rsidRDefault="00207960" w:rsidP="00B6297F">
      <w:pPr>
        <w:tabs>
          <w:tab w:val="left" w:pos="709"/>
        </w:tabs>
        <w:jc w:val="both"/>
        <w:rPr>
          <w:sz w:val="22"/>
          <w:szCs w:val="22"/>
        </w:rPr>
      </w:pPr>
      <w:r w:rsidRPr="00207960">
        <w:rPr>
          <w:sz w:val="22"/>
          <w:szCs w:val="22"/>
        </w:rPr>
        <w:t xml:space="preserve">Metodický pokyn upravuje postupy financování po ukončení smlouvy Ministerstva financí ČR s pověřenou bankou </w:t>
      </w:r>
      <w:proofErr w:type="spellStart"/>
      <w:r w:rsidRPr="00207960">
        <w:rPr>
          <w:sz w:val="22"/>
          <w:szCs w:val="22"/>
        </w:rPr>
        <w:t>UniCredit</w:t>
      </w:r>
      <w:proofErr w:type="spellEnd"/>
      <w:r w:rsidRPr="00207960">
        <w:rPr>
          <w:sz w:val="22"/>
          <w:szCs w:val="22"/>
        </w:rPr>
        <w:t xml:space="preserve"> Bank Czech Republic, a.s., která zajišťovala výplatu dotací příjemcům. Od 1. 1. 2014 probíhají všechny platby prostřednictvím České národní banky.</w:t>
      </w:r>
    </w:p>
    <w:p w:rsidR="00CC3368" w:rsidRPr="00207960" w:rsidRDefault="00CC3368" w:rsidP="00A52553"/>
    <w:p w:rsidR="00207960" w:rsidRPr="00207960" w:rsidRDefault="00207960" w:rsidP="00207960">
      <w:pPr>
        <w:spacing w:before="120"/>
        <w:jc w:val="both"/>
        <w:rPr>
          <w:sz w:val="22"/>
          <w:szCs w:val="22"/>
        </w:rPr>
      </w:pPr>
      <w:r w:rsidRPr="00207960">
        <w:rPr>
          <w:i/>
          <w:sz w:val="22"/>
          <w:szCs w:val="22"/>
          <w:u w:val="single"/>
        </w:rPr>
        <w:t xml:space="preserve">Metodický pokyn č. </w:t>
      </w:r>
      <w:r w:rsidR="004A5682" w:rsidRPr="00207960">
        <w:rPr>
          <w:i/>
          <w:sz w:val="22"/>
          <w:szCs w:val="22"/>
          <w:u w:val="single"/>
        </w:rPr>
        <w:t>50</w:t>
      </w:r>
      <w:r w:rsidR="004A5682" w:rsidRPr="00207960">
        <w:rPr>
          <w:i/>
          <w:sz w:val="22"/>
          <w:szCs w:val="22"/>
        </w:rPr>
        <w:t xml:space="preserve"> </w:t>
      </w:r>
      <w:r w:rsidR="004A5682" w:rsidRPr="00207960">
        <w:rPr>
          <w:sz w:val="22"/>
          <w:szCs w:val="22"/>
        </w:rPr>
        <w:t>Aktualizace</w:t>
      </w:r>
      <w:r w:rsidRPr="00207960">
        <w:rPr>
          <w:sz w:val="22"/>
          <w:szCs w:val="22"/>
        </w:rPr>
        <w:t xml:space="preserve"> Měsíční zprávy o činnosti ZS</w:t>
      </w:r>
    </w:p>
    <w:p w:rsidR="00207960" w:rsidRPr="00207960" w:rsidRDefault="00207960" w:rsidP="00207960">
      <w:pPr>
        <w:jc w:val="both"/>
        <w:rPr>
          <w:sz w:val="22"/>
          <w:szCs w:val="22"/>
        </w:rPr>
      </w:pPr>
      <w:r w:rsidRPr="00207960">
        <w:rPr>
          <w:sz w:val="22"/>
          <w:szCs w:val="22"/>
        </w:rPr>
        <w:t>MP aktualizuje strukturu měsíční zprávy o činnosti jednotlivých zprostředkujících subjektů v IOP vzhledem k pokroku implementace programu.</w:t>
      </w:r>
    </w:p>
    <w:p w:rsidR="00207960" w:rsidRPr="00207960" w:rsidRDefault="00207960" w:rsidP="00207960">
      <w:pPr>
        <w:jc w:val="both"/>
        <w:rPr>
          <w:sz w:val="22"/>
          <w:szCs w:val="22"/>
        </w:rPr>
      </w:pPr>
    </w:p>
    <w:p w:rsidR="00207960" w:rsidRPr="00207960" w:rsidRDefault="00207960" w:rsidP="00207960">
      <w:pPr>
        <w:shd w:val="clear" w:color="auto" w:fill="FFFFFF"/>
        <w:jc w:val="both"/>
        <w:rPr>
          <w:b/>
          <w:sz w:val="22"/>
          <w:szCs w:val="22"/>
        </w:rPr>
      </w:pPr>
      <w:r w:rsidRPr="00207960">
        <w:rPr>
          <w:i/>
          <w:sz w:val="22"/>
          <w:szCs w:val="22"/>
          <w:u w:val="single"/>
        </w:rPr>
        <w:t xml:space="preserve">Metodický pokyn č. </w:t>
      </w:r>
      <w:r w:rsidR="004A5682" w:rsidRPr="00207960">
        <w:rPr>
          <w:i/>
          <w:sz w:val="22"/>
          <w:szCs w:val="22"/>
          <w:u w:val="single"/>
        </w:rPr>
        <w:t xml:space="preserve">51 </w:t>
      </w:r>
      <w:r w:rsidR="004A5682" w:rsidRPr="00207960">
        <w:rPr>
          <w:sz w:val="22"/>
          <w:szCs w:val="22"/>
        </w:rPr>
        <w:t>Aktualizace</w:t>
      </w:r>
      <w:r w:rsidRPr="00207960">
        <w:rPr>
          <w:sz w:val="22"/>
          <w:szCs w:val="22"/>
        </w:rPr>
        <w:t xml:space="preserve"> </w:t>
      </w:r>
      <w:r w:rsidR="004A5682" w:rsidRPr="00207960">
        <w:rPr>
          <w:sz w:val="22"/>
          <w:szCs w:val="22"/>
        </w:rPr>
        <w:t>kapitoly B. 3.4</w:t>
      </w:r>
      <w:r w:rsidRPr="00207960">
        <w:rPr>
          <w:sz w:val="22"/>
          <w:szCs w:val="22"/>
        </w:rPr>
        <w:t xml:space="preserve"> Certifikace </w:t>
      </w:r>
    </w:p>
    <w:p w:rsidR="00207960" w:rsidRPr="00207960" w:rsidRDefault="00207960" w:rsidP="00207960">
      <w:pPr>
        <w:jc w:val="both"/>
        <w:rPr>
          <w:sz w:val="22"/>
          <w:szCs w:val="22"/>
        </w:rPr>
      </w:pPr>
      <w:r w:rsidRPr="00207960">
        <w:rPr>
          <w:sz w:val="22"/>
          <w:szCs w:val="22"/>
        </w:rPr>
        <w:t>ŘO vydáním MP reaguje na vydání aktualizace Metodiky certifikace výdajů pro programové období 2007-2013 s účinností od 1. 4. 2014.</w:t>
      </w:r>
    </w:p>
    <w:p w:rsidR="00207960" w:rsidRPr="00207960" w:rsidRDefault="00207960" w:rsidP="00207960">
      <w:pPr>
        <w:jc w:val="both"/>
        <w:rPr>
          <w:sz w:val="22"/>
          <w:szCs w:val="22"/>
        </w:rPr>
      </w:pPr>
    </w:p>
    <w:p w:rsidR="00207960" w:rsidRPr="00207960" w:rsidRDefault="00207960" w:rsidP="00207960">
      <w:pPr>
        <w:shd w:val="clear" w:color="auto" w:fill="FFFFFF"/>
        <w:jc w:val="both"/>
        <w:rPr>
          <w:sz w:val="22"/>
          <w:szCs w:val="22"/>
        </w:rPr>
      </w:pPr>
      <w:r w:rsidRPr="00207960">
        <w:rPr>
          <w:i/>
          <w:sz w:val="22"/>
          <w:szCs w:val="22"/>
          <w:u w:val="single"/>
        </w:rPr>
        <w:t xml:space="preserve">Metodický pokyn č. </w:t>
      </w:r>
      <w:r w:rsidR="004A5682" w:rsidRPr="00207960">
        <w:rPr>
          <w:i/>
          <w:sz w:val="22"/>
          <w:szCs w:val="22"/>
          <w:u w:val="single"/>
        </w:rPr>
        <w:t xml:space="preserve">53 </w:t>
      </w:r>
      <w:r w:rsidR="004A5682" w:rsidRPr="00207960">
        <w:rPr>
          <w:sz w:val="22"/>
          <w:szCs w:val="22"/>
        </w:rPr>
        <w:t>Aktualizace</w:t>
      </w:r>
      <w:r w:rsidRPr="00207960">
        <w:rPr>
          <w:sz w:val="22"/>
          <w:szCs w:val="22"/>
        </w:rPr>
        <w:t xml:space="preserve"> textu přílohy </w:t>
      </w:r>
      <w:proofErr w:type="gramStart"/>
      <w:r w:rsidRPr="00207960">
        <w:rPr>
          <w:sz w:val="22"/>
          <w:szCs w:val="22"/>
        </w:rPr>
        <w:t>C.5-11</w:t>
      </w:r>
      <w:proofErr w:type="gramEnd"/>
    </w:p>
    <w:p w:rsidR="00207960" w:rsidRPr="00207960" w:rsidRDefault="00207960" w:rsidP="00207960">
      <w:pPr>
        <w:jc w:val="both"/>
        <w:rPr>
          <w:sz w:val="22"/>
          <w:szCs w:val="22"/>
        </w:rPr>
      </w:pPr>
      <w:r w:rsidRPr="00207960">
        <w:rPr>
          <w:sz w:val="22"/>
          <w:szCs w:val="22"/>
        </w:rPr>
        <w:t xml:space="preserve">Metodický pokyn doplňuje do přílohy C. 5-11 Postup pro zadávání kontrol do IS Monit7+ postup zadávání kontrol výběrových/zadávacích řízení v IS Monit7+. </w:t>
      </w:r>
    </w:p>
    <w:p w:rsidR="00207960" w:rsidRPr="00207960" w:rsidRDefault="00207960" w:rsidP="00207960">
      <w:pPr>
        <w:jc w:val="both"/>
        <w:rPr>
          <w:sz w:val="22"/>
          <w:szCs w:val="22"/>
        </w:rPr>
      </w:pPr>
    </w:p>
    <w:p w:rsidR="00207960" w:rsidRPr="00207960" w:rsidRDefault="00207960" w:rsidP="00207960">
      <w:pPr>
        <w:tabs>
          <w:tab w:val="left" w:pos="709"/>
        </w:tabs>
        <w:jc w:val="both"/>
        <w:rPr>
          <w:sz w:val="22"/>
          <w:szCs w:val="22"/>
        </w:rPr>
      </w:pPr>
      <w:r w:rsidRPr="00207960">
        <w:rPr>
          <w:i/>
          <w:sz w:val="22"/>
          <w:szCs w:val="22"/>
          <w:u w:val="single"/>
        </w:rPr>
        <w:t xml:space="preserve">Metodický pokyn č. </w:t>
      </w:r>
      <w:r w:rsidR="00FA0503" w:rsidRPr="00207960">
        <w:rPr>
          <w:i/>
          <w:sz w:val="22"/>
          <w:szCs w:val="22"/>
          <w:u w:val="single"/>
        </w:rPr>
        <w:t xml:space="preserve">54 </w:t>
      </w:r>
      <w:r w:rsidR="00FA0503" w:rsidRPr="00207960">
        <w:rPr>
          <w:sz w:val="22"/>
          <w:szCs w:val="22"/>
        </w:rPr>
        <w:t>Aktualizace</w:t>
      </w:r>
      <w:r w:rsidRPr="00207960">
        <w:rPr>
          <w:sz w:val="22"/>
          <w:szCs w:val="22"/>
        </w:rPr>
        <w:t xml:space="preserve"> OM IOP v souvislosti s novými pravidly poskytování veřejné podpory v režimu de </w:t>
      </w:r>
      <w:proofErr w:type="spellStart"/>
      <w:r w:rsidRPr="00207960">
        <w:rPr>
          <w:sz w:val="22"/>
          <w:szCs w:val="22"/>
        </w:rPr>
        <w:t>minimis</w:t>
      </w:r>
      <w:proofErr w:type="spellEnd"/>
      <w:r w:rsidRPr="00207960">
        <w:rPr>
          <w:sz w:val="22"/>
          <w:szCs w:val="22"/>
        </w:rPr>
        <w:t xml:space="preserve"> </w:t>
      </w:r>
      <w:r w:rsidRPr="00207960">
        <w:rPr>
          <w:sz w:val="22"/>
          <w:szCs w:val="22"/>
        </w:rPr>
        <w:tab/>
      </w:r>
    </w:p>
    <w:p w:rsidR="00207960" w:rsidRDefault="00207960" w:rsidP="00207960">
      <w:pPr>
        <w:jc w:val="both"/>
        <w:rPr>
          <w:sz w:val="22"/>
          <w:szCs w:val="22"/>
        </w:rPr>
      </w:pPr>
      <w:r w:rsidRPr="00207960">
        <w:rPr>
          <w:sz w:val="22"/>
          <w:szCs w:val="22"/>
        </w:rPr>
        <w:t xml:space="preserve">Metodický pokyn upravuje změny v oblasti pravidel veřejné podpory na základě nového Nařízení Komise č. 1407/2013 ze dne 18. prosince 2013 o použití článku 107 a 108 Smlouvy o fungování Evropské unie na podporu de </w:t>
      </w:r>
      <w:proofErr w:type="spellStart"/>
      <w:r w:rsidRPr="00207960">
        <w:rPr>
          <w:sz w:val="22"/>
          <w:szCs w:val="22"/>
        </w:rPr>
        <w:t>minimis</w:t>
      </w:r>
      <w:proofErr w:type="spellEnd"/>
      <w:r w:rsidRPr="00207960">
        <w:rPr>
          <w:sz w:val="22"/>
          <w:szCs w:val="22"/>
        </w:rPr>
        <w:t xml:space="preserve">. Nařízení nahradilo stávající Nařízení Komise č. 1998/2006 ze dne 15. prosince 2006, jehož platnost byla ukončena 31. prosince 2013. </w:t>
      </w:r>
    </w:p>
    <w:p w:rsidR="00B6297F" w:rsidRPr="00207960" w:rsidRDefault="00B6297F" w:rsidP="00207960">
      <w:pPr>
        <w:jc w:val="both"/>
        <w:rPr>
          <w:sz w:val="22"/>
          <w:szCs w:val="22"/>
        </w:rPr>
      </w:pPr>
    </w:p>
    <w:p w:rsidR="00207960" w:rsidRPr="00207960" w:rsidRDefault="00207960" w:rsidP="00207960">
      <w:pPr>
        <w:shd w:val="clear" w:color="auto" w:fill="FFFFFF"/>
        <w:jc w:val="both"/>
        <w:rPr>
          <w:rFonts w:ascii="Arial" w:eastAsia="MS Mincho" w:hAnsi="Arial" w:cs="Arial"/>
          <w:b/>
          <w:sz w:val="22"/>
          <w:szCs w:val="22"/>
        </w:rPr>
      </w:pPr>
      <w:r w:rsidRPr="00207960">
        <w:rPr>
          <w:i/>
          <w:sz w:val="22"/>
          <w:szCs w:val="22"/>
          <w:u w:val="single"/>
        </w:rPr>
        <w:t xml:space="preserve">Metodický pokyn č. 55 </w:t>
      </w:r>
      <w:r w:rsidRPr="00207960">
        <w:rPr>
          <w:sz w:val="22"/>
          <w:szCs w:val="22"/>
        </w:rPr>
        <w:t xml:space="preserve">Aktualizace kapitoly </w:t>
      </w:r>
      <w:proofErr w:type="gramStart"/>
      <w:r w:rsidRPr="00207960">
        <w:rPr>
          <w:sz w:val="22"/>
          <w:szCs w:val="22"/>
        </w:rPr>
        <w:t>A.3.7</w:t>
      </w:r>
      <w:proofErr w:type="gramEnd"/>
      <w:r w:rsidRPr="00207960">
        <w:rPr>
          <w:sz w:val="22"/>
          <w:szCs w:val="22"/>
        </w:rPr>
        <w:t xml:space="preserve"> Řízení lidských zdrojů OM IOP</w:t>
      </w:r>
    </w:p>
    <w:p w:rsidR="00207960" w:rsidRPr="00207960" w:rsidRDefault="00207960" w:rsidP="00207960">
      <w:pPr>
        <w:jc w:val="both"/>
        <w:rPr>
          <w:sz w:val="22"/>
          <w:szCs w:val="22"/>
        </w:rPr>
      </w:pPr>
      <w:r w:rsidRPr="00207960">
        <w:rPr>
          <w:sz w:val="22"/>
          <w:szCs w:val="22"/>
        </w:rPr>
        <w:t xml:space="preserve">Kapitola OM IOP </w:t>
      </w:r>
      <w:proofErr w:type="gramStart"/>
      <w:r w:rsidRPr="00207960">
        <w:rPr>
          <w:sz w:val="22"/>
          <w:szCs w:val="22"/>
        </w:rPr>
        <w:t>A.3.7</w:t>
      </w:r>
      <w:proofErr w:type="gramEnd"/>
      <w:r w:rsidRPr="00207960">
        <w:rPr>
          <w:sz w:val="22"/>
          <w:szCs w:val="22"/>
        </w:rPr>
        <w:t xml:space="preserve"> Řízení lidských zdrojů byla přepracovaná podle Metodického pokynu k rozvoji lidských zdrojů v programovém období let 2014 až 2020 a v programovém období let 2007 až 2013 (dále jen MP k RLZ), schváleného Usnesením vlády ČR č. 444 ze dne 16. června 2014.</w:t>
      </w:r>
    </w:p>
    <w:p w:rsidR="00C001C3" w:rsidRPr="00C41EC8" w:rsidRDefault="00C001C3" w:rsidP="00CC3368"/>
    <w:p w:rsidR="00207960" w:rsidRPr="008C1407" w:rsidRDefault="00207960" w:rsidP="00B6297F">
      <w:pPr>
        <w:tabs>
          <w:tab w:val="left" w:pos="709"/>
        </w:tabs>
        <w:jc w:val="both"/>
        <w:rPr>
          <w:sz w:val="22"/>
          <w:szCs w:val="22"/>
        </w:rPr>
      </w:pPr>
      <w:r w:rsidRPr="00FA0503">
        <w:rPr>
          <w:i/>
          <w:sz w:val="22"/>
          <w:szCs w:val="22"/>
          <w:u w:val="single"/>
        </w:rPr>
        <w:t xml:space="preserve">Metodický pokyn č. </w:t>
      </w:r>
      <w:r w:rsidR="00FA0503" w:rsidRPr="00FA0503">
        <w:rPr>
          <w:i/>
          <w:sz w:val="22"/>
          <w:szCs w:val="22"/>
          <w:u w:val="single"/>
        </w:rPr>
        <w:t xml:space="preserve">56 </w:t>
      </w:r>
      <w:proofErr w:type="gramStart"/>
      <w:r w:rsidR="00FA0503" w:rsidRPr="00CA445B">
        <w:rPr>
          <w:sz w:val="22"/>
          <w:szCs w:val="22"/>
        </w:rPr>
        <w:t>Aktualizace</w:t>
      </w:r>
      <w:r w:rsidRPr="008C1407">
        <w:rPr>
          <w:sz w:val="22"/>
          <w:szCs w:val="22"/>
        </w:rPr>
        <w:t xml:space="preserve"> B.3-27</w:t>
      </w:r>
      <w:proofErr w:type="gramEnd"/>
      <w:r w:rsidRPr="008C1407">
        <w:rPr>
          <w:sz w:val="22"/>
          <w:szCs w:val="22"/>
        </w:rPr>
        <w:t xml:space="preserve"> Administrace plateb</w:t>
      </w:r>
    </w:p>
    <w:p w:rsidR="00207960" w:rsidRPr="008C1407" w:rsidRDefault="00207960" w:rsidP="00B6297F">
      <w:pPr>
        <w:tabs>
          <w:tab w:val="left" w:pos="926"/>
        </w:tabs>
        <w:jc w:val="both"/>
        <w:rPr>
          <w:sz w:val="22"/>
          <w:szCs w:val="22"/>
        </w:rPr>
      </w:pPr>
      <w:r w:rsidRPr="008C1407">
        <w:rPr>
          <w:sz w:val="22"/>
          <w:szCs w:val="22"/>
        </w:rPr>
        <w:t xml:space="preserve">Důvodem vydání metodického pokynu je doplnění postupu vyplňování polí na klasifikaci platby na žádosti o platbu v návaznosti na spuštění Integrovaného informačního systému Státní pokladny (IISSP). </w:t>
      </w:r>
    </w:p>
    <w:p w:rsidR="00207960" w:rsidRPr="002765B4" w:rsidRDefault="00207960" w:rsidP="00CC3368"/>
    <w:p w:rsidR="00207960" w:rsidRDefault="00207960" w:rsidP="00207960">
      <w:pPr>
        <w:tabs>
          <w:tab w:val="left" w:pos="709"/>
        </w:tabs>
        <w:jc w:val="both"/>
        <w:rPr>
          <w:sz w:val="22"/>
          <w:szCs w:val="22"/>
        </w:rPr>
      </w:pPr>
      <w:r w:rsidRPr="00FA0503">
        <w:rPr>
          <w:i/>
          <w:sz w:val="22"/>
          <w:szCs w:val="22"/>
          <w:u w:val="single"/>
        </w:rPr>
        <w:t>Metodický pokyn č. 57</w:t>
      </w:r>
      <w:r w:rsidR="00FA0503" w:rsidRPr="00FA0503">
        <w:rPr>
          <w:sz w:val="22"/>
          <w:szCs w:val="22"/>
        </w:rPr>
        <w:t xml:space="preserve">  </w:t>
      </w:r>
      <w:r w:rsidRPr="002765B4">
        <w:rPr>
          <w:sz w:val="22"/>
          <w:szCs w:val="22"/>
        </w:rPr>
        <w:t xml:space="preserve">Aktualizace kapitoly OM IOP </w:t>
      </w:r>
      <w:proofErr w:type="gramStart"/>
      <w:r w:rsidRPr="002765B4">
        <w:rPr>
          <w:sz w:val="22"/>
          <w:szCs w:val="22"/>
        </w:rPr>
        <w:t>A.4.3.3</w:t>
      </w:r>
      <w:proofErr w:type="gramEnd"/>
      <w:r w:rsidRPr="002765B4">
        <w:rPr>
          <w:sz w:val="22"/>
          <w:szCs w:val="22"/>
        </w:rPr>
        <w:t xml:space="preserve"> Změna podmínek výzvy a kapitoly A.5.3 Změny v realizaci projektu</w:t>
      </w:r>
    </w:p>
    <w:p w:rsidR="00207960" w:rsidRPr="002765B4" w:rsidRDefault="00207960" w:rsidP="00207960">
      <w:pPr>
        <w:tabs>
          <w:tab w:val="left" w:pos="709"/>
        </w:tabs>
        <w:jc w:val="both"/>
        <w:rPr>
          <w:sz w:val="22"/>
          <w:szCs w:val="22"/>
        </w:rPr>
      </w:pPr>
      <w:r w:rsidRPr="002765B4">
        <w:rPr>
          <w:sz w:val="22"/>
          <w:szCs w:val="22"/>
        </w:rPr>
        <w:t xml:space="preserve">Důvodem vydání metodického pokynu je povinnost </w:t>
      </w:r>
      <w:r>
        <w:rPr>
          <w:sz w:val="22"/>
          <w:szCs w:val="22"/>
        </w:rPr>
        <w:t xml:space="preserve">ŘO IOP </w:t>
      </w:r>
      <w:r w:rsidRPr="002765B4">
        <w:rPr>
          <w:sz w:val="22"/>
          <w:szCs w:val="22"/>
        </w:rPr>
        <w:t xml:space="preserve">zajistit dočerpání celé alokace programu a pro splnění této povinnosti </w:t>
      </w:r>
      <w:r>
        <w:rPr>
          <w:sz w:val="22"/>
          <w:szCs w:val="22"/>
        </w:rPr>
        <w:t xml:space="preserve">bylo nezbytné </w:t>
      </w:r>
      <w:r w:rsidRPr="002765B4">
        <w:rPr>
          <w:sz w:val="22"/>
          <w:szCs w:val="22"/>
        </w:rPr>
        <w:t>dopracovat postupy pro změnu podmínek výzvy</w:t>
      </w:r>
      <w:r w:rsidRPr="006A4863">
        <w:rPr>
          <w:sz w:val="22"/>
          <w:szCs w:val="22"/>
        </w:rPr>
        <w:t xml:space="preserve"> po u</w:t>
      </w:r>
      <w:r>
        <w:rPr>
          <w:sz w:val="22"/>
          <w:szCs w:val="22"/>
        </w:rPr>
        <w:t>končení příjmu žádostí o dotaci</w:t>
      </w:r>
      <w:r w:rsidRPr="002765B4">
        <w:rPr>
          <w:sz w:val="22"/>
          <w:szCs w:val="22"/>
        </w:rPr>
        <w:t xml:space="preserve">. ŘO IOP obdržel Stanovisko </w:t>
      </w:r>
      <w:r>
        <w:rPr>
          <w:sz w:val="22"/>
          <w:szCs w:val="22"/>
        </w:rPr>
        <w:t>NOK</w:t>
      </w:r>
      <w:r w:rsidRPr="002765B4">
        <w:rPr>
          <w:sz w:val="22"/>
          <w:szCs w:val="22"/>
        </w:rPr>
        <w:t xml:space="preserve"> k prodlužování realizace projektů z 24. října 2014 s číslem jednacím 37048/2014-27, které je podkladem pro tento metodický pokyn.</w:t>
      </w:r>
      <w:r w:rsidRPr="006A4863">
        <w:rPr>
          <w:sz w:val="22"/>
          <w:szCs w:val="22"/>
        </w:rPr>
        <w:t xml:space="preserve"> </w:t>
      </w:r>
      <w:r>
        <w:rPr>
          <w:sz w:val="22"/>
          <w:szCs w:val="22"/>
        </w:rPr>
        <w:t xml:space="preserve">Na základě </w:t>
      </w:r>
      <w:r w:rsidRPr="006A4863">
        <w:rPr>
          <w:sz w:val="22"/>
          <w:szCs w:val="22"/>
        </w:rPr>
        <w:t xml:space="preserve">změn ustanovení výzvy </w:t>
      </w:r>
      <w:r>
        <w:rPr>
          <w:sz w:val="22"/>
          <w:szCs w:val="22"/>
        </w:rPr>
        <w:t>j</w:t>
      </w:r>
      <w:r w:rsidRPr="006A4863">
        <w:rPr>
          <w:sz w:val="22"/>
          <w:szCs w:val="22"/>
        </w:rPr>
        <w:t>e možné zvýšit alokaci výzvy a prodloužit ukončení realizace projektů za termín, stanovený ve výzvě jako maximální.</w:t>
      </w:r>
      <w:r w:rsidRPr="006A4863">
        <w:t xml:space="preserve"> </w:t>
      </w:r>
      <w:r>
        <w:rPr>
          <w:sz w:val="22"/>
          <w:szCs w:val="22"/>
        </w:rPr>
        <w:t>Také byl doplněn postup pro</w:t>
      </w:r>
      <w:r w:rsidRPr="006A4863">
        <w:rPr>
          <w:sz w:val="22"/>
          <w:szCs w:val="22"/>
        </w:rPr>
        <w:t xml:space="preserve"> posouzení Oznámení o změnách v projektu, které se týkají prodloužení realizace projektu za původní termín, stanovený ve výzvě.    </w:t>
      </w:r>
    </w:p>
    <w:p w:rsidR="00207960" w:rsidRDefault="00207960" w:rsidP="00207960">
      <w:pPr>
        <w:tabs>
          <w:tab w:val="left" w:pos="709"/>
        </w:tabs>
        <w:jc w:val="both"/>
        <w:rPr>
          <w:i/>
          <w:sz w:val="22"/>
          <w:szCs w:val="22"/>
          <w:u w:val="single"/>
        </w:rPr>
      </w:pPr>
    </w:p>
    <w:p w:rsidR="00A52553" w:rsidRDefault="00A52553" w:rsidP="00207960">
      <w:pPr>
        <w:tabs>
          <w:tab w:val="left" w:pos="709"/>
        </w:tabs>
        <w:jc w:val="both"/>
        <w:rPr>
          <w:i/>
          <w:sz w:val="22"/>
          <w:szCs w:val="22"/>
          <w:u w:val="single"/>
        </w:rPr>
      </w:pPr>
    </w:p>
    <w:p w:rsidR="00A52553" w:rsidRDefault="00A52553" w:rsidP="00207960">
      <w:pPr>
        <w:tabs>
          <w:tab w:val="left" w:pos="709"/>
        </w:tabs>
        <w:jc w:val="both"/>
        <w:rPr>
          <w:i/>
          <w:sz w:val="22"/>
          <w:szCs w:val="22"/>
          <w:u w:val="single"/>
        </w:rPr>
      </w:pPr>
    </w:p>
    <w:p w:rsidR="00207960" w:rsidRPr="00727BD4" w:rsidRDefault="00207960" w:rsidP="00207960">
      <w:pPr>
        <w:tabs>
          <w:tab w:val="left" w:pos="709"/>
        </w:tabs>
        <w:jc w:val="both"/>
        <w:rPr>
          <w:b/>
          <w:sz w:val="22"/>
          <w:szCs w:val="22"/>
        </w:rPr>
      </w:pPr>
      <w:r w:rsidRPr="00727BD4">
        <w:rPr>
          <w:i/>
          <w:sz w:val="22"/>
          <w:szCs w:val="22"/>
          <w:u w:val="single"/>
        </w:rPr>
        <w:lastRenderedPageBreak/>
        <w:t xml:space="preserve">Závazné stanovisko </w:t>
      </w:r>
      <w:r w:rsidR="00FA0503" w:rsidRPr="00727BD4">
        <w:rPr>
          <w:i/>
          <w:sz w:val="22"/>
          <w:szCs w:val="22"/>
          <w:u w:val="single"/>
        </w:rPr>
        <w:t>č. 8</w:t>
      </w:r>
      <w:r w:rsidR="00FA0503" w:rsidRPr="00727BD4">
        <w:rPr>
          <w:sz w:val="22"/>
          <w:szCs w:val="22"/>
        </w:rPr>
        <w:t xml:space="preserve"> Závazné</w:t>
      </w:r>
      <w:r w:rsidRPr="00727BD4">
        <w:rPr>
          <w:sz w:val="22"/>
          <w:szCs w:val="22"/>
        </w:rPr>
        <w:t xml:space="preserve"> stanovisko</w:t>
      </w:r>
      <w:r w:rsidRPr="00727BD4">
        <w:rPr>
          <w:b/>
          <w:sz w:val="22"/>
          <w:szCs w:val="22"/>
        </w:rPr>
        <w:t xml:space="preserve"> </w:t>
      </w:r>
      <w:r w:rsidRPr="00727BD4">
        <w:rPr>
          <w:sz w:val="22"/>
          <w:szCs w:val="22"/>
        </w:rPr>
        <w:t>ke snížení rizika nevyčerpání alokace v OI 5.2</w:t>
      </w:r>
      <w:r w:rsidRPr="00727BD4">
        <w:rPr>
          <w:b/>
          <w:sz w:val="22"/>
          <w:szCs w:val="22"/>
        </w:rPr>
        <w:t xml:space="preserve">  </w:t>
      </w:r>
    </w:p>
    <w:p w:rsidR="00207960" w:rsidRPr="00727BD4" w:rsidRDefault="00207960" w:rsidP="00207960">
      <w:pPr>
        <w:pStyle w:val="Zhlav"/>
        <w:tabs>
          <w:tab w:val="left" w:pos="2268"/>
        </w:tabs>
        <w:jc w:val="both"/>
        <w:rPr>
          <w:sz w:val="22"/>
          <w:szCs w:val="22"/>
        </w:rPr>
      </w:pPr>
      <w:r w:rsidRPr="00020338">
        <w:rPr>
          <w:sz w:val="22"/>
          <w:szCs w:val="22"/>
        </w:rPr>
        <w:t>Řídící orgán IOP vydal závazné stanovisko č. 8 pro zajištění přezkoumatelnosti postupu při kontrolách výběrových řízení realizovaných v rámci IOP. a upřesňuje jím postup příjemců v případech, kdy výběrová řízení byla realizována před nabytím účinnosti Závazných postupů, nebo předtím, než se zadavatel měl objektivní příležitost dozvědět o povinnosti se jimi řídit.</w:t>
      </w:r>
    </w:p>
    <w:p w:rsidR="004B0D13" w:rsidRDefault="004B0D13" w:rsidP="00CC3368"/>
    <w:bookmarkEnd w:id="111"/>
    <w:p w:rsidR="00DF394D" w:rsidRDefault="00DF394D" w:rsidP="00DF394D">
      <w:pPr>
        <w:tabs>
          <w:tab w:val="left" w:pos="709"/>
        </w:tabs>
        <w:jc w:val="both"/>
        <w:rPr>
          <w:b/>
          <w:sz w:val="22"/>
          <w:szCs w:val="22"/>
        </w:rPr>
      </w:pPr>
      <w:r w:rsidRPr="00727BD4">
        <w:rPr>
          <w:i/>
          <w:sz w:val="22"/>
          <w:szCs w:val="22"/>
          <w:u w:val="single"/>
        </w:rPr>
        <w:t>Závazné stanovisko č. 10</w:t>
      </w:r>
      <w:r w:rsidRPr="00727BD4">
        <w:rPr>
          <w:sz w:val="22"/>
          <w:szCs w:val="22"/>
        </w:rPr>
        <w:t xml:space="preserve"> Závazné stanovisko</w:t>
      </w:r>
      <w:r w:rsidRPr="00727BD4">
        <w:rPr>
          <w:b/>
          <w:sz w:val="22"/>
          <w:szCs w:val="22"/>
        </w:rPr>
        <w:t xml:space="preserve"> </w:t>
      </w:r>
      <w:r w:rsidRPr="00727BD4">
        <w:rPr>
          <w:sz w:val="22"/>
          <w:szCs w:val="22"/>
        </w:rPr>
        <w:t>ke snížení rizika nevyčerpání alokace v OI 5.2</w:t>
      </w:r>
      <w:r w:rsidRPr="00727BD4">
        <w:rPr>
          <w:b/>
          <w:sz w:val="22"/>
          <w:szCs w:val="22"/>
        </w:rPr>
        <w:t xml:space="preserve">  </w:t>
      </w:r>
    </w:p>
    <w:p w:rsidR="00DF394D" w:rsidRDefault="00DF394D" w:rsidP="00DF394D">
      <w:pPr>
        <w:jc w:val="both"/>
        <w:rPr>
          <w:sz w:val="22"/>
          <w:szCs w:val="22"/>
        </w:rPr>
      </w:pPr>
      <w:r w:rsidRPr="00727BD4">
        <w:rPr>
          <w:sz w:val="22"/>
          <w:szCs w:val="22"/>
        </w:rPr>
        <w:t xml:space="preserve">ŘO IOP přijal další opatření, která sníží riziko nedočerpání alokace pro oblast intervence 5.2 </w:t>
      </w:r>
      <w:r w:rsidRPr="00727BD4">
        <w:rPr>
          <w:i/>
          <w:sz w:val="22"/>
          <w:szCs w:val="22"/>
        </w:rPr>
        <w:t>Zlepšení prostředí v problémových sídlištích</w:t>
      </w:r>
      <w:r w:rsidRPr="00727BD4">
        <w:rPr>
          <w:sz w:val="22"/>
          <w:szCs w:val="22"/>
        </w:rPr>
        <w:t xml:space="preserve"> v návaznosti na </w:t>
      </w:r>
      <w:r>
        <w:rPr>
          <w:sz w:val="22"/>
          <w:szCs w:val="22"/>
        </w:rPr>
        <w:t>závazné stanovisko</w:t>
      </w:r>
      <w:r w:rsidRPr="00727BD4">
        <w:rPr>
          <w:sz w:val="22"/>
          <w:szCs w:val="22"/>
        </w:rPr>
        <w:t xml:space="preserve"> č. 9</w:t>
      </w:r>
      <w:r>
        <w:rPr>
          <w:sz w:val="22"/>
          <w:szCs w:val="22"/>
        </w:rPr>
        <w:t xml:space="preserve"> z roku 2013</w:t>
      </w:r>
      <w:r w:rsidRPr="00727BD4">
        <w:rPr>
          <w:sz w:val="22"/>
          <w:szCs w:val="22"/>
        </w:rPr>
        <w:t xml:space="preserve"> </w:t>
      </w:r>
      <w:r>
        <w:rPr>
          <w:sz w:val="22"/>
          <w:szCs w:val="22"/>
        </w:rPr>
        <w:br/>
      </w:r>
      <w:r w:rsidRPr="00727BD4">
        <w:rPr>
          <w:sz w:val="22"/>
          <w:szCs w:val="22"/>
        </w:rPr>
        <w:t xml:space="preserve">a </w:t>
      </w:r>
      <w:r>
        <w:rPr>
          <w:sz w:val="22"/>
          <w:szCs w:val="22"/>
        </w:rPr>
        <w:t xml:space="preserve">na </w:t>
      </w:r>
      <w:r w:rsidRPr="00727BD4">
        <w:rPr>
          <w:sz w:val="22"/>
          <w:szCs w:val="22"/>
        </w:rPr>
        <w:t xml:space="preserve">kurzovou změnu. </w:t>
      </w:r>
    </w:p>
    <w:p w:rsidR="00A75862" w:rsidRPr="00D76210" w:rsidRDefault="00A75862" w:rsidP="00D76210">
      <w:pPr>
        <w:pStyle w:val="Nadpis2"/>
        <w:rPr>
          <w:rFonts w:ascii="Times New Roman" w:hAnsi="Times New Roman"/>
          <w:i w:val="0"/>
        </w:rPr>
      </w:pPr>
      <w:bookmarkStart w:id="112" w:name="_Toc417024857"/>
      <w:r w:rsidRPr="009026D3">
        <w:rPr>
          <w:rFonts w:ascii="Times New Roman" w:hAnsi="Times New Roman"/>
          <w:i w:val="0"/>
        </w:rPr>
        <w:t>2.5 Případná podstatná změna podle čl. 57 Nařízení (ES) č. 1083/2006</w:t>
      </w:r>
      <w:bookmarkEnd w:id="112"/>
    </w:p>
    <w:p w:rsidR="00975D43" w:rsidRPr="00563BAF" w:rsidRDefault="00975D43" w:rsidP="00975D43">
      <w:pPr>
        <w:jc w:val="both"/>
        <w:rPr>
          <w:sz w:val="22"/>
          <w:szCs w:val="22"/>
        </w:rPr>
      </w:pPr>
      <w:r w:rsidRPr="00563BAF">
        <w:rPr>
          <w:sz w:val="22"/>
          <w:szCs w:val="22"/>
        </w:rPr>
        <w:t xml:space="preserve">Kapitola pojednává o případech, kde byla zjištěna podstatná změna podle čl. 57 Nařízení (ES) </w:t>
      </w:r>
      <w:r w:rsidR="005138C3">
        <w:rPr>
          <w:sz w:val="22"/>
          <w:szCs w:val="22"/>
        </w:rPr>
        <w:br/>
      </w:r>
      <w:r w:rsidRPr="00563BAF">
        <w:rPr>
          <w:sz w:val="22"/>
          <w:szCs w:val="22"/>
        </w:rPr>
        <w:t>č. 1083/2006 o udržitelnosti operací.</w:t>
      </w:r>
    </w:p>
    <w:p w:rsidR="00A52553" w:rsidRPr="00A52553" w:rsidRDefault="00975D43" w:rsidP="00A52553">
      <w:pPr>
        <w:jc w:val="both"/>
        <w:rPr>
          <w:sz w:val="22"/>
          <w:szCs w:val="22"/>
        </w:rPr>
      </w:pPr>
      <w:r w:rsidRPr="0015624C">
        <w:rPr>
          <w:sz w:val="22"/>
          <w:szCs w:val="22"/>
        </w:rPr>
        <w:t>V roce 201</w:t>
      </w:r>
      <w:r w:rsidR="008436D2">
        <w:rPr>
          <w:sz w:val="22"/>
          <w:szCs w:val="22"/>
        </w:rPr>
        <w:t>4</w:t>
      </w:r>
      <w:r w:rsidRPr="0015624C">
        <w:rPr>
          <w:sz w:val="22"/>
          <w:szCs w:val="22"/>
        </w:rPr>
        <w:t xml:space="preserve"> nebyly zaznamenány problémy s udržitelností projektů. Jakékoliv změny, ke kterým v průběhu realizace a udržitelnosti projektu má dojít, musí příjemce neprodleně písemně oznámit ŘO/ZS prostřednictvím formuláře Oznámení o změnách v projektu.</w:t>
      </w:r>
      <w:r w:rsidRPr="00563BAF">
        <w:rPr>
          <w:sz w:val="22"/>
          <w:szCs w:val="22"/>
        </w:rPr>
        <w:t xml:space="preserve">  </w:t>
      </w:r>
    </w:p>
    <w:p w:rsidR="00E766B3" w:rsidRPr="008D3F0C" w:rsidRDefault="00A75862" w:rsidP="008D3F0C">
      <w:pPr>
        <w:pStyle w:val="Nadpis2"/>
        <w:rPr>
          <w:rFonts w:ascii="Times New Roman" w:hAnsi="Times New Roman"/>
          <w:i w:val="0"/>
        </w:rPr>
      </w:pPr>
      <w:bookmarkStart w:id="113" w:name="_Toc417024858"/>
      <w:r w:rsidRPr="009026D3">
        <w:rPr>
          <w:rFonts w:ascii="Times New Roman" w:hAnsi="Times New Roman"/>
          <w:i w:val="0"/>
        </w:rPr>
        <w:t>2.6 Doplňkovost s jinými nástroji</w:t>
      </w:r>
      <w:bookmarkStart w:id="114" w:name="_Toc382407683"/>
      <w:bookmarkStart w:id="115" w:name="_Toc383084690"/>
      <w:bookmarkEnd w:id="113"/>
    </w:p>
    <w:p w:rsidR="00A75862" w:rsidRDefault="00A75862" w:rsidP="00EE0E1B">
      <w:pPr>
        <w:pStyle w:val="Nadpis3"/>
      </w:pPr>
      <w:bookmarkStart w:id="116" w:name="_Toc417024859"/>
      <w:r w:rsidRPr="009026D3">
        <w:t>2.6.1 Naplňování synergií</w:t>
      </w:r>
      <w:bookmarkEnd w:id="114"/>
      <w:bookmarkEnd w:id="115"/>
      <w:bookmarkEnd w:id="116"/>
    </w:p>
    <w:p w:rsidR="00A75862" w:rsidRPr="005E6CB6" w:rsidRDefault="00A75862" w:rsidP="00980ECD">
      <w:pPr>
        <w:autoSpaceDE w:val="0"/>
        <w:autoSpaceDN w:val="0"/>
        <w:adjustRightInd w:val="0"/>
        <w:jc w:val="both"/>
        <w:rPr>
          <w:sz w:val="22"/>
          <w:szCs w:val="22"/>
        </w:rPr>
      </w:pPr>
      <w:r w:rsidRPr="005E6CB6">
        <w:rPr>
          <w:bCs/>
          <w:sz w:val="22"/>
          <w:szCs w:val="22"/>
        </w:rPr>
        <w:t>Synergická vazba je</w:t>
      </w:r>
      <w:r>
        <w:rPr>
          <w:b/>
          <w:bCs/>
          <w:sz w:val="22"/>
          <w:szCs w:val="22"/>
        </w:rPr>
        <w:t xml:space="preserve"> </w:t>
      </w:r>
      <w:r w:rsidRPr="005E6CB6">
        <w:rPr>
          <w:sz w:val="22"/>
          <w:szCs w:val="22"/>
        </w:rPr>
        <w:t xml:space="preserve">věcná vazba mezi dvěma projekty předloženými ve dvou OP, jejichž působení </w:t>
      </w:r>
      <w:r w:rsidR="003A1DD4">
        <w:rPr>
          <w:sz w:val="22"/>
          <w:szCs w:val="22"/>
        </w:rPr>
        <w:t>má v</w:t>
      </w:r>
      <w:r w:rsidRPr="005E6CB6">
        <w:rPr>
          <w:sz w:val="22"/>
          <w:szCs w:val="22"/>
        </w:rPr>
        <w:t xml:space="preserve">yšší efekt ve srovnání </w:t>
      </w:r>
      <w:r>
        <w:rPr>
          <w:sz w:val="22"/>
          <w:szCs w:val="22"/>
        </w:rPr>
        <w:t>s e</w:t>
      </w:r>
      <w:r w:rsidRPr="005E6CB6">
        <w:rPr>
          <w:sz w:val="22"/>
          <w:szCs w:val="22"/>
        </w:rPr>
        <w:t>fekt</w:t>
      </w:r>
      <w:r>
        <w:rPr>
          <w:sz w:val="22"/>
          <w:szCs w:val="22"/>
        </w:rPr>
        <w:t>em</w:t>
      </w:r>
      <w:r w:rsidRPr="005E6CB6">
        <w:rPr>
          <w:sz w:val="22"/>
          <w:szCs w:val="22"/>
        </w:rPr>
        <w:t xml:space="preserve"> každého z projektů realizovaného odděleně.</w:t>
      </w:r>
    </w:p>
    <w:p w:rsidR="00D720AD" w:rsidRDefault="00D720AD" w:rsidP="00980ECD">
      <w:pPr>
        <w:rPr>
          <w:sz w:val="22"/>
          <w:szCs w:val="22"/>
        </w:rPr>
      </w:pPr>
    </w:p>
    <w:p w:rsidR="00A75862" w:rsidRDefault="00D720AD" w:rsidP="00980ECD">
      <w:pPr>
        <w:jc w:val="both"/>
        <w:rPr>
          <w:b/>
          <w:sz w:val="22"/>
          <w:szCs w:val="22"/>
        </w:rPr>
      </w:pPr>
      <w:r w:rsidRPr="00C935AE">
        <w:rPr>
          <w:b/>
          <w:sz w:val="22"/>
          <w:szCs w:val="22"/>
        </w:rPr>
        <w:t>2.6.1.</w:t>
      </w:r>
      <w:r w:rsidR="00DD04F3">
        <w:rPr>
          <w:b/>
          <w:sz w:val="22"/>
          <w:szCs w:val="22"/>
        </w:rPr>
        <w:t>1</w:t>
      </w:r>
      <w:r w:rsidRPr="00C935AE">
        <w:rPr>
          <w:b/>
          <w:sz w:val="22"/>
          <w:szCs w:val="22"/>
        </w:rPr>
        <w:t xml:space="preserve"> Synergické vazby podle </w:t>
      </w:r>
      <w:r>
        <w:rPr>
          <w:b/>
          <w:sz w:val="22"/>
          <w:szCs w:val="22"/>
        </w:rPr>
        <w:t xml:space="preserve">tematických </w:t>
      </w:r>
      <w:r w:rsidRPr="00C935AE">
        <w:rPr>
          <w:b/>
          <w:sz w:val="22"/>
          <w:szCs w:val="22"/>
        </w:rPr>
        <w:t xml:space="preserve">oblastí </w:t>
      </w:r>
    </w:p>
    <w:p w:rsidR="00A75862" w:rsidRDefault="00A75862" w:rsidP="00980ECD">
      <w:pPr>
        <w:jc w:val="both"/>
        <w:rPr>
          <w:sz w:val="22"/>
          <w:szCs w:val="22"/>
        </w:rPr>
      </w:pPr>
      <w:r w:rsidRPr="00AC53BB">
        <w:rPr>
          <w:sz w:val="22"/>
          <w:szCs w:val="22"/>
        </w:rPr>
        <w:t>Na základě projektu realizovaného NOK „Zajištění synergických vazeb mezi operačními programy</w:t>
      </w:r>
      <w:r>
        <w:rPr>
          <w:sz w:val="22"/>
          <w:szCs w:val="22"/>
        </w:rPr>
        <w:t xml:space="preserve"> </w:t>
      </w:r>
      <w:r w:rsidR="005138C3">
        <w:rPr>
          <w:sz w:val="22"/>
          <w:szCs w:val="22"/>
        </w:rPr>
        <w:br/>
      </w:r>
      <w:r w:rsidRPr="00AC53BB">
        <w:rPr>
          <w:sz w:val="22"/>
          <w:szCs w:val="22"/>
        </w:rPr>
        <w:t>v</w:t>
      </w:r>
      <w:r>
        <w:rPr>
          <w:sz w:val="22"/>
          <w:szCs w:val="22"/>
        </w:rPr>
        <w:t xml:space="preserve"> </w:t>
      </w:r>
      <w:r w:rsidRPr="00AC53BB">
        <w:rPr>
          <w:sz w:val="22"/>
          <w:szCs w:val="22"/>
        </w:rPr>
        <w:t>programovacím období 2007-2013“ a na základě konzultací s ŘO byly identifikovány operační</w:t>
      </w:r>
      <w:r>
        <w:rPr>
          <w:sz w:val="22"/>
          <w:szCs w:val="22"/>
        </w:rPr>
        <w:t xml:space="preserve"> </w:t>
      </w:r>
      <w:r w:rsidRPr="00AC53BB">
        <w:rPr>
          <w:sz w:val="22"/>
          <w:szCs w:val="22"/>
        </w:rPr>
        <w:t>programy</w:t>
      </w:r>
      <w:r>
        <w:rPr>
          <w:sz w:val="22"/>
          <w:szCs w:val="22"/>
        </w:rPr>
        <w:t xml:space="preserve"> a </w:t>
      </w:r>
      <w:r w:rsidRPr="00AC53BB">
        <w:rPr>
          <w:sz w:val="22"/>
          <w:szCs w:val="22"/>
        </w:rPr>
        <w:t xml:space="preserve">oblasti podpory, které typem podporovaných aktivit tvoří </w:t>
      </w:r>
      <w:r w:rsidRPr="00A93AD2">
        <w:rPr>
          <w:bCs/>
          <w:sz w:val="22"/>
          <w:szCs w:val="22"/>
        </w:rPr>
        <w:t>synergické vazby</w:t>
      </w:r>
      <w:r>
        <w:rPr>
          <w:bCs/>
          <w:sz w:val="22"/>
          <w:szCs w:val="22"/>
        </w:rPr>
        <w:t>,</w:t>
      </w:r>
      <w:r w:rsidRPr="00A93AD2">
        <w:rPr>
          <w:bCs/>
          <w:sz w:val="22"/>
          <w:szCs w:val="22"/>
        </w:rPr>
        <w:t xml:space="preserve"> </w:t>
      </w:r>
      <w:r w:rsidRPr="00A93AD2">
        <w:rPr>
          <w:sz w:val="22"/>
          <w:szCs w:val="22"/>
        </w:rPr>
        <w:t>a</w:t>
      </w:r>
      <w:r w:rsidRPr="00AC53BB">
        <w:rPr>
          <w:sz w:val="22"/>
          <w:szCs w:val="22"/>
        </w:rPr>
        <w:t xml:space="preserve"> byly</w:t>
      </w:r>
      <w:r>
        <w:rPr>
          <w:sz w:val="22"/>
          <w:szCs w:val="22"/>
        </w:rPr>
        <w:t xml:space="preserve"> rozděleny do te</w:t>
      </w:r>
      <w:r w:rsidRPr="00AC53BB">
        <w:rPr>
          <w:sz w:val="22"/>
          <w:szCs w:val="22"/>
        </w:rPr>
        <w:t>matických oblastí.</w:t>
      </w:r>
    </w:p>
    <w:p w:rsidR="00A75862" w:rsidRDefault="00A75862" w:rsidP="00980ECD">
      <w:pPr>
        <w:jc w:val="both"/>
        <w:rPr>
          <w:sz w:val="22"/>
          <w:szCs w:val="22"/>
        </w:rPr>
      </w:pPr>
    </w:p>
    <w:p w:rsidR="00A75862" w:rsidRDefault="00A75862" w:rsidP="00980ECD">
      <w:pPr>
        <w:jc w:val="both"/>
        <w:rPr>
          <w:sz w:val="22"/>
          <w:szCs w:val="22"/>
        </w:rPr>
      </w:pPr>
      <w:r>
        <w:rPr>
          <w:sz w:val="22"/>
          <w:szCs w:val="22"/>
        </w:rPr>
        <w:t>V IOP lze sledovat t</w:t>
      </w:r>
      <w:r w:rsidR="0071345A">
        <w:rPr>
          <w:sz w:val="22"/>
          <w:szCs w:val="22"/>
        </w:rPr>
        <w:t>e</w:t>
      </w:r>
      <w:r>
        <w:rPr>
          <w:sz w:val="22"/>
          <w:szCs w:val="22"/>
        </w:rPr>
        <w:t>matické oblasti:</w:t>
      </w:r>
    </w:p>
    <w:p w:rsidR="00A75862" w:rsidRDefault="00A75862" w:rsidP="00980ECD">
      <w:pPr>
        <w:jc w:val="both"/>
        <w:rPr>
          <w:sz w:val="22"/>
          <w:szCs w:val="22"/>
        </w:rPr>
      </w:pPr>
    </w:p>
    <w:p w:rsidR="00597E78" w:rsidRPr="00EE0E1B" w:rsidRDefault="00A75862" w:rsidP="00EE0E1B">
      <w:pPr>
        <w:numPr>
          <w:ilvl w:val="0"/>
          <w:numId w:val="9"/>
        </w:numPr>
        <w:spacing w:before="60"/>
        <w:ind w:left="714" w:hanging="357"/>
        <w:jc w:val="both"/>
        <w:rPr>
          <w:sz w:val="22"/>
          <w:szCs w:val="22"/>
        </w:rPr>
      </w:pPr>
      <w:r w:rsidRPr="000154D3">
        <w:rPr>
          <w:b/>
          <w:i/>
          <w:sz w:val="22"/>
          <w:szCs w:val="22"/>
        </w:rPr>
        <w:t xml:space="preserve">Smart </w:t>
      </w:r>
      <w:proofErr w:type="spellStart"/>
      <w:r w:rsidRPr="000154D3">
        <w:rPr>
          <w:b/>
          <w:i/>
          <w:sz w:val="22"/>
          <w:szCs w:val="22"/>
        </w:rPr>
        <w:t>Administration</w:t>
      </w:r>
      <w:proofErr w:type="spellEnd"/>
      <w:r w:rsidRPr="000154D3">
        <w:rPr>
          <w:b/>
          <w:sz w:val="22"/>
          <w:szCs w:val="22"/>
        </w:rPr>
        <w:t xml:space="preserve"> </w:t>
      </w:r>
      <w:r w:rsidRPr="0010303F">
        <w:rPr>
          <w:sz w:val="22"/>
          <w:szCs w:val="22"/>
        </w:rPr>
        <w:t xml:space="preserve">(IOP </w:t>
      </w:r>
      <w:r>
        <w:rPr>
          <w:sz w:val="22"/>
          <w:szCs w:val="22"/>
        </w:rPr>
        <w:t>-</w:t>
      </w:r>
      <w:r w:rsidRPr="0010303F">
        <w:rPr>
          <w:sz w:val="22"/>
          <w:szCs w:val="22"/>
        </w:rPr>
        <w:t xml:space="preserve"> OP LZZ)</w:t>
      </w:r>
    </w:p>
    <w:p w:rsidR="000C5269" w:rsidRPr="008C4750" w:rsidRDefault="005A1F0B" w:rsidP="008C4750">
      <w:pPr>
        <w:jc w:val="both"/>
        <w:rPr>
          <w:sz w:val="22"/>
          <w:szCs w:val="22"/>
        </w:rPr>
      </w:pPr>
      <w:r w:rsidRPr="008C4750">
        <w:rPr>
          <w:sz w:val="22"/>
          <w:szCs w:val="22"/>
        </w:rPr>
        <w:t xml:space="preserve">K synergii dochází s projekty v oblasti podpory 4.1 Operačního programu Lidské zdroje </w:t>
      </w:r>
      <w:r w:rsidR="005138C3">
        <w:rPr>
          <w:sz w:val="22"/>
          <w:szCs w:val="22"/>
        </w:rPr>
        <w:br/>
      </w:r>
      <w:r w:rsidRPr="008C4750">
        <w:rPr>
          <w:sz w:val="22"/>
          <w:szCs w:val="22"/>
        </w:rPr>
        <w:t xml:space="preserve">a zaměstnanost, nicméně tyto vazby nejsou oficiálně zakotveny. Systém koordinace budování Smart </w:t>
      </w:r>
      <w:proofErr w:type="spellStart"/>
      <w:r w:rsidRPr="008C4750">
        <w:rPr>
          <w:sz w:val="22"/>
          <w:szCs w:val="22"/>
        </w:rPr>
        <w:t>Administration</w:t>
      </w:r>
      <w:proofErr w:type="spellEnd"/>
      <w:r w:rsidRPr="008C4750">
        <w:rPr>
          <w:sz w:val="22"/>
          <w:szCs w:val="22"/>
        </w:rPr>
        <w:t xml:space="preserve"> v návaznosti na IOP a OP LZZ byl vyřešen tak, že administrací příslušných částí operačních programů byl pověřen jeden zprostředkující subjekt, podléhající dvou různým Řídicím orgánům, zde ŘO IOP (</w:t>
      </w:r>
      <w:r w:rsidR="00162492">
        <w:rPr>
          <w:sz w:val="22"/>
          <w:szCs w:val="22"/>
        </w:rPr>
        <w:t>MMR ČR</w:t>
      </w:r>
      <w:r w:rsidRPr="008C4750">
        <w:rPr>
          <w:sz w:val="22"/>
          <w:szCs w:val="22"/>
        </w:rPr>
        <w:t>) a ŘO OPLZZ (</w:t>
      </w:r>
      <w:r w:rsidR="004D3410">
        <w:rPr>
          <w:sz w:val="22"/>
          <w:szCs w:val="22"/>
        </w:rPr>
        <w:t>MPSV ČR</w:t>
      </w:r>
      <w:r w:rsidRPr="008C4750">
        <w:rPr>
          <w:sz w:val="22"/>
          <w:szCs w:val="22"/>
        </w:rPr>
        <w:t xml:space="preserve">). </w:t>
      </w:r>
    </w:p>
    <w:p w:rsidR="00A75862" w:rsidRPr="00C301F6" w:rsidRDefault="00A75862" w:rsidP="00C301F6">
      <w:pPr>
        <w:jc w:val="both"/>
        <w:rPr>
          <w:sz w:val="22"/>
          <w:szCs w:val="22"/>
          <w:lang w:eastAsia="en-US"/>
        </w:rPr>
      </w:pPr>
    </w:p>
    <w:p w:rsidR="00A75862" w:rsidRDefault="00A75862" w:rsidP="00D13725">
      <w:pPr>
        <w:jc w:val="both"/>
        <w:rPr>
          <w:sz w:val="22"/>
          <w:szCs w:val="22"/>
        </w:rPr>
      </w:pPr>
      <w:r>
        <w:rPr>
          <w:sz w:val="22"/>
          <w:szCs w:val="22"/>
        </w:rPr>
        <w:t xml:space="preserve">V </w:t>
      </w:r>
      <w:proofErr w:type="gramStart"/>
      <w:r w:rsidRPr="00ED27ED">
        <w:rPr>
          <w:sz w:val="22"/>
          <w:szCs w:val="22"/>
        </w:rPr>
        <w:t>OP</w:t>
      </w:r>
      <w:proofErr w:type="gramEnd"/>
      <w:r w:rsidRPr="00ED27ED">
        <w:rPr>
          <w:sz w:val="22"/>
          <w:szCs w:val="22"/>
        </w:rPr>
        <w:t xml:space="preserve"> LZZ</w:t>
      </w:r>
      <w:r>
        <w:rPr>
          <w:sz w:val="22"/>
          <w:szCs w:val="22"/>
        </w:rPr>
        <w:t xml:space="preserve"> jsou realizovány dva projekty</w:t>
      </w:r>
      <w:r w:rsidR="0071345A">
        <w:rPr>
          <w:sz w:val="22"/>
          <w:szCs w:val="22"/>
        </w:rPr>
        <w:t>.</w:t>
      </w:r>
      <w:r>
        <w:rPr>
          <w:sz w:val="22"/>
          <w:szCs w:val="22"/>
        </w:rPr>
        <w:t xml:space="preserve">  </w:t>
      </w:r>
    </w:p>
    <w:p w:rsidR="00A75862" w:rsidRDefault="00A75862" w:rsidP="00D13725">
      <w:pPr>
        <w:jc w:val="both"/>
        <w:rPr>
          <w:sz w:val="22"/>
          <w:szCs w:val="22"/>
        </w:rPr>
      </w:pPr>
      <w:r>
        <w:rPr>
          <w:sz w:val="22"/>
          <w:szCs w:val="22"/>
        </w:rPr>
        <w:t>Projekt zaměřený na p</w:t>
      </w:r>
      <w:r w:rsidRPr="00ED27ED">
        <w:rPr>
          <w:sz w:val="22"/>
          <w:szCs w:val="22"/>
        </w:rPr>
        <w:t>ersonální zajištění procesů vytěžení informací pro vytváření a konsolidaci kmenových evidencí pojištěnců a jejich individuálních kont v návaznosti na základní registry veřejné správy - 1. část.</w:t>
      </w:r>
    </w:p>
    <w:p w:rsidR="00A75862" w:rsidRPr="00ED27ED" w:rsidRDefault="00A75862" w:rsidP="00D13725">
      <w:pPr>
        <w:jc w:val="both"/>
        <w:rPr>
          <w:sz w:val="22"/>
          <w:szCs w:val="22"/>
        </w:rPr>
      </w:pPr>
      <w:r>
        <w:rPr>
          <w:sz w:val="22"/>
          <w:szCs w:val="22"/>
        </w:rPr>
        <w:t>Projekt zaměřený na p</w:t>
      </w:r>
      <w:r w:rsidRPr="00ED27ED">
        <w:rPr>
          <w:sz w:val="22"/>
          <w:szCs w:val="22"/>
        </w:rPr>
        <w:t>ersonální zajištění procesů vytěžení informací pro vytváření a konsolidaci kmenových evidencí pojištěnců a jejich individuálních kont v návaznosti na základní registry veřejné správy - 2. část.</w:t>
      </w:r>
    </w:p>
    <w:p w:rsidR="00A75862" w:rsidRPr="008D3F0C" w:rsidRDefault="00A75862" w:rsidP="001E0F27">
      <w:pPr>
        <w:jc w:val="both"/>
        <w:rPr>
          <w:sz w:val="22"/>
          <w:szCs w:val="22"/>
        </w:rPr>
      </w:pPr>
      <w:r>
        <w:rPr>
          <w:sz w:val="22"/>
          <w:szCs w:val="22"/>
        </w:rPr>
        <w:t>V </w:t>
      </w:r>
      <w:r w:rsidRPr="00ED27ED">
        <w:rPr>
          <w:sz w:val="22"/>
          <w:szCs w:val="22"/>
        </w:rPr>
        <w:t>IOP</w:t>
      </w:r>
      <w:r>
        <w:rPr>
          <w:sz w:val="22"/>
          <w:szCs w:val="22"/>
        </w:rPr>
        <w:t xml:space="preserve"> je realizován projekt</w:t>
      </w:r>
      <w:r w:rsidR="003A1DD4">
        <w:rPr>
          <w:sz w:val="22"/>
          <w:szCs w:val="22"/>
        </w:rPr>
        <w:t xml:space="preserve"> </w:t>
      </w:r>
      <w:r>
        <w:rPr>
          <w:sz w:val="22"/>
          <w:szCs w:val="22"/>
        </w:rPr>
        <w:t>zaměřený na v</w:t>
      </w:r>
      <w:r w:rsidRPr="00ED27ED">
        <w:rPr>
          <w:sz w:val="22"/>
          <w:szCs w:val="22"/>
        </w:rPr>
        <w:t xml:space="preserve">ytvoření informačního a komunikačního rozhraní ČSSZ </w:t>
      </w:r>
      <w:r w:rsidR="00081BCF">
        <w:rPr>
          <w:sz w:val="22"/>
          <w:szCs w:val="22"/>
        </w:rPr>
        <w:br/>
      </w:r>
      <w:r w:rsidRPr="00ED27ED">
        <w:rPr>
          <w:sz w:val="22"/>
          <w:szCs w:val="22"/>
        </w:rPr>
        <w:t>za účelem poskytování informací klientům.</w:t>
      </w:r>
    </w:p>
    <w:p w:rsidR="00F42864" w:rsidRDefault="00F42864" w:rsidP="001E0F27">
      <w:pPr>
        <w:jc w:val="both"/>
        <w:rPr>
          <w:b/>
          <w:sz w:val="22"/>
          <w:szCs w:val="22"/>
        </w:rPr>
      </w:pPr>
    </w:p>
    <w:p w:rsidR="00A75862" w:rsidRPr="00EE0E1B" w:rsidRDefault="005A1F0B" w:rsidP="001E0F27">
      <w:pPr>
        <w:numPr>
          <w:ilvl w:val="0"/>
          <w:numId w:val="9"/>
        </w:numPr>
        <w:spacing w:before="60"/>
        <w:ind w:left="714" w:hanging="357"/>
        <w:jc w:val="both"/>
        <w:rPr>
          <w:sz w:val="22"/>
          <w:szCs w:val="22"/>
        </w:rPr>
      </w:pPr>
      <w:r w:rsidRPr="008C4750">
        <w:rPr>
          <w:b/>
          <w:i/>
          <w:sz w:val="22"/>
          <w:szCs w:val="22"/>
        </w:rPr>
        <w:t>Romská problematika</w:t>
      </w:r>
      <w:r w:rsidRPr="008C4750">
        <w:rPr>
          <w:sz w:val="22"/>
          <w:szCs w:val="22"/>
        </w:rPr>
        <w:t xml:space="preserve"> (IOP - OP LZZ, OP VK),</w:t>
      </w:r>
    </w:p>
    <w:p w:rsidR="00A52553" w:rsidRDefault="005A1F0B" w:rsidP="001E0F27">
      <w:pPr>
        <w:jc w:val="both"/>
        <w:rPr>
          <w:sz w:val="22"/>
          <w:szCs w:val="22"/>
        </w:rPr>
      </w:pPr>
      <w:r w:rsidRPr="008C4750">
        <w:rPr>
          <w:sz w:val="22"/>
          <w:szCs w:val="22"/>
        </w:rPr>
        <w:t>Jedná se o projekty realizované v rámci IPRM v IOP. IPRM v IOP jsou primárně zaměřené na regenerace bytových domů a revitalizace veřejných prostranství (IOP 5.2), nicméně mohou být doplněny o projekty financované z jiných operačních programů.</w:t>
      </w:r>
    </w:p>
    <w:p w:rsidR="00A75862" w:rsidRDefault="005A1F0B" w:rsidP="00A52553">
      <w:pPr>
        <w:jc w:val="both"/>
        <w:rPr>
          <w:sz w:val="22"/>
          <w:szCs w:val="22"/>
        </w:rPr>
      </w:pPr>
      <w:r w:rsidRPr="008C4750">
        <w:rPr>
          <w:sz w:val="22"/>
          <w:szCs w:val="22"/>
        </w:rPr>
        <w:lastRenderedPageBreak/>
        <w:t xml:space="preserve">Tyto projekty jsou bodově zvýhodněny desetiprocentní bonifikací. Informace jsou k dispozici </w:t>
      </w:r>
      <w:r w:rsidR="00A52553">
        <w:rPr>
          <w:sz w:val="22"/>
          <w:szCs w:val="22"/>
        </w:rPr>
        <w:br/>
      </w:r>
      <w:r w:rsidRPr="008C4750">
        <w:rPr>
          <w:sz w:val="22"/>
          <w:szCs w:val="22"/>
        </w:rPr>
        <w:t>v systému MSC2007, podrobnější jsou součástí jednotlivých IPRM. Seznamy schválených projektů jsou součástí ročních monitorovacích zpráv o pokroku IPRM. V aktivitě 5.2c) je povinnost synergické vazby na projekt 3.1b IOP nebo 3.2 OPLZZ přímo zakomponována do Programového dokumentu.</w:t>
      </w:r>
    </w:p>
    <w:p w:rsidR="00A52553" w:rsidRPr="00A52553" w:rsidRDefault="00A52553" w:rsidP="00A52553">
      <w:pPr>
        <w:jc w:val="both"/>
        <w:rPr>
          <w:sz w:val="22"/>
          <w:szCs w:val="22"/>
        </w:rPr>
      </w:pPr>
    </w:p>
    <w:p w:rsidR="001C66E6" w:rsidRPr="00EE0E1B" w:rsidRDefault="001C66E6" w:rsidP="001C66E6">
      <w:pPr>
        <w:numPr>
          <w:ilvl w:val="0"/>
          <w:numId w:val="9"/>
        </w:numPr>
        <w:spacing w:before="60"/>
        <w:ind w:left="714" w:hanging="357"/>
        <w:jc w:val="both"/>
        <w:rPr>
          <w:b/>
          <w:bCs/>
          <w:i/>
          <w:sz w:val="22"/>
          <w:szCs w:val="22"/>
        </w:rPr>
      </w:pPr>
      <w:r w:rsidRPr="001C66E6">
        <w:rPr>
          <w:b/>
          <w:bCs/>
          <w:i/>
          <w:sz w:val="22"/>
          <w:szCs w:val="22"/>
        </w:rPr>
        <w:t xml:space="preserve">Zvýšení kvality a dostupnosti veřejných služeb </w:t>
      </w:r>
      <w:r w:rsidRPr="002F3365">
        <w:rPr>
          <w:bCs/>
          <w:sz w:val="22"/>
          <w:szCs w:val="22"/>
        </w:rPr>
        <w:t>(IOP - OP LZZ)</w:t>
      </w:r>
      <w:r w:rsidRPr="00EE0E1B">
        <w:rPr>
          <w:sz w:val="22"/>
          <w:szCs w:val="22"/>
        </w:rPr>
        <w:t> </w:t>
      </w:r>
    </w:p>
    <w:p w:rsidR="001C66E6" w:rsidRPr="001C66E6" w:rsidRDefault="001C66E6" w:rsidP="001C66E6">
      <w:pPr>
        <w:jc w:val="both"/>
      </w:pPr>
      <w:r w:rsidRPr="001C66E6">
        <w:rPr>
          <w:sz w:val="22"/>
          <w:szCs w:val="22"/>
        </w:rPr>
        <w:t>Projekty oblasti intervence 3.1 IOP mají synergické vazby na oblasti podpory/intervence programu OP LZZ a IOP, jedná se o synergii A) v zaměření podpory, B) s podpůrnými projekty.</w:t>
      </w:r>
    </w:p>
    <w:p w:rsidR="001C66E6" w:rsidRDefault="001C66E6" w:rsidP="001C66E6">
      <w:pPr>
        <w:jc w:val="both"/>
        <w:rPr>
          <w:sz w:val="22"/>
          <w:szCs w:val="22"/>
        </w:rPr>
      </w:pPr>
      <w:r w:rsidRPr="001C66E6">
        <w:rPr>
          <w:sz w:val="22"/>
          <w:szCs w:val="22"/>
        </w:rPr>
        <w:t> </w:t>
      </w:r>
    </w:p>
    <w:p w:rsidR="00EE0E1B" w:rsidRPr="00410366" w:rsidRDefault="001C66E6" w:rsidP="00410366">
      <w:pPr>
        <w:pStyle w:val="Odstavecseseznamem"/>
        <w:numPr>
          <w:ilvl w:val="0"/>
          <w:numId w:val="52"/>
        </w:numPr>
        <w:jc w:val="both"/>
        <w:rPr>
          <w:sz w:val="22"/>
          <w:szCs w:val="22"/>
        </w:rPr>
      </w:pPr>
      <w:r w:rsidRPr="00410366">
        <w:rPr>
          <w:sz w:val="22"/>
          <w:szCs w:val="22"/>
        </w:rPr>
        <w:t xml:space="preserve">Synergie v zaměření podpory: </w:t>
      </w:r>
    </w:p>
    <w:p w:rsidR="00410366" w:rsidRPr="00410366" w:rsidRDefault="00410366" w:rsidP="00410366">
      <w:pPr>
        <w:pStyle w:val="Odstavecseseznamem"/>
        <w:jc w:val="both"/>
        <w:rPr>
          <w:sz w:val="22"/>
          <w:szCs w:val="22"/>
        </w:rPr>
      </w:pPr>
    </w:p>
    <w:p w:rsidR="001C66E6" w:rsidRPr="001C66E6" w:rsidRDefault="001C66E6" w:rsidP="001C66E6">
      <w:pPr>
        <w:jc w:val="both"/>
      </w:pPr>
      <w:r w:rsidRPr="001C66E6">
        <w:rPr>
          <w:sz w:val="22"/>
          <w:szCs w:val="22"/>
        </w:rPr>
        <w:t> </w:t>
      </w:r>
      <w:r w:rsidRPr="009026D3">
        <w:rPr>
          <w:sz w:val="22"/>
          <w:szCs w:val="22"/>
        </w:rPr>
        <w:t xml:space="preserve">1. a 8. výzva oblasti intervence 3.1, aktivita c) </w:t>
      </w:r>
    </w:p>
    <w:p w:rsidR="00B6297F" w:rsidRDefault="00B6297F" w:rsidP="001C66E6">
      <w:pPr>
        <w:jc w:val="both"/>
        <w:rPr>
          <w:i/>
          <w:iCs/>
          <w:sz w:val="22"/>
          <w:szCs w:val="22"/>
          <w:u w:val="single"/>
        </w:rPr>
      </w:pPr>
    </w:p>
    <w:p w:rsidR="001C66E6" w:rsidRPr="001C66E6" w:rsidRDefault="001C66E6" w:rsidP="001C66E6">
      <w:pPr>
        <w:jc w:val="both"/>
      </w:pPr>
      <w:r w:rsidRPr="009026D3">
        <w:rPr>
          <w:i/>
          <w:iCs/>
          <w:sz w:val="22"/>
          <w:szCs w:val="22"/>
          <w:u w:val="single"/>
        </w:rPr>
        <w:t>Synergie - výzva č. 30 OP LZZ</w:t>
      </w:r>
      <w:r w:rsidRPr="009026D3">
        <w:rPr>
          <w:sz w:val="22"/>
          <w:szCs w:val="22"/>
        </w:rPr>
        <w:t xml:space="preserve"> (Globální grant CZ.1.04/3.1.6 Sociální ekonomika, oblast podpory 3.1).   </w:t>
      </w:r>
    </w:p>
    <w:p w:rsidR="001C66E6" w:rsidRPr="0026630A" w:rsidRDefault="001C66E6" w:rsidP="001C66E6">
      <w:pPr>
        <w:jc w:val="both"/>
      </w:pPr>
      <w:r w:rsidRPr="009026D3">
        <w:rPr>
          <w:sz w:val="22"/>
          <w:szCs w:val="22"/>
        </w:rPr>
        <w:t xml:space="preserve">Žadatel může podat žádosti o podporu na financování jediného (společného) podnikatelského plánu </w:t>
      </w:r>
      <w:r w:rsidR="00911229">
        <w:rPr>
          <w:sz w:val="22"/>
          <w:szCs w:val="22"/>
        </w:rPr>
        <w:br/>
      </w:r>
      <w:r w:rsidRPr="009026D3">
        <w:rPr>
          <w:sz w:val="22"/>
          <w:szCs w:val="22"/>
        </w:rPr>
        <w:t>do dvou programů (investiční aktivity – financováno z IOP, neinvestiční aktivity – financováno z </w:t>
      </w:r>
      <w:proofErr w:type="gramStart"/>
      <w:r w:rsidRPr="009026D3">
        <w:rPr>
          <w:sz w:val="22"/>
          <w:szCs w:val="22"/>
        </w:rPr>
        <w:t>OP</w:t>
      </w:r>
      <w:proofErr w:type="gramEnd"/>
      <w:r w:rsidRPr="009026D3">
        <w:rPr>
          <w:sz w:val="22"/>
          <w:szCs w:val="22"/>
        </w:rPr>
        <w:t xml:space="preserve"> LZZ). </w:t>
      </w:r>
    </w:p>
    <w:p w:rsidR="001C66E6" w:rsidRPr="001C66E6" w:rsidRDefault="001C66E6" w:rsidP="001C66E6">
      <w:pPr>
        <w:jc w:val="both"/>
      </w:pPr>
      <w:r w:rsidRPr="009026D3">
        <w:rPr>
          <w:color w:val="000000"/>
          <w:sz w:val="22"/>
          <w:szCs w:val="22"/>
        </w:rPr>
        <w:t> </w:t>
      </w:r>
    </w:p>
    <w:p w:rsidR="001C66E6" w:rsidRPr="001C66E6" w:rsidRDefault="001C66E6" w:rsidP="001C66E6">
      <w:pPr>
        <w:jc w:val="both"/>
      </w:pPr>
      <w:r w:rsidRPr="009026D3">
        <w:rPr>
          <w:color w:val="000000"/>
          <w:sz w:val="22"/>
          <w:szCs w:val="22"/>
        </w:rPr>
        <w:t xml:space="preserve">3. a 6. výzva, OI 3.1 aktivita b) </w:t>
      </w:r>
    </w:p>
    <w:p w:rsidR="001C66E6" w:rsidRPr="001C66E6" w:rsidRDefault="001C66E6" w:rsidP="001C66E6">
      <w:pPr>
        <w:jc w:val="both"/>
      </w:pPr>
      <w:r w:rsidRPr="009026D3">
        <w:rPr>
          <w:i/>
          <w:iCs/>
          <w:color w:val="000000"/>
          <w:sz w:val="22"/>
          <w:szCs w:val="22"/>
          <w:u w:val="single"/>
        </w:rPr>
        <w:t>Synergie - výzva č. 55 OP LZZ</w:t>
      </w:r>
      <w:r w:rsidRPr="009026D3">
        <w:rPr>
          <w:color w:val="000000"/>
          <w:sz w:val="22"/>
          <w:szCs w:val="22"/>
        </w:rPr>
        <w:t xml:space="preserve"> (oblast podpory 3.2 Podpora sociální integrace příslušníků romských lokalit) pro žadatele z řad obcí.</w:t>
      </w:r>
    </w:p>
    <w:p w:rsidR="001C66E6" w:rsidRPr="001C66E6" w:rsidRDefault="001C66E6" w:rsidP="001C66E6">
      <w:pPr>
        <w:jc w:val="both"/>
      </w:pPr>
      <w:r w:rsidRPr="001C66E6">
        <w:rPr>
          <w:color w:val="000000"/>
          <w:sz w:val="22"/>
          <w:szCs w:val="22"/>
        </w:rPr>
        <w:t> </w:t>
      </w:r>
    </w:p>
    <w:p w:rsidR="001C66E6" w:rsidRPr="001C66E6" w:rsidRDefault="001C66E6" w:rsidP="001C66E6">
      <w:pPr>
        <w:jc w:val="both"/>
      </w:pPr>
      <w:r w:rsidRPr="009026D3">
        <w:rPr>
          <w:color w:val="000000"/>
          <w:sz w:val="22"/>
          <w:szCs w:val="22"/>
        </w:rPr>
        <w:t>Do této výzvy mohou být podány pouze projekty, realizované obcemi ve vybraných sociálních lokalitách v návaznosti na zaměření podpory oblasti intervence 3.1 b IOP.</w:t>
      </w:r>
    </w:p>
    <w:p w:rsidR="001C66E6" w:rsidRPr="001C66E6" w:rsidRDefault="001C66E6" w:rsidP="001C66E6">
      <w:pPr>
        <w:jc w:val="both"/>
      </w:pPr>
      <w:r w:rsidRPr="001C66E6">
        <w:rPr>
          <w:color w:val="000000"/>
          <w:sz w:val="22"/>
          <w:szCs w:val="22"/>
        </w:rPr>
        <w:t> </w:t>
      </w:r>
    </w:p>
    <w:p w:rsidR="001C66E6" w:rsidRPr="001C66E6" w:rsidRDefault="001C66E6" w:rsidP="001C66E6">
      <w:pPr>
        <w:jc w:val="both"/>
      </w:pPr>
      <w:r w:rsidRPr="001C66E6">
        <w:rPr>
          <w:i/>
          <w:iCs/>
          <w:color w:val="000000"/>
          <w:sz w:val="22"/>
          <w:szCs w:val="22"/>
          <w:u w:val="single"/>
        </w:rPr>
        <w:t>Synergie - výzva č. 19 a A8 OP LZZ</w:t>
      </w:r>
      <w:r w:rsidRPr="001C66E6">
        <w:rPr>
          <w:color w:val="000000"/>
          <w:sz w:val="22"/>
          <w:szCs w:val="22"/>
        </w:rPr>
        <w:t xml:space="preserve"> (oblast podpory 3.2 Podpora sociální integrace příslušníků romských lokalit (Globální grant CZ.1.04/3.2.1 Podpora sociální integrace příslušníků romských lokalit), pro žadatele zejména z řad neziskových organizací. Výzva č. 19 nemá přímou vazbu na IOP </w:t>
      </w:r>
      <w:r w:rsidR="005138C3">
        <w:rPr>
          <w:color w:val="000000"/>
          <w:sz w:val="22"/>
          <w:szCs w:val="22"/>
        </w:rPr>
        <w:br/>
      </w:r>
      <w:r w:rsidRPr="001C66E6">
        <w:rPr>
          <w:color w:val="000000"/>
          <w:sz w:val="22"/>
          <w:szCs w:val="22"/>
        </w:rPr>
        <w:t>a podporuje i organizace, které do IOP nežádali. Výzva A8 má oproti tomu přímou vazbu a byla zaměřena pouze na organizace, které byly z IOP podpořeny.</w:t>
      </w:r>
    </w:p>
    <w:p w:rsidR="001C66E6" w:rsidRPr="001C66E6" w:rsidRDefault="001C66E6" w:rsidP="001C66E6">
      <w:pPr>
        <w:jc w:val="both"/>
      </w:pPr>
      <w:r w:rsidRPr="001C66E6">
        <w:rPr>
          <w:color w:val="000000"/>
          <w:sz w:val="22"/>
          <w:szCs w:val="22"/>
        </w:rPr>
        <w:t> </w:t>
      </w:r>
    </w:p>
    <w:p w:rsidR="001C66E6" w:rsidRPr="001C66E6" w:rsidRDefault="001C66E6" w:rsidP="001C66E6">
      <w:pPr>
        <w:jc w:val="both"/>
      </w:pPr>
      <w:r w:rsidRPr="001C66E6">
        <w:rPr>
          <w:i/>
          <w:iCs/>
          <w:color w:val="000000"/>
          <w:sz w:val="22"/>
          <w:szCs w:val="22"/>
          <w:u w:val="single"/>
        </w:rPr>
        <w:t>Synergie - aktivita 5.2c IOP</w:t>
      </w:r>
      <w:r w:rsidRPr="001C66E6">
        <w:rPr>
          <w:color w:val="000000"/>
          <w:sz w:val="22"/>
          <w:szCs w:val="22"/>
        </w:rPr>
        <w:t xml:space="preserve">, předpokládá se pilotní propojení aktivit v oblasti regenerace domů </w:t>
      </w:r>
      <w:r w:rsidR="005138C3">
        <w:rPr>
          <w:color w:val="000000"/>
          <w:sz w:val="22"/>
          <w:szCs w:val="22"/>
        </w:rPr>
        <w:br/>
      </w:r>
      <w:r w:rsidRPr="001C66E6">
        <w:rPr>
          <w:color w:val="000000"/>
          <w:sz w:val="22"/>
          <w:szCs w:val="22"/>
        </w:rPr>
        <w:t>a aktivit v oblasti sociálního začleňování, lidských zdrojů a zaměstnanosti s cílem zlepšení životních podmínek sociálně vyloučené romské komunity.</w:t>
      </w:r>
    </w:p>
    <w:p w:rsidR="001C66E6" w:rsidRPr="001C66E6" w:rsidRDefault="001C66E6" w:rsidP="001C66E6">
      <w:pPr>
        <w:jc w:val="both"/>
      </w:pPr>
      <w:r w:rsidRPr="009026D3">
        <w:rPr>
          <w:color w:val="000000"/>
          <w:sz w:val="22"/>
          <w:szCs w:val="22"/>
        </w:rPr>
        <w:t> </w:t>
      </w:r>
    </w:p>
    <w:p w:rsidR="001C66E6" w:rsidRPr="001C66E6" w:rsidRDefault="001C66E6" w:rsidP="001C66E6">
      <w:pPr>
        <w:jc w:val="both"/>
      </w:pPr>
      <w:r w:rsidRPr="009026D3">
        <w:rPr>
          <w:color w:val="000000"/>
          <w:sz w:val="22"/>
          <w:szCs w:val="22"/>
        </w:rPr>
        <w:t xml:space="preserve">2. a 7. výzva, OI 3.1 aktivita a) </w:t>
      </w:r>
    </w:p>
    <w:p w:rsidR="001C66E6" w:rsidRPr="001C66E6" w:rsidRDefault="001C66E6" w:rsidP="001C66E6">
      <w:pPr>
        <w:jc w:val="both"/>
      </w:pPr>
      <w:r w:rsidRPr="009026D3">
        <w:rPr>
          <w:i/>
          <w:iCs/>
          <w:color w:val="000000"/>
          <w:sz w:val="22"/>
          <w:szCs w:val="22"/>
          <w:u w:val="single"/>
        </w:rPr>
        <w:t>Synergie - výzva č. 87 OP LZZ</w:t>
      </w:r>
      <w:r w:rsidRPr="009026D3">
        <w:rPr>
          <w:color w:val="000000"/>
          <w:sz w:val="22"/>
          <w:szCs w:val="22"/>
        </w:rPr>
        <w:t xml:space="preserve"> (oblast podpory 3.1 Podpora sociální integrace a sociálních služeb) pro žadatele zejména z řad poskytovatelů sociálních služeb – zaměřena je na přípravu procesu transformace v přípravu služeb poskytovaných v komunitě.</w:t>
      </w:r>
    </w:p>
    <w:p w:rsidR="001C66E6" w:rsidRPr="001C66E6" w:rsidRDefault="001C66E6" w:rsidP="001C66E6">
      <w:pPr>
        <w:jc w:val="both"/>
      </w:pPr>
      <w:r w:rsidRPr="001C66E6">
        <w:rPr>
          <w:color w:val="000000"/>
          <w:sz w:val="22"/>
          <w:szCs w:val="22"/>
        </w:rPr>
        <w:t> </w:t>
      </w:r>
    </w:p>
    <w:p w:rsidR="001C66E6" w:rsidRDefault="001C66E6" w:rsidP="001C66E6">
      <w:pPr>
        <w:jc w:val="both"/>
        <w:rPr>
          <w:color w:val="000000"/>
          <w:sz w:val="22"/>
          <w:szCs w:val="22"/>
        </w:rPr>
      </w:pPr>
      <w:r w:rsidRPr="009026D3">
        <w:rPr>
          <w:color w:val="000000"/>
          <w:sz w:val="22"/>
          <w:szCs w:val="22"/>
        </w:rPr>
        <w:t> </w:t>
      </w:r>
      <w:r w:rsidRPr="009026D3">
        <w:rPr>
          <w:i/>
          <w:iCs/>
          <w:color w:val="000000"/>
          <w:sz w:val="22"/>
          <w:szCs w:val="22"/>
          <w:u w:val="single"/>
        </w:rPr>
        <w:t xml:space="preserve">Synergie - výzvy </w:t>
      </w:r>
      <w:proofErr w:type="gramStart"/>
      <w:r w:rsidRPr="009026D3">
        <w:rPr>
          <w:i/>
          <w:iCs/>
          <w:color w:val="000000"/>
          <w:sz w:val="22"/>
          <w:szCs w:val="22"/>
          <w:u w:val="single"/>
        </w:rPr>
        <w:t>č.C1</w:t>
      </w:r>
      <w:proofErr w:type="gramEnd"/>
      <w:r w:rsidRPr="009026D3">
        <w:rPr>
          <w:i/>
          <w:iCs/>
          <w:color w:val="000000"/>
          <w:sz w:val="22"/>
          <w:szCs w:val="22"/>
          <w:u w:val="single"/>
        </w:rPr>
        <w:t xml:space="preserve"> OP LZZ</w:t>
      </w:r>
      <w:r w:rsidRPr="009026D3">
        <w:rPr>
          <w:color w:val="000000"/>
          <w:sz w:val="22"/>
          <w:szCs w:val="22"/>
        </w:rPr>
        <w:t xml:space="preserve"> (oblast podpory 3.1 Podpora sociální integrace a sociálních služeb) pro žadatele z řad poskytovatelů sociálních služeb – podporovány jsou přímo služby vzniklé po transformaci, tzn. služby komunitního charakteru vzniklé mimo jiné i díky podpoře IOP. Vazba s IOP zde není přímá.</w:t>
      </w:r>
    </w:p>
    <w:p w:rsidR="001C66E6" w:rsidRDefault="001C66E6" w:rsidP="001C66E6">
      <w:pPr>
        <w:jc w:val="both"/>
        <w:rPr>
          <w:color w:val="000000"/>
          <w:sz w:val="22"/>
          <w:szCs w:val="22"/>
        </w:rPr>
      </w:pPr>
    </w:p>
    <w:p w:rsidR="001C66E6" w:rsidRPr="001C66E6" w:rsidRDefault="001C66E6" w:rsidP="001C66E6">
      <w:pPr>
        <w:jc w:val="both"/>
      </w:pPr>
      <w:r w:rsidRPr="009026D3">
        <w:rPr>
          <w:color w:val="000000"/>
          <w:sz w:val="22"/>
          <w:szCs w:val="22"/>
        </w:rPr>
        <w:t>B) Synergie s podpůrnými projekty:</w:t>
      </w:r>
    </w:p>
    <w:p w:rsidR="001C66E6" w:rsidRPr="001C66E6" w:rsidRDefault="001C66E6" w:rsidP="001C66E6">
      <w:pPr>
        <w:jc w:val="both"/>
      </w:pPr>
      <w:r w:rsidRPr="009026D3">
        <w:rPr>
          <w:color w:val="000000"/>
          <w:sz w:val="22"/>
          <w:szCs w:val="22"/>
        </w:rPr>
        <w:t> </w:t>
      </w:r>
    </w:p>
    <w:p w:rsidR="001C66E6" w:rsidRPr="001C66E6" w:rsidRDefault="001C66E6" w:rsidP="001C66E6">
      <w:pPr>
        <w:jc w:val="both"/>
      </w:pPr>
      <w:r w:rsidRPr="009026D3">
        <w:rPr>
          <w:color w:val="000000"/>
          <w:sz w:val="22"/>
          <w:szCs w:val="22"/>
        </w:rPr>
        <w:t>Je vytvořena synergie s jednotlivými projekty OP LZZ, které svým zaměřením napomáhají předkládání projektů do IOP, OI 3.1 jako tzv. podpůrné projekty.</w:t>
      </w:r>
    </w:p>
    <w:p w:rsidR="001C66E6" w:rsidRPr="001C66E6" w:rsidRDefault="001C66E6" w:rsidP="001C66E6">
      <w:pPr>
        <w:jc w:val="both"/>
      </w:pPr>
      <w:r w:rsidRPr="009026D3">
        <w:rPr>
          <w:color w:val="000000"/>
          <w:sz w:val="22"/>
          <w:szCs w:val="22"/>
        </w:rPr>
        <w:t>  </w:t>
      </w:r>
    </w:p>
    <w:p w:rsidR="001C66E6" w:rsidRPr="001C66E6" w:rsidRDefault="001C66E6" w:rsidP="001C66E6">
      <w:pPr>
        <w:jc w:val="both"/>
      </w:pPr>
      <w:r w:rsidRPr="009026D3">
        <w:rPr>
          <w:color w:val="000000"/>
          <w:sz w:val="22"/>
          <w:szCs w:val="22"/>
        </w:rPr>
        <w:t xml:space="preserve">2. a 7. výzva, OI 3.1 aktivita a) </w:t>
      </w:r>
    </w:p>
    <w:p w:rsidR="00A52553" w:rsidRDefault="001C66E6" w:rsidP="001C66E6">
      <w:pPr>
        <w:jc w:val="both"/>
        <w:rPr>
          <w:color w:val="000000"/>
          <w:sz w:val="22"/>
          <w:szCs w:val="22"/>
        </w:rPr>
      </w:pPr>
      <w:r w:rsidRPr="009026D3">
        <w:rPr>
          <w:color w:val="000000"/>
          <w:sz w:val="22"/>
          <w:szCs w:val="22"/>
        </w:rPr>
        <w:t xml:space="preserve">Projekt č. CZ 1.04/3.100/04.00002 Podpora transformace sociálních služeb, oblast intervence 3.1 OP LZZ, zaměřený mj. na podporu při tvorbě transformačních plánů, které jsou nezbytnou podmínkou  při předkládání  projektů  do 2. a 7. výzvy </w:t>
      </w:r>
      <w:r w:rsidR="004D3410">
        <w:rPr>
          <w:color w:val="000000"/>
          <w:sz w:val="22"/>
          <w:szCs w:val="22"/>
        </w:rPr>
        <w:t>MPSV ČR</w:t>
      </w:r>
      <w:r w:rsidRPr="009026D3">
        <w:rPr>
          <w:color w:val="000000"/>
          <w:sz w:val="22"/>
          <w:szCs w:val="22"/>
        </w:rPr>
        <w:t xml:space="preserve"> v IOP.  </w:t>
      </w:r>
    </w:p>
    <w:p w:rsidR="001C66E6" w:rsidRPr="001C66E6" w:rsidRDefault="001C66E6" w:rsidP="001C66E6">
      <w:pPr>
        <w:jc w:val="both"/>
      </w:pPr>
      <w:r w:rsidRPr="009026D3">
        <w:rPr>
          <w:color w:val="000000"/>
          <w:sz w:val="22"/>
          <w:szCs w:val="22"/>
        </w:rPr>
        <w:lastRenderedPageBreak/>
        <w:t xml:space="preserve">Synergickou vazbu je možné spatřovat i s navazujícím projektem Transformace sociálních služeb </w:t>
      </w:r>
      <w:r w:rsidR="00A52553">
        <w:rPr>
          <w:color w:val="000000"/>
          <w:sz w:val="22"/>
          <w:szCs w:val="22"/>
        </w:rPr>
        <w:br/>
      </w:r>
      <w:r w:rsidRPr="009026D3">
        <w:rPr>
          <w:color w:val="000000"/>
          <w:sz w:val="22"/>
          <w:szCs w:val="22"/>
        </w:rPr>
        <w:t>(CZ 1.04/3.100/04.00009), který podporuje organizace využívající IOP pro přípravu komunitních služeb v další důkladné přípravě procesu transformace.</w:t>
      </w:r>
    </w:p>
    <w:p w:rsidR="00832256" w:rsidRPr="00A52553" w:rsidRDefault="001C66E6" w:rsidP="001C66E6">
      <w:pPr>
        <w:jc w:val="both"/>
        <w:rPr>
          <w:color w:val="000000"/>
          <w:sz w:val="22"/>
          <w:szCs w:val="22"/>
        </w:rPr>
      </w:pPr>
      <w:r w:rsidRPr="009026D3">
        <w:rPr>
          <w:color w:val="000000"/>
          <w:sz w:val="22"/>
          <w:szCs w:val="22"/>
        </w:rPr>
        <w:t> </w:t>
      </w:r>
    </w:p>
    <w:p w:rsidR="001C66E6" w:rsidRPr="001C66E6" w:rsidRDefault="001C66E6" w:rsidP="001C66E6">
      <w:pPr>
        <w:jc w:val="both"/>
      </w:pPr>
      <w:r w:rsidRPr="009026D3">
        <w:rPr>
          <w:color w:val="000000"/>
          <w:sz w:val="22"/>
          <w:szCs w:val="22"/>
        </w:rPr>
        <w:t xml:space="preserve"> 3. a 6. výzva, OI 3.1 aktivita b) </w:t>
      </w:r>
    </w:p>
    <w:p w:rsidR="001C66E6" w:rsidRPr="001C66E6" w:rsidRDefault="001C66E6" w:rsidP="001C66E6">
      <w:pPr>
        <w:jc w:val="both"/>
      </w:pPr>
      <w:r w:rsidRPr="008C4750">
        <w:rPr>
          <w:sz w:val="22"/>
          <w:szCs w:val="22"/>
        </w:rPr>
        <w:t>Projekt č. CZ.1.04/3.2.00/55.00005 „Komplexní</w:t>
      </w:r>
      <w:r w:rsidRPr="009026D3">
        <w:rPr>
          <w:color w:val="000000"/>
          <w:sz w:val="22"/>
          <w:szCs w:val="22"/>
        </w:rPr>
        <w:t xml:space="preserve"> program integrace sociálně vyloučených a sociálním vyloučením ohrožených obyvatel města Mostu do společnosti“ byl podaný ve výzvě č. 55 OP LZZ. Mezi klíčovými aktivitami projektu je mimo jiné poskytování sociální služby</w:t>
      </w:r>
      <w:r w:rsidRPr="009026D3">
        <w:rPr>
          <w:b/>
          <w:bCs/>
          <w:color w:val="000000"/>
          <w:sz w:val="22"/>
          <w:szCs w:val="22"/>
        </w:rPr>
        <w:t xml:space="preserve"> </w:t>
      </w:r>
      <w:r w:rsidRPr="009026D3">
        <w:rPr>
          <w:rStyle w:val="Siln"/>
          <w:b w:val="0"/>
          <w:bCs/>
          <w:color w:val="000000"/>
          <w:sz w:val="22"/>
          <w:szCs w:val="22"/>
        </w:rPr>
        <w:t>Nízkoprahové zařízení pro děti a mládež 15 – 26 let.</w:t>
      </w:r>
      <w:r w:rsidRPr="009026D3">
        <w:rPr>
          <w:b/>
          <w:bCs/>
          <w:color w:val="000000"/>
          <w:sz w:val="22"/>
          <w:szCs w:val="22"/>
        </w:rPr>
        <w:t xml:space="preserve"> </w:t>
      </w:r>
      <w:r w:rsidRPr="009026D3">
        <w:rPr>
          <w:color w:val="000000"/>
          <w:sz w:val="22"/>
          <w:szCs w:val="22"/>
        </w:rPr>
        <w:t xml:space="preserve">Činnost NZDM je realizována v nových prostorách, které byly zrekonstruovány v rámci IOP. </w:t>
      </w:r>
    </w:p>
    <w:p w:rsidR="00410366" w:rsidRPr="00B6297F" w:rsidRDefault="001C66E6" w:rsidP="001C66E6">
      <w:pPr>
        <w:jc w:val="both"/>
        <w:rPr>
          <w:color w:val="000000"/>
        </w:rPr>
      </w:pPr>
      <w:r w:rsidRPr="001C66E6">
        <w:rPr>
          <w:color w:val="000000"/>
        </w:rPr>
        <w:t> </w:t>
      </w:r>
    </w:p>
    <w:p w:rsidR="001C66E6" w:rsidRPr="001C66E6" w:rsidRDefault="001C66E6" w:rsidP="001C66E6">
      <w:pPr>
        <w:spacing w:before="60"/>
        <w:jc w:val="both"/>
      </w:pPr>
      <w:r w:rsidRPr="009026D3">
        <w:rPr>
          <w:color w:val="000000"/>
          <w:sz w:val="22"/>
          <w:szCs w:val="22"/>
        </w:rPr>
        <w:t>1. a 8. výzva, OI 3.1 aktivita c)</w:t>
      </w:r>
    </w:p>
    <w:p w:rsidR="00A75862" w:rsidRDefault="001C66E6" w:rsidP="00B6297F">
      <w:pPr>
        <w:jc w:val="both"/>
      </w:pPr>
      <w:r w:rsidRPr="008C4750">
        <w:rPr>
          <w:sz w:val="22"/>
          <w:szCs w:val="22"/>
        </w:rPr>
        <w:t>Projekt č. CZ.1.04/3.1.00/04.00011 Podpora</w:t>
      </w:r>
      <w:r w:rsidRPr="009026D3">
        <w:rPr>
          <w:color w:val="000000"/>
          <w:sz w:val="22"/>
          <w:szCs w:val="22"/>
        </w:rPr>
        <w:t xml:space="preserve"> sociálního podnikání v ČR, jehož záměrem je otestovat podpůrnou strukturu pro budoucí a současné zaměstnavatele v segmentu sociálního podnikání v ČR </w:t>
      </w:r>
      <w:r w:rsidR="005138C3">
        <w:rPr>
          <w:color w:val="000000"/>
          <w:sz w:val="22"/>
          <w:szCs w:val="22"/>
        </w:rPr>
        <w:br/>
      </w:r>
      <w:r w:rsidRPr="009026D3">
        <w:rPr>
          <w:color w:val="000000"/>
          <w:sz w:val="22"/>
          <w:szCs w:val="22"/>
        </w:rPr>
        <w:t xml:space="preserve">a současně pomoci najít optimální pojetí podpory sociálního podnikání v prostředí ČR a vytvořit tak nezbytné předpoklady pro implementaci sociální ekonomiky jako standardního nástroje sociální politiky a politiky podpory podnikání. Projekt je primárně zaměřen na ověření podpory sociálního podnikání formou sítě lokálních konzultantů a expertů/koučů, kteří poskytují individuální poradenství k sociálnímu podnikání. Sekundárně je ambicí projektu přispět ke koncepčnímu uchopení tématu, </w:t>
      </w:r>
      <w:r w:rsidR="00A52553">
        <w:rPr>
          <w:color w:val="000000"/>
          <w:sz w:val="22"/>
          <w:szCs w:val="22"/>
        </w:rPr>
        <w:br/>
      </w:r>
      <w:r w:rsidRPr="009026D3">
        <w:rPr>
          <w:color w:val="000000"/>
          <w:sz w:val="22"/>
          <w:szCs w:val="22"/>
        </w:rPr>
        <w:t xml:space="preserve">a to především vytvořením sady indikátorů, které přispějí k rozpoznání sociálního podniku </w:t>
      </w:r>
      <w:r w:rsidR="00A52553">
        <w:rPr>
          <w:color w:val="000000"/>
          <w:sz w:val="22"/>
          <w:szCs w:val="22"/>
        </w:rPr>
        <w:br/>
      </w:r>
      <w:r w:rsidRPr="009026D3">
        <w:rPr>
          <w:color w:val="000000"/>
          <w:sz w:val="22"/>
          <w:szCs w:val="22"/>
        </w:rPr>
        <w:t>a integračního sociálního podniku. Tento nástroj bude následně využit pro potřeby politiky podpory sociálního podnikání. Projekt byl zahájen 1. 10. 2012.</w:t>
      </w:r>
    </w:p>
    <w:p w:rsidR="00B6297F" w:rsidRPr="00B6297F" w:rsidRDefault="00B6297F" w:rsidP="00B6297F">
      <w:pPr>
        <w:jc w:val="both"/>
      </w:pPr>
    </w:p>
    <w:p w:rsidR="00A75862" w:rsidRPr="00D13725" w:rsidRDefault="00A75862" w:rsidP="002E608B">
      <w:pPr>
        <w:numPr>
          <w:ilvl w:val="0"/>
          <w:numId w:val="9"/>
        </w:numPr>
        <w:spacing w:before="60"/>
        <w:ind w:left="714" w:hanging="357"/>
        <w:jc w:val="both"/>
        <w:rPr>
          <w:sz w:val="22"/>
          <w:szCs w:val="22"/>
        </w:rPr>
      </w:pPr>
      <w:r w:rsidRPr="00D13725">
        <w:rPr>
          <w:b/>
          <w:i/>
          <w:sz w:val="22"/>
          <w:szCs w:val="22"/>
        </w:rPr>
        <w:t>Cestovní ruch, propagace a marketing</w:t>
      </w:r>
      <w:r w:rsidRPr="00D13725">
        <w:rPr>
          <w:sz w:val="22"/>
          <w:szCs w:val="22"/>
        </w:rPr>
        <w:t xml:space="preserve"> (IOP - ROP),</w:t>
      </w:r>
    </w:p>
    <w:p w:rsidR="00A75862" w:rsidRDefault="00A75862" w:rsidP="00B6297F">
      <w:pPr>
        <w:jc w:val="both"/>
        <w:rPr>
          <w:sz w:val="22"/>
          <w:szCs w:val="22"/>
        </w:rPr>
      </w:pPr>
      <w:r w:rsidRPr="00D13725">
        <w:rPr>
          <w:sz w:val="22"/>
          <w:szCs w:val="22"/>
        </w:rPr>
        <w:t xml:space="preserve">V prioritních osách 4a a 4b nejsou realizovány žádné projekty prokazující synergické vazby na projekty realizované v </w:t>
      </w:r>
      <w:proofErr w:type="gramStart"/>
      <w:r w:rsidRPr="00D13725">
        <w:rPr>
          <w:sz w:val="22"/>
          <w:szCs w:val="22"/>
        </w:rPr>
        <w:t>ROP</w:t>
      </w:r>
      <w:proofErr w:type="gramEnd"/>
      <w:r w:rsidRPr="00D13725">
        <w:rPr>
          <w:sz w:val="22"/>
          <w:szCs w:val="22"/>
        </w:rPr>
        <w:t>.</w:t>
      </w:r>
    </w:p>
    <w:p w:rsidR="00B6297F" w:rsidRPr="00B6297F" w:rsidRDefault="00B6297F" w:rsidP="00B6297F">
      <w:pPr>
        <w:jc w:val="both"/>
        <w:rPr>
          <w:sz w:val="22"/>
          <w:szCs w:val="22"/>
        </w:rPr>
      </w:pPr>
    </w:p>
    <w:p w:rsidR="00A75862" w:rsidRPr="006078B2" w:rsidRDefault="00A75862" w:rsidP="002E608B">
      <w:pPr>
        <w:numPr>
          <w:ilvl w:val="0"/>
          <w:numId w:val="9"/>
        </w:numPr>
        <w:spacing w:before="60"/>
        <w:ind w:left="714" w:hanging="357"/>
        <w:jc w:val="both"/>
        <w:rPr>
          <w:i/>
          <w:sz w:val="22"/>
          <w:szCs w:val="22"/>
        </w:rPr>
      </w:pPr>
      <w:r w:rsidRPr="006078B2">
        <w:rPr>
          <w:b/>
          <w:bCs/>
          <w:i/>
          <w:sz w:val="22"/>
          <w:szCs w:val="22"/>
        </w:rPr>
        <w:t>Využití potenciálu kulturního dědictví</w:t>
      </w:r>
      <w:r w:rsidRPr="006078B2">
        <w:rPr>
          <w:bCs/>
          <w:sz w:val="22"/>
          <w:szCs w:val="22"/>
        </w:rPr>
        <w:t xml:space="preserve"> </w:t>
      </w:r>
      <w:r w:rsidRPr="006078B2">
        <w:rPr>
          <w:sz w:val="22"/>
          <w:szCs w:val="22"/>
        </w:rPr>
        <w:t>(IOP - ROP)</w:t>
      </w:r>
    </w:p>
    <w:p w:rsidR="00A75862" w:rsidRPr="0010303F" w:rsidRDefault="00A75862" w:rsidP="006078B2">
      <w:pPr>
        <w:spacing w:before="60"/>
        <w:jc w:val="both"/>
        <w:rPr>
          <w:i/>
          <w:sz w:val="22"/>
          <w:szCs w:val="22"/>
        </w:rPr>
      </w:pPr>
      <w:r w:rsidRPr="006078B2">
        <w:rPr>
          <w:sz w:val="22"/>
          <w:szCs w:val="22"/>
        </w:rPr>
        <w:t>Pro účely výroční zprávy se synergické vazby podle tematických oblastí podrobněji sledují pomocí formulářů NOK, které jsou v příloze č. 1 této výroční zprávy.</w:t>
      </w:r>
    </w:p>
    <w:p w:rsidR="00C001C3" w:rsidRDefault="00C001C3" w:rsidP="00EC44E4">
      <w:bookmarkStart w:id="117" w:name="_Toc351629175"/>
      <w:bookmarkStart w:id="118" w:name="_Toc382407684"/>
      <w:bookmarkStart w:id="119" w:name="_Toc383084691"/>
    </w:p>
    <w:p w:rsidR="00A75862" w:rsidRPr="00532712" w:rsidRDefault="00D720AD" w:rsidP="00532712">
      <w:pPr>
        <w:pStyle w:val="Nadpis3"/>
      </w:pPr>
      <w:bookmarkStart w:id="120" w:name="_Toc417024860"/>
      <w:r w:rsidRPr="009026D3">
        <w:t>2.6.2 Využívání dalších finančních nástrojů EU</w:t>
      </w:r>
      <w:bookmarkEnd w:id="117"/>
      <w:bookmarkEnd w:id="118"/>
      <w:bookmarkEnd w:id="119"/>
      <w:bookmarkEnd w:id="120"/>
    </w:p>
    <w:p w:rsidR="00513E0C" w:rsidRPr="00513E0C" w:rsidRDefault="00513E0C" w:rsidP="00513E0C">
      <w:pPr>
        <w:rPr>
          <w:b/>
          <w:sz w:val="22"/>
          <w:szCs w:val="22"/>
          <w:u w:val="single"/>
        </w:rPr>
      </w:pPr>
      <w:r w:rsidRPr="00513E0C">
        <w:rPr>
          <w:b/>
          <w:sz w:val="22"/>
          <w:szCs w:val="22"/>
          <w:u w:val="single"/>
        </w:rPr>
        <w:t>Využívání finančních nástrojů EU</w:t>
      </w:r>
    </w:p>
    <w:p w:rsidR="00513E0C" w:rsidRPr="00513E0C" w:rsidRDefault="00513E0C" w:rsidP="00513E0C">
      <w:pPr>
        <w:jc w:val="both"/>
        <w:rPr>
          <w:sz w:val="22"/>
          <w:szCs w:val="22"/>
        </w:rPr>
      </w:pPr>
      <w:r w:rsidRPr="00513E0C">
        <w:rPr>
          <w:sz w:val="22"/>
          <w:szCs w:val="22"/>
        </w:rPr>
        <w:t xml:space="preserve">V  IOP je pilotně realizován finanční nástroj JESSICA v oblasti intervence 5.2 „Zlepšení prostředí v problémových sídlištích“. Koneční uživatelé mohou získat zvýhodněné úvěry na regeneraci bytových domů a na zajištění moderního sociálního bydlení. </w:t>
      </w:r>
    </w:p>
    <w:p w:rsidR="00513E0C" w:rsidRPr="00513E0C" w:rsidRDefault="00513E0C" w:rsidP="00513E0C">
      <w:pPr>
        <w:rPr>
          <w:sz w:val="22"/>
          <w:szCs w:val="22"/>
        </w:rPr>
      </w:pPr>
    </w:p>
    <w:p w:rsidR="00513E0C" w:rsidRPr="00513E0C" w:rsidRDefault="00513E0C" w:rsidP="00513E0C">
      <w:pPr>
        <w:jc w:val="both"/>
        <w:rPr>
          <w:b/>
          <w:sz w:val="22"/>
          <w:szCs w:val="22"/>
        </w:rPr>
      </w:pPr>
      <w:r w:rsidRPr="00513E0C">
        <w:rPr>
          <w:b/>
          <w:sz w:val="22"/>
          <w:szCs w:val="22"/>
        </w:rPr>
        <w:t>Implementační struktura finančního nástroje JESSCIA</w:t>
      </w:r>
    </w:p>
    <w:p w:rsidR="00513E0C" w:rsidRPr="00513E0C" w:rsidRDefault="00513E0C" w:rsidP="00513E0C">
      <w:pPr>
        <w:jc w:val="both"/>
        <w:rPr>
          <w:sz w:val="22"/>
          <w:szCs w:val="22"/>
        </w:rPr>
      </w:pPr>
      <w:r w:rsidRPr="00513E0C">
        <w:rPr>
          <w:sz w:val="22"/>
          <w:szCs w:val="22"/>
        </w:rPr>
        <w:t xml:space="preserve">V roce 2012 byl v souladu s čl. 44 Nařízení Rady (ES) č. 1083/2006 zařazen do implementační struktury finančního nástroje JESSICA Holdingový fond (HF), vyčleněný jako samostatná účetní jednotka SFRB. ŘO IOP 26. října 2012 vydal Rozhodnutí o poskytnutí dotace a převedl na HF </w:t>
      </w:r>
      <w:r w:rsidR="00B359E7">
        <w:rPr>
          <w:sz w:val="22"/>
          <w:szCs w:val="22"/>
        </w:rPr>
        <w:br/>
      </w:r>
      <w:r w:rsidRPr="00513E0C">
        <w:rPr>
          <w:sz w:val="22"/>
          <w:szCs w:val="22"/>
        </w:rPr>
        <w:t>12. listopadu 2012 alokaci, určenou pro finanční nástroj, ve výši 609 869 489 Kč. Dne 31. 10. 2013 byla podepsána Smlouva o správě finančních prostředků mezi HF SFRB a Komerční bankou, která se na základě vítězství v zadávacím řízení stala Fondem rozvoje města, poskytujícím zvýhodněné úvěry z FN JESSICA.</w:t>
      </w:r>
    </w:p>
    <w:p w:rsidR="00513E0C" w:rsidRPr="00513E0C" w:rsidRDefault="00513E0C" w:rsidP="00513E0C">
      <w:pPr>
        <w:rPr>
          <w:sz w:val="22"/>
          <w:szCs w:val="22"/>
        </w:rPr>
      </w:pPr>
    </w:p>
    <w:p w:rsidR="00513E0C" w:rsidRPr="00513E0C" w:rsidRDefault="00513E0C" w:rsidP="00513E0C">
      <w:pPr>
        <w:jc w:val="both"/>
        <w:rPr>
          <w:b/>
          <w:sz w:val="22"/>
          <w:szCs w:val="22"/>
        </w:rPr>
      </w:pPr>
      <w:r w:rsidRPr="00513E0C">
        <w:rPr>
          <w:b/>
          <w:sz w:val="22"/>
          <w:szCs w:val="22"/>
        </w:rPr>
        <w:t>Poskytnuté úvěry</w:t>
      </w:r>
    </w:p>
    <w:p w:rsidR="00513E0C" w:rsidRPr="00513E0C" w:rsidRDefault="00513E0C" w:rsidP="00513E0C">
      <w:pPr>
        <w:jc w:val="both"/>
        <w:rPr>
          <w:sz w:val="22"/>
          <w:szCs w:val="22"/>
        </w:rPr>
      </w:pPr>
      <w:r w:rsidRPr="00513E0C">
        <w:rPr>
          <w:sz w:val="22"/>
          <w:szCs w:val="22"/>
        </w:rPr>
        <w:t>K 31. 12. 2014 bylo s žadateli podepsáno celkem 103 úvěrových smluv v hodnotě přesahující 360 mil. Kč, což odpovídalo více než polovině alokace pro FN JESSICA. Vzhledem k dalším obdrženým žádostem, které převýšily celkovou hodnotu alokace, Komerční banka s koncem roku pozastavila příjem žádostí o zvýhodněné úvěry z FN JESSICA. Podle jejích odhadů bude veškerá alokace rozdělena na účty žadatelů nejpozději v dubnu 2015.</w:t>
      </w:r>
    </w:p>
    <w:p w:rsidR="00513E0C" w:rsidRPr="00513E0C" w:rsidRDefault="00513E0C" w:rsidP="00513E0C">
      <w:pPr>
        <w:jc w:val="both"/>
        <w:rPr>
          <w:sz w:val="22"/>
          <w:szCs w:val="22"/>
        </w:rPr>
      </w:pPr>
    </w:p>
    <w:p w:rsidR="00513E0C" w:rsidRPr="00513E0C" w:rsidRDefault="00513E0C" w:rsidP="00513E0C">
      <w:pPr>
        <w:jc w:val="both"/>
        <w:rPr>
          <w:b/>
          <w:sz w:val="22"/>
          <w:szCs w:val="22"/>
        </w:rPr>
      </w:pPr>
      <w:r w:rsidRPr="00513E0C">
        <w:rPr>
          <w:b/>
          <w:sz w:val="22"/>
          <w:szCs w:val="22"/>
        </w:rPr>
        <w:lastRenderedPageBreak/>
        <w:t>Monitoring a kontroly</w:t>
      </w:r>
    </w:p>
    <w:p w:rsidR="00513E0C" w:rsidRPr="00513E0C" w:rsidRDefault="00513E0C" w:rsidP="00513E0C">
      <w:pPr>
        <w:jc w:val="both"/>
        <w:rPr>
          <w:sz w:val="22"/>
          <w:szCs w:val="22"/>
        </w:rPr>
      </w:pPr>
      <w:r w:rsidRPr="00513E0C">
        <w:rPr>
          <w:sz w:val="22"/>
          <w:szCs w:val="22"/>
        </w:rPr>
        <w:t xml:space="preserve">Během uplynulého roku obdržel ŘO IOP od HF SFRB čtyři monitorovací zprávy, zahrnující stav investičního portfolia a hospodaření s poskytnutými finančními prostředky. Na základě těchto zpráv ŘO IOP provedl analýzy rizik, ve kterých pokaždé došel k závěru, že projekt probíhá v souladu s pravidly. </w:t>
      </w:r>
    </w:p>
    <w:p w:rsidR="00513E0C" w:rsidRPr="00513E0C" w:rsidRDefault="00513E0C" w:rsidP="00513E0C">
      <w:pPr>
        <w:jc w:val="both"/>
        <w:rPr>
          <w:sz w:val="22"/>
          <w:szCs w:val="22"/>
        </w:rPr>
      </w:pPr>
    </w:p>
    <w:p w:rsidR="00513E0C" w:rsidRPr="00513E0C" w:rsidRDefault="00513E0C" w:rsidP="00513E0C">
      <w:pPr>
        <w:jc w:val="both"/>
        <w:rPr>
          <w:sz w:val="22"/>
          <w:szCs w:val="22"/>
        </w:rPr>
      </w:pPr>
      <w:r w:rsidRPr="00513E0C">
        <w:rPr>
          <w:sz w:val="22"/>
          <w:szCs w:val="22"/>
        </w:rPr>
        <w:t>Od dubna 2014 prováděl ŘO IOP evaluaci FN JESSICA, která vyvrcholila 14. 10. 2014 vydáním závěrečné zprávy spolu s akčními plány a harmonogramem plnění nápravných opatření.</w:t>
      </w:r>
    </w:p>
    <w:p w:rsidR="00513E0C" w:rsidRPr="00513E0C" w:rsidRDefault="00513E0C" w:rsidP="00513E0C">
      <w:pPr>
        <w:jc w:val="both"/>
        <w:rPr>
          <w:sz w:val="22"/>
          <w:szCs w:val="22"/>
        </w:rPr>
      </w:pPr>
    </w:p>
    <w:p w:rsidR="00513E0C" w:rsidRPr="00513E0C" w:rsidRDefault="00513E0C" w:rsidP="00513E0C">
      <w:pPr>
        <w:jc w:val="both"/>
        <w:rPr>
          <w:sz w:val="22"/>
          <w:szCs w:val="22"/>
        </w:rPr>
      </w:pPr>
      <w:r w:rsidRPr="00513E0C">
        <w:rPr>
          <w:sz w:val="22"/>
          <w:szCs w:val="22"/>
        </w:rPr>
        <w:t xml:space="preserve">Ze 103 projektů provedl HF SFRB v souladu s řídícím a kontrolním systémem 28 kontrol ex-ante </w:t>
      </w:r>
      <w:r w:rsidR="0039446B">
        <w:rPr>
          <w:sz w:val="22"/>
          <w:szCs w:val="22"/>
        </w:rPr>
        <w:br/>
      </w:r>
      <w:r w:rsidRPr="00513E0C">
        <w:rPr>
          <w:sz w:val="22"/>
          <w:szCs w:val="22"/>
        </w:rPr>
        <w:t>a 8 kontrol ex-post a neshledal vážná pochybení.</w:t>
      </w:r>
    </w:p>
    <w:p w:rsidR="00513E0C" w:rsidRPr="00513E0C" w:rsidRDefault="00513E0C" w:rsidP="00513E0C">
      <w:pPr>
        <w:jc w:val="both"/>
        <w:rPr>
          <w:sz w:val="22"/>
          <w:szCs w:val="22"/>
        </w:rPr>
      </w:pPr>
    </w:p>
    <w:p w:rsidR="00513E0C" w:rsidRPr="00513E0C" w:rsidRDefault="00513E0C" w:rsidP="00513E0C">
      <w:pPr>
        <w:jc w:val="both"/>
        <w:rPr>
          <w:sz w:val="22"/>
          <w:szCs w:val="22"/>
        </w:rPr>
      </w:pPr>
      <w:r w:rsidRPr="00513E0C">
        <w:rPr>
          <w:sz w:val="22"/>
          <w:szCs w:val="22"/>
        </w:rPr>
        <w:t>ŘO IOP ve spolupráci se SFRB připravuje postup pro opakované rozdělení alokace FN JESSICA.</w:t>
      </w:r>
    </w:p>
    <w:p w:rsidR="007C73F9" w:rsidRPr="007C73F9" w:rsidRDefault="007C73F9" w:rsidP="007C73F9"/>
    <w:p w:rsidR="00A75862" w:rsidRDefault="009B2E25" w:rsidP="000F2A6C">
      <w:pPr>
        <w:pStyle w:val="Nadpis3"/>
      </w:pPr>
      <w:bookmarkStart w:id="121" w:name="_Toc382407685"/>
      <w:bookmarkStart w:id="122" w:name="_Toc383084692"/>
      <w:bookmarkStart w:id="123" w:name="_Toc417024861"/>
      <w:r>
        <w:t>2</w:t>
      </w:r>
      <w:r w:rsidR="00A75862" w:rsidRPr="009026D3">
        <w:t>.6.3 Integrované plány rozvoje měst</w:t>
      </w:r>
      <w:bookmarkEnd w:id="121"/>
      <w:bookmarkEnd w:id="122"/>
      <w:bookmarkEnd w:id="123"/>
      <w:r w:rsidR="00A75862" w:rsidRPr="009026D3">
        <w:t xml:space="preserve">  </w:t>
      </w:r>
    </w:p>
    <w:p w:rsidR="006433F4" w:rsidRPr="006433F4" w:rsidRDefault="006433F4" w:rsidP="006433F4">
      <w:pPr>
        <w:jc w:val="both"/>
        <w:rPr>
          <w:b/>
          <w:sz w:val="22"/>
          <w:szCs w:val="22"/>
        </w:rPr>
      </w:pPr>
      <w:r w:rsidRPr="006433F4">
        <w:rPr>
          <w:b/>
          <w:sz w:val="22"/>
          <w:szCs w:val="22"/>
        </w:rPr>
        <w:t>Nastavení hodnotících kritérií pro výběry projektů IPRM</w:t>
      </w:r>
    </w:p>
    <w:p w:rsidR="006433F4" w:rsidRPr="006433F4" w:rsidRDefault="006433F4" w:rsidP="006433F4">
      <w:pPr>
        <w:jc w:val="both"/>
        <w:rPr>
          <w:sz w:val="22"/>
          <w:szCs w:val="22"/>
        </w:rPr>
      </w:pPr>
      <w:r w:rsidRPr="006433F4">
        <w:rPr>
          <w:sz w:val="22"/>
          <w:szCs w:val="22"/>
        </w:rPr>
        <w:t>Systém výběru projektů zajišťuje Řídící výbor IPRM, upravuje ho kapitola dokumentu IPRM „Způsob výběru projektů“ a je součástí výzvy města k předkládání žádostí o dotaci. Povinnost provádět výběr projektů pro IPRM transparentním, rovným a nediskriminačním způsobem v souladu s pravidly IPRM upravuje Dohoda o zabezpečení realizace IPRM. Mezi další povinnosti města vůči ŘO IOP patří respektovat podmínky výzvy vyhlášené ŘO IOP pro oblast intervence 5.2, systém výběru projektů zveřejnit, zaslat podklady k výběru projektů před vyhlášením výzvy a výsledky hodnocení projektů se všemi relevantními podklady.</w:t>
      </w:r>
    </w:p>
    <w:p w:rsidR="006433F4" w:rsidRPr="006433F4" w:rsidRDefault="006433F4" w:rsidP="006433F4">
      <w:pPr>
        <w:jc w:val="both"/>
        <w:rPr>
          <w:sz w:val="22"/>
          <w:szCs w:val="22"/>
        </w:rPr>
      </w:pPr>
      <w:r w:rsidRPr="006433F4">
        <w:rPr>
          <w:sz w:val="22"/>
          <w:szCs w:val="22"/>
        </w:rPr>
        <w:t xml:space="preserve">Projekty doporučené městem předkládají žadatelé na CRR ČR, kde probíhá standardní kontrola přijatelnosti, formálních náležitostí, analýza rizik a případná kontrola ex-ante na místě. </w:t>
      </w:r>
    </w:p>
    <w:p w:rsidR="006433F4" w:rsidRPr="006433F4" w:rsidRDefault="006433F4" w:rsidP="006433F4">
      <w:pPr>
        <w:jc w:val="both"/>
        <w:rPr>
          <w:sz w:val="22"/>
          <w:szCs w:val="22"/>
        </w:rPr>
      </w:pPr>
    </w:p>
    <w:p w:rsidR="006433F4" w:rsidRPr="006433F4" w:rsidRDefault="006433F4" w:rsidP="006433F4">
      <w:pPr>
        <w:jc w:val="both"/>
        <w:rPr>
          <w:b/>
          <w:sz w:val="22"/>
          <w:szCs w:val="22"/>
        </w:rPr>
      </w:pPr>
      <w:r w:rsidRPr="006433F4">
        <w:rPr>
          <w:b/>
          <w:sz w:val="22"/>
          <w:szCs w:val="22"/>
        </w:rPr>
        <w:t xml:space="preserve">Současný stav realizace IPRM </w:t>
      </w:r>
    </w:p>
    <w:p w:rsidR="006433F4" w:rsidRDefault="006433F4" w:rsidP="006433F4">
      <w:pPr>
        <w:jc w:val="both"/>
        <w:rPr>
          <w:sz w:val="22"/>
          <w:szCs w:val="22"/>
        </w:rPr>
      </w:pPr>
      <w:r w:rsidRPr="006433F4">
        <w:rPr>
          <w:sz w:val="22"/>
          <w:szCs w:val="22"/>
        </w:rPr>
        <w:t xml:space="preserve">Výzva pro předkládání IPRM byla vyhlášena </w:t>
      </w:r>
      <w:r w:rsidR="00A52553" w:rsidRPr="006433F4">
        <w:rPr>
          <w:sz w:val="22"/>
          <w:szCs w:val="22"/>
        </w:rPr>
        <w:t>6. 8. 2008</w:t>
      </w:r>
      <w:r w:rsidRPr="006433F4">
        <w:rPr>
          <w:sz w:val="22"/>
          <w:szCs w:val="22"/>
        </w:rPr>
        <w:t xml:space="preserve"> a uzavřena </w:t>
      </w:r>
      <w:r w:rsidR="00A52553" w:rsidRPr="006433F4">
        <w:rPr>
          <w:sz w:val="22"/>
          <w:szCs w:val="22"/>
        </w:rPr>
        <w:t>31. 12. 2008</w:t>
      </w:r>
      <w:r w:rsidRPr="006433F4">
        <w:rPr>
          <w:sz w:val="22"/>
          <w:szCs w:val="22"/>
        </w:rPr>
        <w:t xml:space="preserve">. Z celkového počtu 62 měst, která splňovala podmínku počtu obyvatel, žádost o schválení IPRM podalo 41 měst. </w:t>
      </w:r>
    </w:p>
    <w:p w:rsidR="006433F4" w:rsidRPr="006433F4" w:rsidRDefault="006433F4" w:rsidP="006433F4">
      <w:pPr>
        <w:jc w:val="both"/>
        <w:rPr>
          <w:sz w:val="22"/>
          <w:szCs w:val="22"/>
        </w:rPr>
      </w:pPr>
    </w:p>
    <w:p w:rsidR="006433F4" w:rsidRDefault="006433F4" w:rsidP="006433F4">
      <w:pPr>
        <w:jc w:val="both"/>
        <w:rPr>
          <w:sz w:val="22"/>
          <w:szCs w:val="22"/>
        </w:rPr>
      </w:pPr>
      <w:r w:rsidRPr="006433F4">
        <w:rPr>
          <w:sz w:val="22"/>
          <w:szCs w:val="22"/>
        </w:rPr>
        <w:t>Z předložených IPRM se 6 měst přihlásilo k pilotnímu projektu a 13 měst zahrnovalo řešení v sociálně vyloučených romských komunitách</w:t>
      </w:r>
      <w:r w:rsidRPr="006433F4">
        <w:rPr>
          <w:sz w:val="22"/>
          <w:szCs w:val="22"/>
          <w:vertAlign w:val="superscript"/>
        </w:rPr>
        <w:footnoteReference w:id="11"/>
      </w:r>
      <w:r>
        <w:rPr>
          <w:sz w:val="22"/>
          <w:szCs w:val="22"/>
        </w:rPr>
        <w:t>. V roce 2014</w:t>
      </w:r>
      <w:r w:rsidRPr="006433F4">
        <w:rPr>
          <w:sz w:val="22"/>
          <w:szCs w:val="22"/>
        </w:rPr>
        <w:t xml:space="preserve"> se tento stav nezměnil. </w:t>
      </w:r>
    </w:p>
    <w:p w:rsidR="006433F4" w:rsidRPr="006433F4" w:rsidRDefault="006433F4" w:rsidP="006433F4">
      <w:pPr>
        <w:jc w:val="both"/>
        <w:rPr>
          <w:sz w:val="22"/>
          <w:szCs w:val="22"/>
        </w:rPr>
      </w:pPr>
    </w:p>
    <w:p w:rsidR="006433F4" w:rsidRPr="006433F4" w:rsidRDefault="006433F4" w:rsidP="006433F4">
      <w:pPr>
        <w:jc w:val="both"/>
        <w:rPr>
          <w:sz w:val="22"/>
          <w:szCs w:val="22"/>
        </w:rPr>
      </w:pPr>
      <w:r w:rsidRPr="006433F4">
        <w:rPr>
          <w:sz w:val="22"/>
          <w:szCs w:val="22"/>
        </w:rPr>
        <w:t>Od roku 2009 probíhá realizace IPRM ve 41 městech: Bohumín, Brno, Břeclav, České Budějovice, Český Těšín, Děčín, Frýdek-Místek, Havířov, Hodonín, Hradec Králové, Cheb, Chomutov, Chrudim, Jablonec nad Nisou, Jirkov, Karlovy Vary, Karviná, Kladno, Kopřivnice, Kroměříž, Liberec, Litvínov, Mladá Boleslav, Most, Náchod, Nový Jičín, Olomouc, Opava, Orlová, Ostrava, Pardubice, Písek, Přerov, Příbram, Strakonice, Tábor, Třebíč, Uherské Hradiště, Ústí nad Labem, Vsetín a Znojmo. K realizaci pilotního projektu se přihlásila města Ostrava, Orlová, Přerov, Brno, Kladno a Most.</w:t>
      </w:r>
    </w:p>
    <w:p w:rsidR="004A502A" w:rsidRPr="006433F4" w:rsidRDefault="004A502A" w:rsidP="006433F4">
      <w:pPr>
        <w:jc w:val="both"/>
        <w:rPr>
          <w:sz w:val="22"/>
          <w:szCs w:val="22"/>
        </w:rPr>
      </w:pPr>
    </w:p>
    <w:p w:rsidR="007C73F9" w:rsidRPr="006433F4" w:rsidRDefault="007C73F9" w:rsidP="006433F4">
      <w:pPr>
        <w:jc w:val="both"/>
        <w:rPr>
          <w:sz w:val="22"/>
          <w:szCs w:val="22"/>
        </w:rPr>
      </w:pPr>
    </w:p>
    <w:p w:rsidR="00A75862" w:rsidRPr="00E5355D" w:rsidRDefault="00225446" w:rsidP="00CD228D">
      <w:pPr>
        <w:pStyle w:val="Tabulkanzev"/>
      </w:pPr>
      <w:bookmarkStart w:id="124" w:name="_Toc416431817"/>
      <w:r w:rsidRPr="009026D3">
        <w:t>Data z uzavřených Dohod o zabezpečené realizace IPRM</w:t>
      </w:r>
      <w:bookmarkEnd w:id="124"/>
    </w:p>
    <w:tbl>
      <w:tblPr>
        <w:tblW w:w="0" w:type="auto"/>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5954"/>
        <w:gridCol w:w="3193"/>
      </w:tblGrid>
      <w:tr w:rsidR="006433F4" w:rsidRPr="00862610" w:rsidTr="006433F4">
        <w:trPr>
          <w:trHeight w:val="489"/>
          <w:tblHeader/>
          <w:jc w:val="center"/>
        </w:trPr>
        <w:tc>
          <w:tcPr>
            <w:tcW w:w="5954" w:type="dxa"/>
            <w:shd w:val="clear" w:color="auto" w:fill="C2D69B" w:themeFill="accent3" w:themeFillTint="99"/>
            <w:vAlign w:val="center"/>
          </w:tcPr>
          <w:p w:rsidR="006433F4" w:rsidRPr="00862610" w:rsidRDefault="006433F4" w:rsidP="00EC0ADF">
            <w:pPr>
              <w:jc w:val="center"/>
              <w:rPr>
                <w:b/>
              </w:rPr>
            </w:pPr>
            <w:r w:rsidRPr="00862610">
              <w:rPr>
                <w:b/>
              </w:rPr>
              <w:t>Data z uzavřených Dohod o zabezpečené realizace IPRM</w:t>
            </w:r>
          </w:p>
        </w:tc>
        <w:tc>
          <w:tcPr>
            <w:tcW w:w="3193" w:type="dxa"/>
            <w:shd w:val="clear" w:color="auto" w:fill="C2D69B" w:themeFill="accent3" w:themeFillTint="99"/>
            <w:vAlign w:val="center"/>
          </w:tcPr>
          <w:p w:rsidR="006433F4" w:rsidRPr="00862610" w:rsidRDefault="006433F4" w:rsidP="00EC0ADF">
            <w:pPr>
              <w:jc w:val="center"/>
              <w:rPr>
                <w:b/>
              </w:rPr>
            </w:pPr>
            <w:r w:rsidRPr="00862610">
              <w:rPr>
                <w:b/>
              </w:rPr>
              <w:t>Celkem</w:t>
            </w:r>
          </w:p>
        </w:tc>
      </w:tr>
      <w:tr w:rsidR="006433F4" w:rsidRPr="00862610" w:rsidTr="00EC0ADF">
        <w:trPr>
          <w:trHeight w:hRule="exact" w:val="397"/>
          <w:jc w:val="center"/>
        </w:trPr>
        <w:tc>
          <w:tcPr>
            <w:tcW w:w="5954" w:type="dxa"/>
            <w:vAlign w:val="center"/>
          </w:tcPr>
          <w:p w:rsidR="006433F4" w:rsidRPr="00862610" w:rsidRDefault="006433F4" w:rsidP="00EC0ADF">
            <w:r w:rsidRPr="00862610">
              <w:t>Zdroje IPRM celkem (Kč)</w:t>
            </w:r>
          </w:p>
        </w:tc>
        <w:tc>
          <w:tcPr>
            <w:tcW w:w="3193" w:type="dxa"/>
            <w:vAlign w:val="center"/>
          </w:tcPr>
          <w:p w:rsidR="006433F4" w:rsidRPr="00862610" w:rsidRDefault="006433F4" w:rsidP="00EC0ADF">
            <w:pPr>
              <w:jc w:val="right"/>
            </w:pPr>
            <w:r w:rsidRPr="00862610">
              <w:t>9 607 000 000 CZK</w:t>
            </w:r>
          </w:p>
        </w:tc>
      </w:tr>
      <w:tr w:rsidR="006433F4" w:rsidRPr="00862610" w:rsidTr="00EC0ADF">
        <w:trPr>
          <w:trHeight w:hRule="exact" w:val="397"/>
          <w:jc w:val="center"/>
        </w:trPr>
        <w:tc>
          <w:tcPr>
            <w:tcW w:w="5954" w:type="dxa"/>
            <w:vAlign w:val="center"/>
          </w:tcPr>
          <w:p w:rsidR="006433F4" w:rsidRPr="00862610" w:rsidRDefault="006433F4" w:rsidP="00EC0ADF">
            <w:r w:rsidRPr="00862610">
              <w:t>celkové způsobilé výdaje - revitalizace veřejných prostranství (Kč)</w:t>
            </w:r>
          </w:p>
        </w:tc>
        <w:tc>
          <w:tcPr>
            <w:tcW w:w="3193" w:type="dxa"/>
            <w:vAlign w:val="center"/>
          </w:tcPr>
          <w:p w:rsidR="006433F4" w:rsidRPr="00862610" w:rsidRDefault="006433F4" w:rsidP="00EC0ADF">
            <w:pPr>
              <w:jc w:val="right"/>
            </w:pPr>
            <w:r w:rsidRPr="00862610">
              <w:t>4 164 000 000 CZK</w:t>
            </w:r>
          </w:p>
        </w:tc>
      </w:tr>
      <w:tr w:rsidR="006433F4" w:rsidRPr="00862610" w:rsidTr="00EC0ADF">
        <w:trPr>
          <w:trHeight w:hRule="exact" w:val="397"/>
          <w:jc w:val="center"/>
        </w:trPr>
        <w:tc>
          <w:tcPr>
            <w:tcW w:w="5954" w:type="dxa"/>
            <w:vAlign w:val="center"/>
          </w:tcPr>
          <w:p w:rsidR="006433F4" w:rsidRPr="00862610" w:rsidRDefault="006433F4" w:rsidP="00EC0ADF">
            <w:r w:rsidRPr="00862610">
              <w:t>celkové způsobilé výdaje - regenerace bytových domů (Kč)</w:t>
            </w:r>
          </w:p>
        </w:tc>
        <w:tc>
          <w:tcPr>
            <w:tcW w:w="3193" w:type="dxa"/>
            <w:vAlign w:val="center"/>
          </w:tcPr>
          <w:p w:rsidR="006433F4" w:rsidRPr="00862610" w:rsidRDefault="006433F4" w:rsidP="00EC0ADF">
            <w:pPr>
              <w:jc w:val="right"/>
            </w:pPr>
            <w:r w:rsidRPr="00862610">
              <w:t>5 442 000 000 CZK</w:t>
            </w:r>
          </w:p>
        </w:tc>
      </w:tr>
      <w:tr w:rsidR="006433F4" w:rsidRPr="00862610" w:rsidTr="00EC0ADF">
        <w:trPr>
          <w:trHeight w:hRule="exact" w:val="397"/>
          <w:jc w:val="center"/>
        </w:trPr>
        <w:tc>
          <w:tcPr>
            <w:tcW w:w="5954" w:type="dxa"/>
            <w:vAlign w:val="center"/>
          </w:tcPr>
          <w:p w:rsidR="006433F4" w:rsidRPr="00862610" w:rsidRDefault="006433F4" w:rsidP="00EC0ADF">
            <w:r w:rsidRPr="00862610">
              <w:t>ERDF revitalizace veřejných prostranství (Kč)</w:t>
            </w:r>
          </w:p>
        </w:tc>
        <w:tc>
          <w:tcPr>
            <w:tcW w:w="3193" w:type="dxa"/>
            <w:vAlign w:val="center"/>
          </w:tcPr>
          <w:p w:rsidR="006433F4" w:rsidRPr="00862610" w:rsidRDefault="006433F4" w:rsidP="00EC0ADF">
            <w:pPr>
              <w:jc w:val="right"/>
            </w:pPr>
            <w:r w:rsidRPr="00862610">
              <w:t>3 530 000 000 CZK</w:t>
            </w:r>
          </w:p>
        </w:tc>
      </w:tr>
      <w:tr w:rsidR="006433F4" w:rsidRPr="00862610" w:rsidTr="00EC0ADF">
        <w:trPr>
          <w:trHeight w:hRule="exact" w:val="397"/>
          <w:jc w:val="center"/>
        </w:trPr>
        <w:tc>
          <w:tcPr>
            <w:tcW w:w="5954" w:type="dxa"/>
            <w:vAlign w:val="center"/>
          </w:tcPr>
          <w:p w:rsidR="006433F4" w:rsidRPr="00862610" w:rsidRDefault="006433F4" w:rsidP="00EC0ADF">
            <w:r w:rsidRPr="00862610">
              <w:lastRenderedPageBreak/>
              <w:t>ERDF regenerace bytových domů (Kč)</w:t>
            </w:r>
          </w:p>
        </w:tc>
        <w:tc>
          <w:tcPr>
            <w:tcW w:w="3193" w:type="dxa"/>
            <w:vAlign w:val="center"/>
          </w:tcPr>
          <w:p w:rsidR="006433F4" w:rsidRPr="00862610" w:rsidRDefault="006433F4" w:rsidP="00EC0ADF">
            <w:pPr>
              <w:jc w:val="right"/>
            </w:pPr>
            <w:r w:rsidRPr="00862610">
              <w:t>1 932 000 000 CZK</w:t>
            </w:r>
          </w:p>
        </w:tc>
      </w:tr>
      <w:tr w:rsidR="006433F4" w:rsidRPr="00862610" w:rsidTr="00EC0ADF">
        <w:trPr>
          <w:trHeight w:hRule="exact" w:val="397"/>
          <w:jc w:val="center"/>
        </w:trPr>
        <w:tc>
          <w:tcPr>
            <w:tcW w:w="5954" w:type="dxa"/>
            <w:vAlign w:val="center"/>
          </w:tcPr>
          <w:p w:rsidR="006433F4" w:rsidRPr="00862610" w:rsidRDefault="006433F4" w:rsidP="00EC0ADF">
            <w:r w:rsidRPr="00862610">
              <w:t>Plocha revitalizovaného území (m2)</w:t>
            </w:r>
          </w:p>
        </w:tc>
        <w:tc>
          <w:tcPr>
            <w:tcW w:w="3193" w:type="dxa"/>
            <w:vAlign w:val="center"/>
          </w:tcPr>
          <w:p w:rsidR="006433F4" w:rsidRPr="00862610" w:rsidRDefault="006433F4" w:rsidP="00EC0ADF">
            <w:pPr>
              <w:jc w:val="right"/>
            </w:pPr>
            <w:r w:rsidRPr="00862610">
              <w:t>4 152 989 m</w:t>
            </w:r>
            <w:r w:rsidRPr="00862610">
              <w:rPr>
                <w:vertAlign w:val="superscript"/>
              </w:rPr>
              <w:t>2</w:t>
            </w:r>
          </w:p>
        </w:tc>
      </w:tr>
      <w:tr w:rsidR="006433F4" w:rsidRPr="00862610" w:rsidTr="00EC0ADF">
        <w:trPr>
          <w:trHeight w:hRule="exact" w:val="397"/>
          <w:jc w:val="center"/>
        </w:trPr>
        <w:tc>
          <w:tcPr>
            <w:tcW w:w="5954" w:type="dxa"/>
            <w:vAlign w:val="center"/>
          </w:tcPr>
          <w:p w:rsidR="006433F4" w:rsidRPr="00862610" w:rsidRDefault="006433F4" w:rsidP="00EC0ADF">
            <w:r w:rsidRPr="00862610">
              <w:t>Počet regenerovaných bytů (počet)</w:t>
            </w:r>
          </w:p>
        </w:tc>
        <w:tc>
          <w:tcPr>
            <w:tcW w:w="3193" w:type="dxa"/>
            <w:vAlign w:val="center"/>
          </w:tcPr>
          <w:p w:rsidR="006433F4" w:rsidRPr="00862610" w:rsidRDefault="006433F4" w:rsidP="00EC0ADF">
            <w:pPr>
              <w:jc w:val="right"/>
            </w:pPr>
            <w:r w:rsidRPr="00862610">
              <w:t>23 266 ks</w:t>
            </w:r>
          </w:p>
        </w:tc>
      </w:tr>
      <w:tr w:rsidR="006433F4" w:rsidRPr="00862610" w:rsidTr="00EC0ADF">
        <w:trPr>
          <w:trHeight w:hRule="exact" w:val="397"/>
          <w:jc w:val="center"/>
        </w:trPr>
        <w:tc>
          <w:tcPr>
            <w:tcW w:w="5954" w:type="dxa"/>
            <w:vAlign w:val="center"/>
          </w:tcPr>
          <w:p w:rsidR="006433F4" w:rsidRPr="00862610" w:rsidRDefault="006433F4" w:rsidP="00EC0ADF">
            <w:r w:rsidRPr="00862610">
              <w:t>Úspora spotřeby energie (%)</w:t>
            </w:r>
          </w:p>
        </w:tc>
        <w:tc>
          <w:tcPr>
            <w:tcW w:w="3193" w:type="dxa"/>
            <w:vAlign w:val="center"/>
          </w:tcPr>
          <w:p w:rsidR="006433F4" w:rsidRPr="00862610" w:rsidRDefault="006433F4" w:rsidP="00EC0ADF">
            <w:pPr>
              <w:jc w:val="right"/>
            </w:pPr>
            <w:r w:rsidRPr="00862610">
              <w:t>21 %</w:t>
            </w:r>
          </w:p>
        </w:tc>
      </w:tr>
      <w:tr w:rsidR="006433F4" w:rsidRPr="00862610" w:rsidTr="00EC0ADF">
        <w:trPr>
          <w:trHeight w:hRule="exact" w:val="397"/>
          <w:jc w:val="center"/>
        </w:trPr>
        <w:tc>
          <w:tcPr>
            <w:tcW w:w="5954" w:type="dxa"/>
            <w:vAlign w:val="center"/>
          </w:tcPr>
          <w:p w:rsidR="006433F4" w:rsidRPr="00862610" w:rsidRDefault="006433F4" w:rsidP="00EC0ADF">
            <w:r w:rsidRPr="00862610">
              <w:t>Aktivita revitalizace veřejných prostranství (%)</w:t>
            </w:r>
          </w:p>
        </w:tc>
        <w:tc>
          <w:tcPr>
            <w:tcW w:w="3193" w:type="dxa"/>
            <w:vAlign w:val="center"/>
          </w:tcPr>
          <w:p w:rsidR="006433F4" w:rsidRPr="00862610" w:rsidRDefault="006433F4" w:rsidP="00EC0ADF">
            <w:pPr>
              <w:jc w:val="right"/>
            </w:pPr>
            <w:r w:rsidRPr="00862610">
              <w:t>43 %</w:t>
            </w:r>
          </w:p>
        </w:tc>
      </w:tr>
      <w:tr w:rsidR="006433F4" w:rsidRPr="00862610" w:rsidTr="00EC0ADF">
        <w:trPr>
          <w:trHeight w:hRule="exact" w:val="397"/>
          <w:jc w:val="center"/>
        </w:trPr>
        <w:tc>
          <w:tcPr>
            <w:tcW w:w="5954" w:type="dxa"/>
            <w:vAlign w:val="center"/>
          </w:tcPr>
          <w:p w:rsidR="006433F4" w:rsidRPr="00862610" w:rsidRDefault="006433F4" w:rsidP="00EC0ADF">
            <w:r w:rsidRPr="00862610">
              <w:t>Aktivita regenerace bytových domů (%)</w:t>
            </w:r>
          </w:p>
        </w:tc>
        <w:tc>
          <w:tcPr>
            <w:tcW w:w="3193" w:type="dxa"/>
            <w:vAlign w:val="center"/>
          </w:tcPr>
          <w:p w:rsidR="006433F4" w:rsidRPr="00862610" w:rsidRDefault="006433F4" w:rsidP="00EC0ADF">
            <w:pPr>
              <w:jc w:val="right"/>
            </w:pPr>
            <w:r w:rsidRPr="00862610">
              <w:t>53 %</w:t>
            </w:r>
          </w:p>
        </w:tc>
      </w:tr>
    </w:tbl>
    <w:p w:rsidR="00A75862" w:rsidRPr="00452302" w:rsidRDefault="002333AE" w:rsidP="00225446">
      <w:pPr>
        <w:spacing w:line="360" w:lineRule="auto"/>
        <w:rPr>
          <w:i/>
          <w:sz w:val="18"/>
          <w:szCs w:val="18"/>
        </w:rPr>
      </w:pPr>
      <w:r w:rsidRPr="003516C2">
        <w:rPr>
          <w:i/>
          <w:sz w:val="18"/>
          <w:szCs w:val="18"/>
        </w:rPr>
        <w:t>Z</w:t>
      </w:r>
      <w:r w:rsidR="00D46FDB">
        <w:rPr>
          <w:i/>
          <w:sz w:val="18"/>
          <w:szCs w:val="18"/>
        </w:rPr>
        <w:t>d</w:t>
      </w:r>
      <w:r w:rsidRPr="003516C2">
        <w:rPr>
          <w:i/>
          <w:sz w:val="18"/>
          <w:szCs w:val="18"/>
        </w:rPr>
        <w:t xml:space="preserve">roj: Interní </w:t>
      </w:r>
      <w:r w:rsidRPr="00452302">
        <w:rPr>
          <w:i/>
          <w:sz w:val="18"/>
          <w:szCs w:val="18"/>
        </w:rPr>
        <w:t>analýzy ŘO IOP</w:t>
      </w:r>
    </w:p>
    <w:p w:rsidR="002333AE" w:rsidRDefault="002333AE" w:rsidP="001628A2">
      <w:pPr>
        <w:jc w:val="both"/>
      </w:pPr>
    </w:p>
    <w:p w:rsidR="00A84D33" w:rsidRDefault="003F4F9A" w:rsidP="00A84D33">
      <w:pPr>
        <w:jc w:val="both"/>
        <w:rPr>
          <w:sz w:val="22"/>
          <w:szCs w:val="22"/>
        </w:rPr>
      </w:pPr>
      <w:r w:rsidRPr="00A84D33">
        <w:rPr>
          <w:sz w:val="22"/>
          <w:szCs w:val="22"/>
        </w:rPr>
        <w:t>Realizace IPRM probíhá od července 2009. ŘO IOP rozhodl o ukončení vydávání R</w:t>
      </w:r>
      <w:r>
        <w:rPr>
          <w:sz w:val="22"/>
          <w:szCs w:val="22"/>
        </w:rPr>
        <w:t xml:space="preserve">ozhodnutí </w:t>
      </w:r>
      <w:r w:rsidR="00EE5025">
        <w:rPr>
          <w:sz w:val="22"/>
          <w:szCs w:val="22"/>
        </w:rPr>
        <w:br/>
      </w:r>
      <w:r>
        <w:rPr>
          <w:sz w:val="22"/>
          <w:szCs w:val="22"/>
        </w:rPr>
        <w:t>o poskytnutí dotace</w:t>
      </w:r>
      <w:r w:rsidRPr="00A84D33">
        <w:rPr>
          <w:sz w:val="22"/>
          <w:szCs w:val="22"/>
        </w:rPr>
        <w:t xml:space="preserve"> </w:t>
      </w:r>
      <w:r>
        <w:rPr>
          <w:sz w:val="22"/>
          <w:szCs w:val="22"/>
        </w:rPr>
        <w:t>v</w:t>
      </w:r>
      <w:r w:rsidRPr="00A84D33">
        <w:rPr>
          <w:sz w:val="22"/>
          <w:szCs w:val="22"/>
        </w:rPr>
        <w:t xml:space="preserve"> aktivit</w:t>
      </w:r>
      <w:r>
        <w:rPr>
          <w:sz w:val="22"/>
          <w:szCs w:val="22"/>
        </w:rPr>
        <w:t>ě</w:t>
      </w:r>
      <w:r w:rsidRPr="00A84D33">
        <w:rPr>
          <w:sz w:val="22"/>
          <w:szCs w:val="22"/>
        </w:rPr>
        <w:t xml:space="preserve"> 5.2b) Regenerace bytových domů k 31. 12. 2013. Ve spolupráci s regionálními pobočkami Centra pro regionální rozvoj ŘO IOP  byla uspokojena poptávka po podpoře na regeneraci bytových domů. Od začátku roku 2014 je možné žádat </w:t>
      </w:r>
      <w:r w:rsidRPr="00A84D33">
        <w:rPr>
          <w:sz w:val="22"/>
          <w:szCs w:val="22"/>
        </w:rPr>
        <w:br/>
        <w:t>o podporu v aktivitě revitalizace veřejného prostranství. ŘO IOP v průběhu roku 2014 řešil přerozdělení zbývající alokace mezi města s absorpční kapacitou, aby bylo vyčerpáno co nejvíce z alokovaných finančních prostředků. Dále posunu</w:t>
      </w:r>
      <w:r>
        <w:rPr>
          <w:sz w:val="22"/>
          <w:szCs w:val="22"/>
        </w:rPr>
        <w:t>l</w:t>
      </w:r>
      <w:r w:rsidRPr="00A84D33">
        <w:rPr>
          <w:sz w:val="22"/>
          <w:szCs w:val="22"/>
        </w:rPr>
        <w:t xml:space="preserve"> termínu ukončení realizace projektů z původního data 30. 6. 2015 na 30. 11. 2015. V prosinci 2014 rozhodl ŘO IOP o ukončení kontinuální výzvy pro předkládání projektových žádostí v aktivitě 5.2a) k datu 15. 7. 2015. Termín byl zvolen na základě šetření mezi městy IPRM, aby všechn</w:t>
      </w:r>
      <w:r>
        <w:rPr>
          <w:sz w:val="22"/>
          <w:szCs w:val="22"/>
        </w:rPr>
        <w:t>a</w:t>
      </w:r>
      <w:r w:rsidRPr="00A84D33">
        <w:rPr>
          <w:sz w:val="22"/>
          <w:szCs w:val="22"/>
        </w:rPr>
        <w:t xml:space="preserve"> města stačila zrealizovat zamýšlené projektové záměry</w:t>
      </w:r>
      <w:r>
        <w:rPr>
          <w:sz w:val="22"/>
          <w:szCs w:val="22"/>
        </w:rPr>
        <w:t>.</w:t>
      </w:r>
    </w:p>
    <w:p w:rsidR="003F4F9A" w:rsidRPr="00A84D33" w:rsidRDefault="003F4F9A" w:rsidP="00A84D33">
      <w:pPr>
        <w:jc w:val="both"/>
        <w:rPr>
          <w:sz w:val="22"/>
          <w:szCs w:val="22"/>
        </w:rPr>
      </w:pPr>
    </w:p>
    <w:p w:rsidR="00C001C3" w:rsidRDefault="00A84D33" w:rsidP="00F36121">
      <w:pPr>
        <w:jc w:val="both"/>
        <w:rPr>
          <w:sz w:val="22"/>
          <w:szCs w:val="22"/>
        </w:rPr>
      </w:pPr>
      <w:r w:rsidRPr="00A84D33">
        <w:rPr>
          <w:sz w:val="22"/>
          <w:szCs w:val="22"/>
        </w:rPr>
        <w:t xml:space="preserve">Od ledna 2014 mohli prostřednictvím Fondu rozvoje měst zájemci z řad majitelů bytových domů v zónách IPRM žádat o zvýhodněný úvěr z finančního nástroje JESSICA na aktivitu regenerace bytových domů. </w:t>
      </w:r>
    </w:p>
    <w:p w:rsidR="00EE0E1B" w:rsidRDefault="00EE0E1B" w:rsidP="00F36121">
      <w:pPr>
        <w:jc w:val="both"/>
        <w:rPr>
          <w:sz w:val="22"/>
          <w:szCs w:val="22"/>
        </w:rPr>
      </w:pPr>
    </w:p>
    <w:p w:rsidR="00336AB9" w:rsidRPr="004B256D" w:rsidRDefault="00A75862" w:rsidP="00CD228D">
      <w:pPr>
        <w:pStyle w:val="Tabulkanzev"/>
      </w:pPr>
      <w:bookmarkStart w:id="125" w:name="_Toc416431818"/>
      <w:r w:rsidRPr="004B256D">
        <w:t xml:space="preserve">Informace o aktuálním </w:t>
      </w:r>
      <w:r w:rsidR="00336AB9" w:rsidRPr="004B256D">
        <w:t>stavu realizace IPRM v roce 2014</w:t>
      </w:r>
      <w:bookmarkEnd w:id="125"/>
    </w:p>
    <w:tbl>
      <w:tblPr>
        <w:tblW w:w="8640" w:type="dxa"/>
        <w:tblInd w:w="47"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1720"/>
        <w:gridCol w:w="1720"/>
        <w:gridCol w:w="1120"/>
        <w:gridCol w:w="1120"/>
        <w:gridCol w:w="1120"/>
      </w:tblGrid>
      <w:tr w:rsidR="004B256D" w:rsidRPr="00312A40" w:rsidTr="00410366">
        <w:trPr>
          <w:trHeight w:val="525"/>
          <w:tblHeader/>
        </w:trPr>
        <w:tc>
          <w:tcPr>
            <w:tcW w:w="1840" w:type="dxa"/>
            <w:vMerge w:val="restart"/>
            <w:shd w:val="clear" w:color="auto" w:fill="C2D69B" w:themeFill="accent3" w:themeFillTint="99"/>
            <w:vAlign w:val="center"/>
            <w:hideMark/>
          </w:tcPr>
          <w:p w:rsidR="004B256D" w:rsidRPr="008832E4" w:rsidRDefault="004B256D" w:rsidP="004F4455">
            <w:pPr>
              <w:rPr>
                <w:b/>
                <w:bCs/>
                <w:color w:val="000000"/>
                <w:sz w:val="18"/>
                <w:szCs w:val="18"/>
              </w:rPr>
            </w:pPr>
            <w:r w:rsidRPr="008832E4">
              <w:rPr>
                <w:b/>
                <w:bCs/>
                <w:color w:val="000000"/>
                <w:sz w:val="18"/>
                <w:szCs w:val="18"/>
              </w:rPr>
              <w:t>Název žadatele</w:t>
            </w:r>
          </w:p>
        </w:tc>
        <w:tc>
          <w:tcPr>
            <w:tcW w:w="1720" w:type="dxa"/>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Schválená dotace z IOP</w:t>
            </w:r>
          </w:p>
        </w:tc>
        <w:tc>
          <w:tcPr>
            <w:tcW w:w="1720" w:type="dxa"/>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Předložené projekty</w:t>
            </w:r>
          </w:p>
        </w:tc>
        <w:tc>
          <w:tcPr>
            <w:tcW w:w="1120" w:type="dxa"/>
            <w:vMerge w:val="restart"/>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Stav čerpání ke konci roku 2012</w:t>
            </w:r>
          </w:p>
        </w:tc>
        <w:tc>
          <w:tcPr>
            <w:tcW w:w="1120" w:type="dxa"/>
            <w:vMerge w:val="restart"/>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Stav čerpání ke konci roku 2013</w:t>
            </w:r>
          </w:p>
        </w:tc>
        <w:tc>
          <w:tcPr>
            <w:tcW w:w="1120" w:type="dxa"/>
            <w:vMerge w:val="restart"/>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Stav čerpání ke konci roku 2014</w:t>
            </w:r>
          </w:p>
        </w:tc>
      </w:tr>
      <w:tr w:rsidR="004B256D" w:rsidRPr="00312A40" w:rsidTr="00410366">
        <w:trPr>
          <w:trHeight w:val="300"/>
          <w:tblHeader/>
        </w:trPr>
        <w:tc>
          <w:tcPr>
            <w:tcW w:w="1840" w:type="dxa"/>
            <w:vMerge/>
            <w:shd w:val="clear" w:color="auto" w:fill="C2D69B" w:themeFill="accent3" w:themeFillTint="99"/>
            <w:vAlign w:val="center"/>
            <w:hideMark/>
          </w:tcPr>
          <w:p w:rsidR="004B256D" w:rsidRPr="008832E4" w:rsidRDefault="004B256D" w:rsidP="004F4455">
            <w:pPr>
              <w:rPr>
                <w:b/>
                <w:bCs/>
                <w:color w:val="000000"/>
                <w:sz w:val="18"/>
                <w:szCs w:val="18"/>
              </w:rPr>
            </w:pPr>
          </w:p>
        </w:tc>
        <w:tc>
          <w:tcPr>
            <w:tcW w:w="1720" w:type="dxa"/>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(z ERDF)</w:t>
            </w:r>
          </w:p>
        </w:tc>
        <w:tc>
          <w:tcPr>
            <w:tcW w:w="1720" w:type="dxa"/>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(ERDF)</w:t>
            </w:r>
          </w:p>
        </w:tc>
        <w:tc>
          <w:tcPr>
            <w:tcW w:w="1120" w:type="dxa"/>
            <w:vMerge/>
            <w:shd w:val="clear" w:color="auto" w:fill="C2D69B" w:themeFill="accent3" w:themeFillTint="99"/>
            <w:vAlign w:val="center"/>
            <w:hideMark/>
          </w:tcPr>
          <w:p w:rsidR="004B256D" w:rsidRPr="008832E4" w:rsidRDefault="004B256D" w:rsidP="002039E5">
            <w:pPr>
              <w:jc w:val="center"/>
              <w:rPr>
                <w:b/>
                <w:bCs/>
                <w:color w:val="000000"/>
                <w:sz w:val="18"/>
                <w:szCs w:val="18"/>
              </w:rPr>
            </w:pPr>
          </w:p>
        </w:tc>
        <w:tc>
          <w:tcPr>
            <w:tcW w:w="1120" w:type="dxa"/>
            <w:vMerge/>
            <w:shd w:val="clear" w:color="auto" w:fill="C2D69B" w:themeFill="accent3" w:themeFillTint="99"/>
            <w:vAlign w:val="center"/>
            <w:hideMark/>
          </w:tcPr>
          <w:p w:rsidR="004B256D" w:rsidRPr="008832E4" w:rsidRDefault="004B256D" w:rsidP="002039E5">
            <w:pPr>
              <w:jc w:val="center"/>
              <w:rPr>
                <w:b/>
                <w:bCs/>
                <w:color w:val="000000"/>
                <w:sz w:val="18"/>
                <w:szCs w:val="18"/>
              </w:rPr>
            </w:pPr>
          </w:p>
        </w:tc>
        <w:tc>
          <w:tcPr>
            <w:tcW w:w="1120" w:type="dxa"/>
            <w:vMerge/>
            <w:shd w:val="clear" w:color="auto" w:fill="C2D69B" w:themeFill="accent3" w:themeFillTint="99"/>
            <w:vAlign w:val="center"/>
            <w:hideMark/>
          </w:tcPr>
          <w:p w:rsidR="004B256D" w:rsidRPr="008832E4" w:rsidRDefault="004B256D" w:rsidP="002039E5">
            <w:pPr>
              <w:jc w:val="center"/>
              <w:rPr>
                <w:b/>
                <w:bCs/>
                <w:color w:val="000000"/>
                <w:sz w:val="18"/>
                <w:szCs w:val="18"/>
              </w:rPr>
            </w:pPr>
          </w:p>
        </w:tc>
      </w:tr>
      <w:tr w:rsidR="004B256D" w:rsidRPr="00312A40" w:rsidTr="00410366">
        <w:trPr>
          <w:trHeight w:val="300"/>
          <w:tblHeader/>
        </w:trPr>
        <w:tc>
          <w:tcPr>
            <w:tcW w:w="1840" w:type="dxa"/>
            <w:vMerge/>
            <w:shd w:val="clear" w:color="auto" w:fill="C2D69B" w:themeFill="accent3" w:themeFillTint="99"/>
            <w:vAlign w:val="center"/>
            <w:hideMark/>
          </w:tcPr>
          <w:p w:rsidR="004B256D" w:rsidRPr="008832E4" w:rsidRDefault="004B256D" w:rsidP="004F4455">
            <w:pPr>
              <w:rPr>
                <w:b/>
                <w:bCs/>
                <w:color w:val="000000"/>
                <w:sz w:val="18"/>
                <w:szCs w:val="18"/>
              </w:rPr>
            </w:pPr>
          </w:p>
        </w:tc>
        <w:tc>
          <w:tcPr>
            <w:tcW w:w="1720" w:type="dxa"/>
            <w:shd w:val="clear" w:color="auto" w:fill="C2D69B" w:themeFill="accent3" w:themeFillTint="99"/>
            <w:noWrap/>
            <w:vAlign w:val="center"/>
            <w:hideMark/>
          </w:tcPr>
          <w:p w:rsidR="004B256D" w:rsidRPr="008832E4" w:rsidRDefault="004B256D" w:rsidP="002039E5">
            <w:pPr>
              <w:jc w:val="center"/>
              <w:rPr>
                <w:b/>
                <w:bCs/>
                <w:color w:val="000000"/>
                <w:sz w:val="18"/>
                <w:szCs w:val="18"/>
              </w:rPr>
            </w:pPr>
            <w:r w:rsidRPr="008832E4">
              <w:rPr>
                <w:b/>
                <w:bCs/>
                <w:color w:val="000000"/>
                <w:sz w:val="18"/>
                <w:szCs w:val="18"/>
              </w:rPr>
              <w:t xml:space="preserve">v </w:t>
            </w:r>
            <w:proofErr w:type="gramStart"/>
            <w:r w:rsidRPr="008832E4">
              <w:rPr>
                <w:b/>
                <w:bCs/>
                <w:color w:val="000000"/>
                <w:sz w:val="18"/>
                <w:szCs w:val="18"/>
              </w:rPr>
              <w:t>EUR</w:t>
            </w:r>
            <w:proofErr w:type="gramEnd"/>
          </w:p>
        </w:tc>
        <w:tc>
          <w:tcPr>
            <w:tcW w:w="1720" w:type="dxa"/>
            <w:shd w:val="clear" w:color="auto" w:fill="C2D69B" w:themeFill="accent3" w:themeFillTint="99"/>
            <w:noWrap/>
            <w:vAlign w:val="center"/>
            <w:hideMark/>
          </w:tcPr>
          <w:p w:rsidR="004B256D" w:rsidRPr="008832E4" w:rsidRDefault="004B256D" w:rsidP="002039E5">
            <w:pPr>
              <w:jc w:val="center"/>
              <w:rPr>
                <w:b/>
                <w:bCs/>
                <w:color w:val="000000"/>
                <w:sz w:val="18"/>
                <w:szCs w:val="18"/>
              </w:rPr>
            </w:pPr>
            <w:r w:rsidRPr="008832E4">
              <w:rPr>
                <w:b/>
                <w:bCs/>
                <w:color w:val="000000"/>
                <w:sz w:val="18"/>
                <w:szCs w:val="18"/>
              </w:rPr>
              <w:t xml:space="preserve">V </w:t>
            </w:r>
            <w:proofErr w:type="gramStart"/>
            <w:r w:rsidRPr="008832E4">
              <w:rPr>
                <w:b/>
                <w:bCs/>
                <w:color w:val="000000"/>
                <w:sz w:val="18"/>
                <w:szCs w:val="18"/>
              </w:rPr>
              <w:t>EUR</w:t>
            </w:r>
            <w:proofErr w:type="gramEnd"/>
          </w:p>
        </w:tc>
        <w:tc>
          <w:tcPr>
            <w:tcW w:w="1120" w:type="dxa"/>
            <w:shd w:val="clear" w:color="auto" w:fill="C2D69B" w:themeFill="accent3" w:themeFillTint="99"/>
            <w:noWrap/>
            <w:vAlign w:val="center"/>
            <w:hideMark/>
          </w:tcPr>
          <w:p w:rsidR="004B256D" w:rsidRPr="008832E4" w:rsidRDefault="004B256D" w:rsidP="002039E5">
            <w:pPr>
              <w:jc w:val="center"/>
              <w:rPr>
                <w:b/>
                <w:bCs/>
                <w:color w:val="000000"/>
                <w:sz w:val="18"/>
                <w:szCs w:val="18"/>
              </w:rPr>
            </w:pPr>
            <w:r w:rsidRPr="008832E4">
              <w:rPr>
                <w:b/>
                <w:bCs/>
                <w:color w:val="000000"/>
                <w:sz w:val="18"/>
                <w:szCs w:val="18"/>
              </w:rPr>
              <w:t>(v %)</w:t>
            </w:r>
          </w:p>
        </w:tc>
        <w:tc>
          <w:tcPr>
            <w:tcW w:w="1120" w:type="dxa"/>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(v %)</w:t>
            </w:r>
          </w:p>
        </w:tc>
        <w:tc>
          <w:tcPr>
            <w:tcW w:w="1120" w:type="dxa"/>
            <w:shd w:val="clear" w:color="auto" w:fill="C2D69B" w:themeFill="accent3" w:themeFillTint="99"/>
            <w:vAlign w:val="center"/>
            <w:hideMark/>
          </w:tcPr>
          <w:p w:rsidR="004B256D" w:rsidRPr="008832E4" w:rsidRDefault="004B256D" w:rsidP="002039E5">
            <w:pPr>
              <w:jc w:val="center"/>
              <w:rPr>
                <w:b/>
                <w:bCs/>
                <w:color w:val="000000"/>
                <w:sz w:val="18"/>
                <w:szCs w:val="18"/>
              </w:rPr>
            </w:pPr>
            <w:r w:rsidRPr="008832E4">
              <w:rPr>
                <w:b/>
                <w:bCs/>
                <w:color w:val="000000"/>
                <w:sz w:val="18"/>
                <w:szCs w:val="18"/>
              </w:rPr>
              <w:t>(v %)</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Bohumín</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3 257 030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3 613 537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65,60</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83,96</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74,33</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Brno</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4 925 263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5 159 871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57,29</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58,12</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58,65</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Břeclav</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2 090 289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2 140 087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54,18</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54,22</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87,69</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České Budějovice</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6 849 922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7 996 523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64,01</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64,05</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82,83</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Český Těšín</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3 956 535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3 958 683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76,36</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78,50</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95,07</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Děčín</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2 948 794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3 183 393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32,04</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36,70</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64,08</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Frýdek-Místek</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6 138 173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6 763 786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66,06</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66,11</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69,70</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Havířov</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6 909 677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6 983 610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81,41</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65,38</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82,81</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Hodonín</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3 449 189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2 875 759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64,18</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64,22</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70,00</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Hradec Králové</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4 410 418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5 235 256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51,93</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54,05</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82,59</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Cheb</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2 600 750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2 781 108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26,06</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33,44</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64,53</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Chomutov</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7 341 464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6 296 295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53,99</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54,63</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62,57</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Chrudim</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3 772 944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3 795 600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67,36</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72,18</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75,54</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Jablonec nad Nisou</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4 393 360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4 537 039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51,88</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57,79</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64,51</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Jirkov</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4 561 885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3 921 113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89,45</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94,83</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81,21</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Karlovy Vary</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4 539 585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2 774 644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53,80</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57,08</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58,97</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Karviná</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5 750 823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5 379 101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65,61</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71,17</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85,88</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lastRenderedPageBreak/>
              <w:t xml:space="preserve"> Kladno</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5 660 028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5 861 297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72,95</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73,00</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95,60</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Kopřivnice</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3 799 948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3 807 617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60,80</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60,84</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81,06</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Kroměříž</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3 972 531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4 856 884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72,96</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77,38</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86,52</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Liberec</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8 057 591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6 030 708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58,16</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67,01</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63,13</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Litvínov</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4 262 583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3 221 231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68,98</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75,10</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74,76</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Mladá Boleslav</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6 301 013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7 491 720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78,07</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79,61</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78,58</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Most</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4 954 049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4 547 438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56,05</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58,98</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74,00</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Náchod</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3 750 977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4 623 650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55,78</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66,09</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82,30</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Nový Jičín</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3 507 776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4 230 191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83,43</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86,53</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91,92</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Olomouc</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6 419 918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6 199 053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62,53</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65,81</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83,76</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Opava</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6 440 187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6 457 100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79,11</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79,75</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87,17</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Orlová</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3 197 484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2 549 023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61,03</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61,08</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71,42</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Ostrava</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5 290 560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5 872 676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39,00</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60,71</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82,36</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Pardubice</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6 792 570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5 735 901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56,53</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61,22</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70,26</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Písek</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3 381 371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3 428 595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44,03</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45,42</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63,44</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Přerov</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3 315 901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2 848 873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51,04</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59,91</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68,94</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Příbram</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6 385 946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5 958 173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66,89</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75,10</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69,82</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Strakonice</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5 331 992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4 070 995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65,64</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78,56</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68,55</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Tábor</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3 948 030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5 435 093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70,25</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70,30</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90,96</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Třebíč</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3 902 239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3 639 866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69,45</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76,04</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86,71</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5565E9">
            <w:pPr>
              <w:rPr>
                <w:color w:val="000000"/>
                <w:sz w:val="18"/>
                <w:szCs w:val="18"/>
              </w:rPr>
            </w:pPr>
            <w:r w:rsidRPr="008832E4">
              <w:rPr>
                <w:color w:val="000000"/>
                <w:sz w:val="18"/>
                <w:szCs w:val="18"/>
              </w:rPr>
              <w:t xml:space="preserve"> Uherské Hradiště</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3 508 529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3 732 695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63,36</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68,94</w:t>
            </w:r>
          </w:p>
        </w:tc>
        <w:tc>
          <w:tcPr>
            <w:tcW w:w="1120" w:type="dxa"/>
            <w:shd w:val="clear" w:color="auto" w:fill="auto"/>
            <w:noWrap/>
            <w:vAlign w:val="center"/>
            <w:hideMark/>
          </w:tcPr>
          <w:p w:rsidR="004B256D" w:rsidRPr="008832E4" w:rsidRDefault="004B256D" w:rsidP="004F4455">
            <w:pPr>
              <w:jc w:val="center"/>
              <w:rPr>
                <w:color w:val="000000"/>
                <w:sz w:val="18"/>
                <w:szCs w:val="18"/>
              </w:rPr>
            </w:pPr>
            <w:r w:rsidRPr="008832E4">
              <w:rPr>
                <w:color w:val="000000"/>
                <w:sz w:val="18"/>
                <w:szCs w:val="18"/>
              </w:rPr>
              <w:t>89,42</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Ústí nad Labem</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2 761 112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2 761 160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41,93</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41,96</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99,38</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Vsetín</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4 938 967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5 623 644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55,50</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69,55</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78,23</w:t>
            </w:r>
          </w:p>
        </w:tc>
      </w:tr>
      <w:tr w:rsidR="004B256D" w:rsidRPr="00312A40" w:rsidTr="006F5C58">
        <w:trPr>
          <w:trHeight w:val="300"/>
        </w:trPr>
        <w:tc>
          <w:tcPr>
            <w:tcW w:w="1840" w:type="dxa"/>
            <w:shd w:val="clear" w:color="auto" w:fill="FFFFFF" w:themeFill="background1"/>
            <w:noWrap/>
            <w:vAlign w:val="center"/>
            <w:hideMark/>
          </w:tcPr>
          <w:p w:rsidR="004B256D" w:rsidRPr="008832E4" w:rsidRDefault="004B256D" w:rsidP="004F4455">
            <w:pPr>
              <w:rPr>
                <w:color w:val="000000"/>
                <w:sz w:val="18"/>
                <w:szCs w:val="18"/>
              </w:rPr>
            </w:pPr>
            <w:r w:rsidRPr="008832E4">
              <w:rPr>
                <w:color w:val="000000"/>
                <w:sz w:val="18"/>
                <w:szCs w:val="18"/>
              </w:rPr>
              <w:t xml:space="preserve"> Znojmo</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3 065 410    </w:t>
            </w:r>
          </w:p>
        </w:tc>
        <w:tc>
          <w:tcPr>
            <w:tcW w:w="1720" w:type="dxa"/>
            <w:shd w:val="clear" w:color="auto" w:fill="auto"/>
            <w:noWrap/>
            <w:vAlign w:val="bottom"/>
            <w:hideMark/>
          </w:tcPr>
          <w:p w:rsidR="004B256D" w:rsidRPr="008832E4" w:rsidRDefault="004B256D" w:rsidP="004F4455">
            <w:pPr>
              <w:rPr>
                <w:color w:val="000000"/>
                <w:sz w:val="18"/>
                <w:szCs w:val="18"/>
              </w:rPr>
            </w:pPr>
            <w:r w:rsidRPr="008832E4">
              <w:rPr>
                <w:color w:val="000000"/>
                <w:sz w:val="18"/>
                <w:szCs w:val="18"/>
              </w:rPr>
              <w:t xml:space="preserve">              2 476 489    </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43,44</w:t>
            </w:r>
          </w:p>
        </w:tc>
        <w:tc>
          <w:tcPr>
            <w:tcW w:w="1120" w:type="dxa"/>
            <w:shd w:val="clear" w:color="auto" w:fill="auto"/>
            <w:vAlign w:val="center"/>
            <w:hideMark/>
          </w:tcPr>
          <w:p w:rsidR="004B256D" w:rsidRPr="008832E4" w:rsidRDefault="004B256D" w:rsidP="004F4455">
            <w:pPr>
              <w:jc w:val="center"/>
              <w:rPr>
                <w:color w:val="000000"/>
                <w:sz w:val="18"/>
                <w:szCs w:val="18"/>
              </w:rPr>
            </w:pPr>
            <w:r w:rsidRPr="008832E4">
              <w:rPr>
                <w:color w:val="000000"/>
                <w:sz w:val="18"/>
                <w:szCs w:val="18"/>
              </w:rPr>
              <w:t>43,47</w:t>
            </w:r>
          </w:p>
        </w:tc>
        <w:tc>
          <w:tcPr>
            <w:tcW w:w="1120" w:type="dxa"/>
            <w:shd w:val="clear" w:color="auto" w:fill="auto"/>
            <w:noWrap/>
            <w:vAlign w:val="bottom"/>
            <w:hideMark/>
          </w:tcPr>
          <w:p w:rsidR="004B256D" w:rsidRPr="008832E4" w:rsidRDefault="004B256D" w:rsidP="004F4455">
            <w:pPr>
              <w:jc w:val="center"/>
              <w:rPr>
                <w:color w:val="000000"/>
                <w:sz w:val="18"/>
                <w:szCs w:val="18"/>
              </w:rPr>
            </w:pPr>
            <w:r w:rsidRPr="008832E4">
              <w:rPr>
                <w:color w:val="000000"/>
                <w:sz w:val="18"/>
                <w:szCs w:val="18"/>
              </w:rPr>
              <w:t>56,92</w:t>
            </w:r>
          </w:p>
        </w:tc>
      </w:tr>
      <w:tr w:rsidR="002039E5" w:rsidRPr="00312A40" w:rsidTr="006F5C58">
        <w:trPr>
          <w:trHeight w:val="315"/>
        </w:trPr>
        <w:tc>
          <w:tcPr>
            <w:tcW w:w="1840" w:type="dxa"/>
            <w:shd w:val="clear" w:color="auto" w:fill="C2D69B" w:themeFill="accent3" w:themeFillTint="99"/>
            <w:noWrap/>
            <w:vAlign w:val="center"/>
            <w:hideMark/>
          </w:tcPr>
          <w:p w:rsidR="004B256D" w:rsidRPr="008832E4" w:rsidRDefault="004B256D" w:rsidP="004F4455">
            <w:pPr>
              <w:rPr>
                <w:b/>
                <w:bCs/>
                <w:color w:val="000000"/>
                <w:sz w:val="18"/>
                <w:szCs w:val="18"/>
              </w:rPr>
            </w:pPr>
            <w:r w:rsidRPr="008832E4">
              <w:rPr>
                <w:b/>
                <w:bCs/>
                <w:color w:val="000000"/>
                <w:sz w:val="18"/>
                <w:szCs w:val="18"/>
              </w:rPr>
              <w:t>Celkem</w:t>
            </w:r>
          </w:p>
        </w:tc>
        <w:tc>
          <w:tcPr>
            <w:tcW w:w="1720" w:type="dxa"/>
            <w:shd w:val="clear" w:color="auto" w:fill="C2D69B" w:themeFill="accent3" w:themeFillTint="99"/>
            <w:noWrap/>
            <w:vAlign w:val="center"/>
            <w:hideMark/>
          </w:tcPr>
          <w:p w:rsidR="004B256D" w:rsidRPr="008832E4" w:rsidRDefault="004B256D" w:rsidP="004F4455">
            <w:pPr>
              <w:rPr>
                <w:b/>
                <w:bCs/>
                <w:color w:val="000000"/>
                <w:sz w:val="18"/>
                <w:szCs w:val="18"/>
              </w:rPr>
            </w:pPr>
            <w:r w:rsidRPr="008832E4">
              <w:rPr>
                <w:b/>
                <w:bCs/>
                <w:color w:val="000000"/>
                <w:sz w:val="18"/>
                <w:szCs w:val="18"/>
              </w:rPr>
              <w:t xml:space="preserve">         190 842 813    </w:t>
            </w:r>
          </w:p>
        </w:tc>
        <w:tc>
          <w:tcPr>
            <w:tcW w:w="1720" w:type="dxa"/>
            <w:shd w:val="clear" w:color="auto" w:fill="C2D69B" w:themeFill="accent3" w:themeFillTint="99"/>
            <w:noWrap/>
            <w:vAlign w:val="center"/>
            <w:hideMark/>
          </w:tcPr>
          <w:p w:rsidR="004B256D" w:rsidRPr="008832E4" w:rsidRDefault="004B256D" w:rsidP="004F4455">
            <w:pPr>
              <w:rPr>
                <w:b/>
                <w:bCs/>
                <w:color w:val="000000"/>
                <w:sz w:val="18"/>
                <w:szCs w:val="18"/>
              </w:rPr>
            </w:pPr>
            <w:r w:rsidRPr="008832E4">
              <w:rPr>
                <w:b/>
                <w:bCs/>
                <w:color w:val="000000"/>
                <w:sz w:val="18"/>
                <w:szCs w:val="18"/>
              </w:rPr>
              <w:t xml:space="preserve">         188 855 476    </w:t>
            </w:r>
          </w:p>
        </w:tc>
        <w:tc>
          <w:tcPr>
            <w:tcW w:w="1120" w:type="dxa"/>
            <w:shd w:val="clear" w:color="auto" w:fill="C2D69B" w:themeFill="accent3" w:themeFillTint="99"/>
            <w:noWrap/>
            <w:vAlign w:val="center"/>
            <w:hideMark/>
          </w:tcPr>
          <w:p w:rsidR="004B256D" w:rsidRPr="008832E4" w:rsidRDefault="004B256D" w:rsidP="004F4455">
            <w:pPr>
              <w:jc w:val="center"/>
              <w:rPr>
                <w:b/>
                <w:bCs/>
                <w:color w:val="000000"/>
                <w:sz w:val="18"/>
                <w:szCs w:val="18"/>
              </w:rPr>
            </w:pPr>
            <w:r w:rsidRPr="008832E4">
              <w:rPr>
                <w:b/>
                <w:bCs/>
                <w:color w:val="000000"/>
                <w:sz w:val="18"/>
                <w:szCs w:val="18"/>
              </w:rPr>
              <w:t>61,55</w:t>
            </w:r>
          </w:p>
        </w:tc>
        <w:tc>
          <w:tcPr>
            <w:tcW w:w="1120" w:type="dxa"/>
            <w:shd w:val="clear" w:color="auto" w:fill="C2D69B" w:themeFill="accent3" w:themeFillTint="99"/>
            <w:noWrap/>
            <w:vAlign w:val="center"/>
            <w:hideMark/>
          </w:tcPr>
          <w:p w:rsidR="004B256D" w:rsidRPr="008832E4" w:rsidRDefault="004B256D" w:rsidP="004F4455">
            <w:pPr>
              <w:jc w:val="center"/>
              <w:rPr>
                <w:b/>
                <w:bCs/>
                <w:color w:val="000000"/>
                <w:sz w:val="18"/>
                <w:szCs w:val="18"/>
              </w:rPr>
            </w:pPr>
            <w:r w:rsidRPr="008832E4">
              <w:rPr>
                <w:b/>
                <w:bCs/>
                <w:color w:val="000000"/>
                <w:sz w:val="18"/>
                <w:szCs w:val="18"/>
              </w:rPr>
              <w:t>65,27</w:t>
            </w:r>
          </w:p>
        </w:tc>
        <w:tc>
          <w:tcPr>
            <w:tcW w:w="1120" w:type="dxa"/>
            <w:shd w:val="clear" w:color="auto" w:fill="C2D69B" w:themeFill="accent3" w:themeFillTint="99"/>
            <w:noWrap/>
            <w:vAlign w:val="center"/>
            <w:hideMark/>
          </w:tcPr>
          <w:p w:rsidR="004B256D" w:rsidRPr="008832E4" w:rsidRDefault="004B256D" w:rsidP="004F4455">
            <w:pPr>
              <w:jc w:val="center"/>
              <w:rPr>
                <w:b/>
                <w:bCs/>
                <w:color w:val="000000"/>
                <w:sz w:val="18"/>
                <w:szCs w:val="18"/>
              </w:rPr>
            </w:pPr>
            <w:r w:rsidRPr="008832E4">
              <w:rPr>
                <w:b/>
                <w:bCs/>
                <w:color w:val="000000"/>
                <w:sz w:val="18"/>
                <w:szCs w:val="18"/>
              </w:rPr>
              <w:t>76,54</w:t>
            </w:r>
          </w:p>
        </w:tc>
      </w:tr>
    </w:tbl>
    <w:p w:rsidR="00A75862" w:rsidRPr="00DF4078" w:rsidRDefault="00A75862" w:rsidP="001628A2">
      <w:pPr>
        <w:jc w:val="both"/>
        <w:rPr>
          <w:i/>
          <w:sz w:val="18"/>
          <w:szCs w:val="18"/>
        </w:rPr>
      </w:pPr>
      <w:r w:rsidRPr="00DF4078">
        <w:rPr>
          <w:i/>
          <w:sz w:val="18"/>
          <w:szCs w:val="18"/>
        </w:rPr>
        <w:t xml:space="preserve">Zdroj:ISMonit7+ ke dni </w:t>
      </w:r>
      <w:r w:rsidR="00C001C3" w:rsidRPr="00DF4078">
        <w:rPr>
          <w:i/>
          <w:sz w:val="18"/>
          <w:szCs w:val="18"/>
        </w:rPr>
        <w:t>31. 12. 2014</w:t>
      </w:r>
    </w:p>
    <w:p w:rsidR="00D46FDB" w:rsidRDefault="00D46FDB" w:rsidP="0036006F">
      <w:pPr>
        <w:jc w:val="both"/>
        <w:rPr>
          <w:b/>
          <w:sz w:val="22"/>
          <w:szCs w:val="22"/>
        </w:rPr>
      </w:pPr>
    </w:p>
    <w:p w:rsidR="00680D32" w:rsidRDefault="00680D32" w:rsidP="0036006F">
      <w:pPr>
        <w:jc w:val="both"/>
        <w:rPr>
          <w:b/>
          <w:sz w:val="22"/>
          <w:szCs w:val="22"/>
        </w:rPr>
      </w:pPr>
    </w:p>
    <w:p w:rsidR="00A75862" w:rsidRDefault="00A75862" w:rsidP="0036006F">
      <w:pPr>
        <w:jc w:val="both"/>
        <w:rPr>
          <w:b/>
          <w:sz w:val="22"/>
          <w:szCs w:val="22"/>
        </w:rPr>
      </w:pPr>
      <w:r w:rsidRPr="00555962">
        <w:rPr>
          <w:b/>
          <w:sz w:val="22"/>
          <w:szCs w:val="22"/>
        </w:rPr>
        <w:t>Stav realizace pilotních projektů</w:t>
      </w:r>
    </w:p>
    <w:p w:rsidR="00A84D33" w:rsidRPr="00A84D33" w:rsidRDefault="00A84D33" w:rsidP="00A84D33">
      <w:pPr>
        <w:jc w:val="both"/>
        <w:rPr>
          <w:sz w:val="22"/>
          <w:szCs w:val="22"/>
        </w:rPr>
      </w:pPr>
      <w:r w:rsidRPr="00A84D33">
        <w:rPr>
          <w:sz w:val="22"/>
          <w:szCs w:val="22"/>
        </w:rPr>
        <w:t>Výzvy pro předkládání projektů jsou vyhlášeny ve všech šesti městech. K 31. 12. 2014 je v aktivitě 5.2c) evidováno 70 předložených projektů. Celkem bylo podpořeno 17 projektů v aktivitě revitalizace veřejného prostranství v hodnotě cca 74 mil. Kč a 53 projektů v aktivitě Regenerace bytových domů v hodnotě cca 296mil. Kč (ERDF+SR) v sociálně vyloučených lokalitách s romským obyvatelstvem.</w:t>
      </w:r>
    </w:p>
    <w:p w:rsidR="00A84D33" w:rsidRPr="00A84D33" w:rsidRDefault="00A84D33" w:rsidP="00A84D33">
      <w:pPr>
        <w:jc w:val="both"/>
        <w:rPr>
          <w:sz w:val="22"/>
          <w:szCs w:val="22"/>
        </w:rPr>
      </w:pPr>
    </w:p>
    <w:p w:rsidR="00D63C8B" w:rsidRPr="00A84D33" w:rsidRDefault="00D63C8B" w:rsidP="00D63C8B">
      <w:pPr>
        <w:jc w:val="both"/>
        <w:rPr>
          <w:sz w:val="22"/>
          <w:szCs w:val="22"/>
        </w:rPr>
      </w:pPr>
      <w:r w:rsidRPr="00A84D33">
        <w:rPr>
          <w:sz w:val="22"/>
          <w:szCs w:val="22"/>
        </w:rPr>
        <w:t>ŘO IOP neeviduje v realizac</w:t>
      </w:r>
      <w:r>
        <w:rPr>
          <w:sz w:val="22"/>
          <w:szCs w:val="22"/>
        </w:rPr>
        <w:t>i</w:t>
      </w:r>
      <w:r w:rsidRPr="00A84D33">
        <w:rPr>
          <w:sz w:val="22"/>
          <w:szCs w:val="22"/>
        </w:rPr>
        <w:t xml:space="preserve"> pilotních projektů výraznější komplikace a nehrozí nenaplnění cílů pilotních projektů. Aktuálně je</w:t>
      </w:r>
      <w:r>
        <w:rPr>
          <w:sz w:val="22"/>
          <w:szCs w:val="22"/>
        </w:rPr>
        <w:t xml:space="preserve"> </w:t>
      </w:r>
      <w:r w:rsidRPr="00A84D33">
        <w:rPr>
          <w:sz w:val="22"/>
          <w:szCs w:val="22"/>
        </w:rPr>
        <w:t xml:space="preserve">většina projektů ukončena a dokončuje se realizace posledních projektů v sociálně vyloučených romských lokalitách. S ohledem na místa realizace investičních projektů (sociálně vyloučené lokality) </w:t>
      </w:r>
      <w:r>
        <w:rPr>
          <w:sz w:val="22"/>
          <w:szCs w:val="22"/>
        </w:rPr>
        <w:t xml:space="preserve">ŘO IOP </w:t>
      </w:r>
      <w:r w:rsidRPr="00A84D33">
        <w:rPr>
          <w:sz w:val="22"/>
          <w:szCs w:val="22"/>
        </w:rPr>
        <w:t xml:space="preserve">dlouhodobě apeluje na kvalitní zajištění udržitelnosti projektů.  </w:t>
      </w:r>
    </w:p>
    <w:p w:rsidR="00D63C8B" w:rsidRPr="00A84D33" w:rsidRDefault="00D63C8B" w:rsidP="00D63C8B">
      <w:pPr>
        <w:jc w:val="both"/>
        <w:rPr>
          <w:sz w:val="22"/>
          <w:szCs w:val="22"/>
        </w:rPr>
      </w:pPr>
    </w:p>
    <w:p w:rsidR="00D63C8B" w:rsidRPr="00A84D33" w:rsidRDefault="00D63C8B" w:rsidP="00D63C8B">
      <w:pPr>
        <w:jc w:val="both"/>
        <w:rPr>
          <w:sz w:val="22"/>
          <w:szCs w:val="22"/>
        </w:rPr>
      </w:pPr>
      <w:r w:rsidRPr="00A84D33">
        <w:rPr>
          <w:sz w:val="22"/>
          <w:szCs w:val="22"/>
        </w:rPr>
        <w:t xml:space="preserve">Investiční projekty jsou často provázány s projekty na sociální začleňování, financované většinou </w:t>
      </w:r>
      <w:r w:rsidRPr="00A84D33">
        <w:rPr>
          <w:sz w:val="22"/>
          <w:szCs w:val="22"/>
        </w:rPr>
        <w:br/>
        <w:t xml:space="preserve">z </w:t>
      </w:r>
      <w:proofErr w:type="gramStart"/>
      <w:r w:rsidRPr="00A84D33">
        <w:rPr>
          <w:sz w:val="22"/>
          <w:szCs w:val="22"/>
        </w:rPr>
        <w:t>OP</w:t>
      </w:r>
      <w:proofErr w:type="gramEnd"/>
      <w:r w:rsidRPr="00A84D33">
        <w:rPr>
          <w:sz w:val="22"/>
          <w:szCs w:val="22"/>
        </w:rPr>
        <w:t xml:space="preserve"> LZZ, z oblasti intervence 3.2 Podpora sociální integrace příslušníků romských komunit, </w:t>
      </w:r>
      <w:r w:rsidRPr="00A84D33">
        <w:rPr>
          <w:sz w:val="22"/>
          <w:szCs w:val="22"/>
        </w:rPr>
        <w:br/>
        <w:t xml:space="preserve">5.1 Mezinárodní spolupráce (výměna zkušeností se sociálním začleňováním) a z oblasti intervence </w:t>
      </w:r>
      <w:r w:rsidRPr="00A84D33">
        <w:rPr>
          <w:sz w:val="22"/>
          <w:szCs w:val="22"/>
        </w:rPr>
        <w:lastRenderedPageBreak/>
        <w:t>IOP 3.1b</w:t>
      </w:r>
      <w:r>
        <w:rPr>
          <w:sz w:val="22"/>
          <w:szCs w:val="22"/>
        </w:rPr>
        <w:t>)</w:t>
      </w:r>
      <w:r w:rsidRPr="00A84D33">
        <w:rPr>
          <w:sz w:val="22"/>
          <w:szCs w:val="22"/>
        </w:rPr>
        <w:t xml:space="preserve">. Dále jsou </w:t>
      </w:r>
      <w:r>
        <w:rPr>
          <w:sz w:val="22"/>
          <w:szCs w:val="22"/>
        </w:rPr>
        <w:t>financ</w:t>
      </w:r>
      <w:r w:rsidRPr="00A84D33">
        <w:rPr>
          <w:sz w:val="22"/>
          <w:szCs w:val="22"/>
        </w:rPr>
        <w:t xml:space="preserve">ovány projekty z Operačního programu vzdělání pro konkurenceschopnost, které spadají do oblasti intervence 1.2 Rovné příležitosti dětí a žáků. </w:t>
      </w:r>
    </w:p>
    <w:p w:rsidR="000806A1" w:rsidRDefault="000806A1" w:rsidP="000806A1"/>
    <w:p w:rsidR="00A75862" w:rsidRPr="00BF4C30" w:rsidRDefault="00A75862" w:rsidP="00395FA0">
      <w:pPr>
        <w:pStyle w:val="Nadpis2"/>
        <w:rPr>
          <w:rFonts w:ascii="Times New Roman" w:hAnsi="Times New Roman"/>
          <w:i w:val="0"/>
        </w:rPr>
      </w:pPr>
      <w:bookmarkStart w:id="126" w:name="_Toc417024862"/>
      <w:r w:rsidRPr="009026D3">
        <w:rPr>
          <w:rFonts w:ascii="Times New Roman" w:hAnsi="Times New Roman"/>
          <w:i w:val="0"/>
        </w:rPr>
        <w:t>2.7 Opatření k</w:t>
      </w:r>
      <w:r w:rsidR="00144750">
        <w:rPr>
          <w:rFonts w:ascii="Times New Roman" w:hAnsi="Times New Roman"/>
          <w:i w:val="0"/>
        </w:rPr>
        <w:t> </w:t>
      </w:r>
      <w:r w:rsidRPr="009026D3">
        <w:rPr>
          <w:rFonts w:ascii="Times New Roman" w:hAnsi="Times New Roman"/>
          <w:i w:val="0"/>
        </w:rPr>
        <w:t>monitorování</w:t>
      </w:r>
      <w:r w:rsidR="00144750">
        <w:rPr>
          <w:rFonts w:ascii="Times New Roman" w:hAnsi="Times New Roman"/>
          <w:i w:val="0"/>
        </w:rPr>
        <w:t xml:space="preserve"> a evaluacím</w:t>
      </w:r>
      <w:r w:rsidRPr="009026D3">
        <w:rPr>
          <w:rFonts w:ascii="Times New Roman" w:hAnsi="Times New Roman"/>
          <w:i w:val="0"/>
        </w:rPr>
        <w:t xml:space="preserve"> programu</w:t>
      </w:r>
      <w:bookmarkEnd w:id="126"/>
    </w:p>
    <w:p w:rsidR="00A75862" w:rsidRDefault="00A75862" w:rsidP="000F2A6C">
      <w:pPr>
        <w:pStyle w:val="Nadpis3"/>
      </w:pPr>
      <w:bookmarkStart w:id="127" w:name="_Toc382407687"/>
      <w:bookmarkStart w:id="128" w:name="_Toc383084694"/>
      <w:bookmarkStart w:id="129" w:name="_Toc417024863"/>
      <w:r w:rsidRPr="009026D3">
        <w:t>2.7.1 Monitorování programu</w:t>
      </w:r>
      <w:bookmarkEnd w:id="127"/>
      <w:bookmarkEnd w:id="128"/>
      <w:bookmarkEnd w:id="129"/>
    </w:p>
    <w:p w:rsidR="00DC3881" w:rsidRPr="00DC3881" w:rsidRDefault="00DC3881" w:rsidP="00DC3881">
      <w:pPr>
        <w:jc w:val="both"/>
        <w:rPr>
          <w:sz w:val="22"/>
          <w:szCs w:val="22"/>
        </w:rPr>
      </w:pPr>
      <w:r w:rsidRPr="00DC3881">
        <w:rPr>
          <w:sz w:val="22"/>
          <w:szCs w:val="22"/>
        </w:rPr>
        <w:t xml:space="preserve">V roce 2014 nedošlo k významným úpravám monitorovacího systému. ŘO IOP se soustředil na predikce čerpání pro naplnění pravidla n+2. Na pracovní skupině pro finanční řízení řešil ŘO se ZS naplňování predikcí předložených žádostí o platbu a souhrnných žádostí o platbu, zpožděné žádosti </w:t>
      </w:r>
      <w:r>
        <w:rPr>
          <w:sz w:val="22"/>
          <w:szCs w:val="22"/>
        </w:rPr>
        <w:br/>
      </w:r>
      <w:r w:rsidRPr="00DC3881">
        <w:rPr>
          <w:sz w:val="22"/>
          <w:szCs w:val="22"/>
        </w:rPr>
        <w:t xml:space="preserve">o platbu, posuny harmonogramů projektů, stav zadávacích a výběrových řízení a jejich dopad na výhled čerpání. </w:t>
      </w:r>
    </w:p>
    <w:p w:rsidR="00DC3881" w:rsidRPr="00DC3881" w:rsidRDefault="00DC3881" w:rsidP="00DC3881">
      <w:pPr>
        <w:jc w:val="both"/>
        <w:rPr>
          <w:sz w:val="22"/>
          <w:szCs w:val="22"/>
        </w:rPr>
      </w:pPr>
      <w:r w:rsidRPr="00DC3881">
        <w:rPr>
          <w:sz w:val="22"/>
          <w:szCs w:val="22"/>
        </w:rPr>
        <w:t xml:space="preserve">ŘO IOP měsíčně sledoval vývoj predikcí čerpání z pohledu naplnění pravidla n+2. Do predikcí promítal na základě zkušeností z minulých let odhadovaný objem úspor z nezpůsobilých výdajů </w:t>
      </w:r>
      <w:r>
        <w:rPr>
          <w:sz w:val="22"/>
          <w:szCs w:val="22"/>
        </w:rPr>
        <w:br/>
      </w:r>
      <w:r w:rsidRPr="00DC3881">
        <w:rPr>
          <w:sz w:val="22"/>
          <w:szCs w:val="22"/>
        </w:rPr>
        <w:t xml:space="preserve">a z veřejných zakázek a míru plnění predikcí, vycházejících z harmonogramů projektů. ŘO IOP také sledoval vývoj plnění predikcí čerpání v roce2014 s dopadem na dočerpání alokace v roce 2015. </w:t>
      </w:r>
    </w:p>
    <w:p w:rsidR="00DC3881" w:rsidRPr="00DC3881" w:rsidRDefault="00DC3881" w:rsidP="00DC3881">
      <w:pPr>
        <w:jc w:val="both"/>
        <w:rPr>
          <w:sz w:val="22"/>
          <w:szCs w:val="22"/>
        </w:rPr>
      </w:pPr>
      <w:r w:rsidRPr="00DC3881">
        <w:rPr>
          <w:sz w:val="22"/>
          <w:szCs w:val="22"/>
        </w:rPr>
        <w:t xml:space="preserve">Manažerský informační systém nad datovým skladem se zdrojem dat z IS MSC2007 se začal na pokyn NOK v roce 2014 používat jako zdroj dat pro výroční zprávy a zprávy o realizaci. </w:t>
      </w:r>
    </w:p>
    <w:p w:rsidR="00336AB9" w:rsidRPr="008C4750" w:rsidRDefault="00336AB9" w:rsidP="008C4750"/>
    <w:p w:rsidR="00A75862" w:rsidRDefault="00A75862" w:rsidP="00F5726F">
      <w:pPr>
        <w:pStyle w:val="Nadpis3"/>
        <w:rPr>
          <w:b w:val="0"/>
          <w:bCs w:val="0"/>
        </w:rPr>
      </w:pPr>
      <w:bookmarkStart w:id="130" w:name="_Toc382407688"/>
      <w:bookmarkStart w:id="131" w:name="_Toc383084695"/>
      <w:bookmarkStart w:id="132" w:name="_Toc417024864"/>
      <w:r w:rsidRPr="00395FA0">
        <w:t>2.7.2 Evaluace programu</w:t>
      </w:r>
      <w:bookmarkEnd w:id="130"/>
      <w:bookmarkEnd w:id="131"/>
      <w:bookmarkEnd w:id="132"/>
      <w:r w:rsidRPr="00395FA0">
        <w:t xml:space="preserve">    </w:t>
      </w:r>
    </w:p>
    <w:p w:rsidR="004655F9" w:rsidRDefault="004655F9" w:rsidP="004655F9">
      <w:pPr>
        <w:jc w:val="both"/>
        <w:rPr>
          <w:rFonts w:eastAsia="Calibri"/>
          <w:sz w:val="22"/>
          <w:szCs w:val="22"/>
        </w:rPr>
      </w:pPr>
      <w:r>
        <w:rPr>
          <w:sz w:val="22"/>
          <w:szCs w:val="22"/>
        </w:rPr>
        <w:t>V roce 2014</w:t>
      </w:r>
      <w:r w:rsidRPr="00D25859">
        <w:rPr>
          <w:sz w:val="22"/>
          <w:szCs w:val="22"/>
        </w:rPr>
        <w:t xml:space="preserve"> provedl ŘO IOP </w:t>
      </w:r>
      <w:r>
        <w:rPr>
          <w:sz w:val="22"/>
          <w:szCs w:val="22"/>
        </w:rPr>
        <w:t xml:space="preserve">dvě externí a tři interní </w:t>
      </w:r>
      <w:r w:rsidRPr="00D25859">
        <w:rPr>
          <w:sz w:val="22"/>
          <w:szCs w:val="22"/>
        </w:rPr>
        <w:t>evaluace podl</w:t>
      </w:r>
      <w:r>
        <w:rPr>
          <w:sz w:val="22"/>
          <w:szCs w:val="22"/>
        </w:rPr>
        <w:t>e Evaluačního plánu pro rok 2014</w:t>
      </w:r>
      <w:r w:rsidRPr="00D25859">
        <w:rPr>
          <w:sz w:val="22"/>
          <w:szCs w:val="22"/>
        </w:rPr>
        <w:t>, který byl schválen na</w:t>
      </w:r>
      <w:r>
        <w:rPr>
          <w:sz w:val="22"/>
          <w:szCs w:val="22"/>
        </w:rPr>
        <w:t xml:space="preserve"> 12.</w:t>
      </w:r>
      <w:r w:rsidRPr="00D25859">
        <w:rPr>
          <w:sz w:val="22"/>
          <w:szCs w:val="22"/>
        </w:rPr>
        <w:t xml:space="preserve"> zasedání Monitorovacího výboru</w:t>
      </w:r>
      <w:r>
        <w:rPr>
          <w:sz w:val="22"/>
          <w:szCs w:val="22"/>
        </w:rPr>
        <w:t xml:space="preserve"> </w:t>
      </w:r>
      <w:r w:rsidRPr="00FB4DA1">
        <w:rPr>
          <w:sz w:val="22"/>
          <w:szCs w:val="22"/>
        </w:rPr>
        <w:t>26. listopadu 2013</w:t>
      </w:r>
      <w:r>
        <w:rPr>
          <w:sz w:val="22"/>
          <w:szCs w:val="22"/>
        </w:rPr>
        <w:t xml:space="preserve">. Pokračovala realizace jedné evaluace zprostředkujícího subjektu </w:t>
      </w:r>
      <w:proofErr w:type="spellStart"/>
      <w:r>
        <w:rPr>
          <w:sz w:val="22"/>
          <w:szCs w:val="22"/>
        </w:rPr>
        <w:t>MZd</w:t>
      </w:r>
      <w:proofErr w:type="spellEnd"/>
      <w:r>
        <w:rPr>
          <w:sz w:val="22"/>
          <w:szCs w:val="22"/>
        </w:rPr>
        <w:t>.</w:t>
      </w:r>
      <w:r>
        <w:rPr>
          <w:rFonts w:eastAsia="Calibri"/>
          <w:sz w:val="22"/>
          <w:szCs w:val="22"/>
        </w:rPr>
        <w:t xml:space="preserve"> </w:t>
      </w:r>
      <w:r>
        <w:rPr>
          <w:sz w:val="22"/>
          <w:szCs w:val="22"/>
        </w:rPr>
        <w:t>Dále,</w:t>
      </w:r>
      <w:r w:rsidRPr="00D75DAA">
        <w:rPr>
          <w:sz w:val="22"/>
          <w:szCs w:val="22"/>
        </w:rPr>
        <w:t xml:space="preserve"> </w:t>
      </w:r>
      <w:r>
        <w:rPr>
          <w:sz w:val="22"/>
          <w:szCs w:val="22"/>
        </w:rPr>
        <w:t xml:space="preserve">mimo evaluační </w:t>
      </w:r>
      <w:r w:rsidRPr="00105845">
        <w:rPr>
          <w:rFonts w:eastAsia="Calibri"/>
          <w:sz w:val="22"/>
          <w:szCs w:val="22"/>
        </w:rPr>
        <w:t xml:space="preserve">plán </w:t>
      </w:r>
      <w:r>
        <w:rPr>
          <w:rFonts w:eastAsia="Calibri"/>
          <w:sz w:val="22"/>
          <w:szCs w:val="22"/>
        </w:rPr>
        <w:t xml:space="preserve">IOP na rok 2014, </w:t>
      </w:r>
      <w:r w:rsidRPr="00105845">
        <w:rPr>
          <w:rFonts w:eastAsia="Calibri"/>
          <w:sz w:val="22"/>
          <w:szCs w:val="22"/>
        </w:rPr>
        <w:t>byla zahájena realizace předběžného posouzení využití finančního nástroje v</w:t>
      </w:r>
      <w:r>
        <w:rPr>
          <w:rFonts w:eastAsia="Calibri"/>
          <w:sz w:val="22"/>
          <w:szCs w:val="22"/>
        </w:rPr>
        <w:t> </w:t>
      </w:r>
      <w:r w:rsidRPr="00105845">
        <w:rPr>
          <w:rFonts w:eastAsia="Calibri"/>
          <w:sz w:val="22"/>
          <w:szCs w:val="22"/>
        </w:rPr>
        <w:t>IROP</w:t>
      </w:r>
      <w:r>
        <w:rPr>
          <w:rFonts w:eastAsia="Calibri"/>
          <w:sz w:val="22"/>
          <w:szCs w:val="22"/>
        </w:rPr>
        <w:t>.</w:t>
      </w:r>
    </w:p>
    <w:p w:rsidR="004655F9" w:rsidRPr="0091648A" w:rsidRDefault="004655F9" w:rsidP="004655F9">
      <w:pPr>
        <w:jc w:val="both"/>
        <w:rPr>
          <w:sz w:val="22"/>
          <w:szCs w:val="22"/>
        </w:rPr>
      </w:pPr>
      <w:r>
        <w:rPr>
          <w:sz w:val="22"/>
          <w:szCs w:val="22"/>
        </w:rPr>
        <w:t xml:space="preserve">K realizovaným interním evaluacím ŘO vypracoval </w:t>
      </w:r>
      <w:r w:rsidRPr="0091648A">
        <w:rPr>
          <w:sz w:val="22"/>
          <w:szCs w:val="22"/>
        </w:rPr>
        <w:t>Akční plány</w:t>
      </w:r>
      <w:r>
        <w:rPr>
          <w:sz w:val="22"/>
          <w:szCs w:val="22"/>
        </w:rPr>
        <w:t xml:space="preserve"> </w:t>
      </w:r>
      <w:r w:rsidRPr="006C1998">
        <w:rPr>
          <w:sz w:val="22"/>
          <w:szCs w:val="22"/>
        </w:rPr>
        <w:t>pro plnění nápravných opatřen</w:t>
      </w:r>
      <w:r>
        <w:rPr>
          <w:sz w:val="22"/>
          <w:szCs w:val="22"/>
        </w:rPr>
        <w:t xml:space="preserve">, které </w:t>
      </w:r>
      <w:r w:rsidRPr="0091648A">
        <w:rPr>
          <w:sz w:val="22"/>
          <w:szCs w:val="22"/>
        </w:rPr>
        <w:t>jsou přílohou č</w:t>
      </w:r>
      <w:r>
        <w:rPr>
          <w:sz w:val="22"/>
          <w:szCs w:val="22"/>
        </w:rPr>
        <w:t>. 3 k Výroční zprávě za rok 2014</w:t>
      </w:r>
      <w:r w:rsidRPr="0091648A">
        <w:rPr>
          <w:sz w:val="22"/>
          <w:szCs w:val="22"/>
        </w:rPr>
        <w:t>.</w:t>
      </w:r>
      <w:r w:rsidRPr="00B44D18">
        <w:rPr>
          <w:sz w:val="22"/>
          <w:szCs w:val="22"/>
        </w:rPr>
        <w:t xml:space="preserve"> </w:t>
      </w:r>
      <w:r w:rsidRPr="0091648A">
        <w:rPr>
          <w:sz w:val="22"/>
          <w:szCs w:val="22"/>
        </w:rPr>
        <w:t>Během roku 2014 pokračovalo plnění nápravných opatření z akčních plánů k e</w:t>
      </w:r>
      <w:r>
        <w:rPr>
          <w:sz w:val="22"/>
          <w:szCs w:val="22"/>
        </w:rPr>
        <w:t>valuacím ukončeným v roce 2013</w:t>
      </w:r>
      <w:r w:rsidRPr="0091648A">
        <w:rPr>
          <w:sz w:val="22"/>
          <w:szCs w:val="22"/>
        </w:rPr>
        <w:t>.</w:t>
      </w:r>
    </w:p>
    <w:p w:rsidR="004655F9" w:rsidRDefault="004655F9" w:rsidP="004655F9">
      <w:pPr>
        <w:jc w:val="both"/>
        <w:rPr>
          <w:sz w:val="22"/>
          <w:szCs w:val="22"/>
        </w:rPr>
      </w:pPr>
    </w:p>
    <w:p w:rsidR="004655F9" w:rsidRPr="00D25859" w:rsidRDefault="004655F9" w:rsidP="004655F9">
      <w:pPr>
        <w:jc w:val="both"/>
        <w:rPr>
          <w:sz w:val="22"/>
          <w:szCs w:val="22"/>
        </w:rPr>
      </w:pPr>
      <w:r w:rsidRPr="00D25859">
        <w:rPr>
          <w:sz w:val="22"/>
          <w:szCs w:val="22"/>
        </w:rPr>
        <w:t xml:space="preserve">Výstupy evaluací jsou dostupné na </w:t>
      </w:r>
      <w:hyperlink r:id="rId31" w:history="1">
        <w:r w:rsidRPr="00D25859">
          <w:rPr>
            <w:rStyle w:val="Hypertextovodkaz"/>
            <w:sz w:val="22"/>
            <w:szCs w:val="22"/>
          </w:rPr>
          <w:t>http://www.strukturalni-fondy.cz/cs/Microsites/Integrovany-OP/Dokumenty</w:t>
        </w:r>
      </w:hyperlink>
      <w:r w:rsidRPr="00D25859">
        <w:rPr>
          <w:sz w:val="22"/>
          <w:szCs w:val="22"/>
        </w:rPr>
        <w:t>.</w:t>
      </w:r>
    </w:p>
    <w:p w:rsidR="004655F9" w:rsidRPr="00D25859" w:rsidRDefault="004655F9" w:rsidP="004655F9"/>
    <w:p w:rsidR="004655F9" w:rsidRDefault="004655F9" w:rsidP="004655F9">
      <w:pPr>
        <w:rPr>
          <w:b/>
          <w:sz w:val="22"/>
          <w:szCs w:val="22"/>
        </w:rPr>
      </w:pPr>
    </w:p>
    <w:p w:rsidR="004655F9" w:rsidRPr="0004025B" w:rsidRDefault="004655F9" w:rsidP="0004025B">
      <w:pPr>
        <w:rPr>
          <w:b/>
          <w:i/>
          <w:sz w:val="22"/>
          <w:szCs w:val="22"/>
        </w:rPr>
      </w:pPr>
      <w:r w:rsidRPr="0004025B">
        <w:rPr>
          <w:b/>
          <w:i/>
          <w:sz w:val="22"/>
          <w:szCs w:val="22"/>
        </w:rPr>
        <w:t xml:space="preserve">Evaluace řídícího orgánu </w:t>
      </w:r>
    </w:p>
    <w:p w:rsidR="004655F9" w:rsidRPr="006C1998" w:rsidRDefault="004655F9" w:rsidP="004655F9"/>
    <w:p w:rsidR="004655F9" w:rsidRDefault="004655F9" w:rsidP="004655F9">
      <w:pPr>
        <w:jc w:val="both"/>
        <w:rPr>
          <w:b/>
          <w:sz w:val="22"/>
          <w:szCs w:val="22"/>
          <w:u w:val="single"/>
        </w:rPr>
      </w:pPr>
      <w:r w:rsidRPr="002C50A1">
        <w:rPr>
          <w:b/>
          <w:sz w:val="22"/>
          <w:szCs w:val="22"/>
          <w:u w:val="single"/>
        </w:rPr>
        <w:t>Ex-ante evaluace IROP pro programové období 2014 – 2020</w:t>
      </w:r>
    </w:p>
    <w:p w:rsidR="004655F9" w:rsidRPr="0044204C" w:rsidRDefault="004655F9" w:rsidP="004655F9">
      <w:pPr>
        <w:jc w:val="both"/>
        <w:rPr>
          <w:sz w:val="22"/>
          <w:szCs w:val="22"/>
        </w:rPr>
      </w:pPr>
      <w:r w:rsidRPr="0044204C">
        <w:rPr>
          <w:sz w:val="22"/>
          <w:szCs w:val="22"/>
        </w:rPr>
        <w:t>Zadání ex ante-předběžného hodnocení vychází z čl. 48 nařízení o společných ustanoveních, jeho provedení je povinností orgánu odpovědného za přípravu programu</w:t>
      </w:r>
      <w:r>
        <w:rPr>
          <w:sz w:val="22"/>
          <w:szCs w:val="22"/>
        </w:rPr>
        <w:t>.</w:t>
      </w:r>
      <w:r w:rsidRPr="0044204C">
        <w:rPr>
          <w:sz w:val="22"/>
          <w:szCs w:val="22"/>
        </w:rPr>
        <w:t xml:space="preserve"> </w:t>
      </w:r>
      <w:r>
        <w:rPr>
          <w:sz w:val="22"/>
          <w:szCs w:val="22"/>
        </w:rPr>
        <w:t>P</w:t>
      </w:r>
      <w:r w:rsidRPr="0044204C">
        <w:rPr>
          <w:sz w:val="22"/>
          <w:szCs w:val="22"/>
        </w:rPr>
        <w:t>ředběžné hodnocení se předkládá Komisi současně s programem a</w:t>
      </w:r>
      <w:r w:rsidR="0000516F">
        <w:rPr>
          <w:sz w:val="22"/>
          <w:szCs w:val="22"/>
        </w:rPr>
        <w:t xml:space="preserve"> se shrnutím. Hodnocení prováděli</w:t>
      </w:r>
      <w:r w:rsidRPr="0044204C">
        <w:rPr>
          <w:sz w:val="22"/>
          <w:szCs w:val="22"/>
        </w:rPr>
        <w:t xml:space="preserve"> odborníci funkčně nezávislí na řídícím orgánu či zpracovateli návrhu programu. </w:t>
      </w:r>
    </w:p>
    <w:p w:rsidR="004655F9" w:rsidRPr="0044204C" w:rsidRDefault="004655F9" w:rsidP="004655F9">
      <w:pPr>
        <w:jc w:val="both"/>
        <w:rPr>
          <w:sz w:val="22"/>
          <w:szCs w:val="22"/>
        </w:rPr>
      </w:pPr>
    </w:p>
    <w:p w:rsidR="004655F9" w:rsidRPr="0044204C" w:rsidRDefault="004655F9" w:rsidP="004655F9">
      <w:pPr>
        <w:jc w:val="both"/>
        <w:rPr>
          <w:sz w:val="22"/>
          <w:szCs w:val="22"/>
        </w:rPr>
      </w:pPr>
      <w:r w:rsidRPr="0044204C">
        <w:rPr>
          <w:sz w:val="22"/>
          <w:szCs w:val="22"/>
        </w:rPr>
        <w:t>Doba realizace (období): říjen 2013 –</w:t>
      </w:r>
      <w:r>
        <w:rPr>
          <w:sz w:val="22"/>
          <w:szCs w:val="22"/>
        </w:rPr>
        <w:t xml:space="preserve"> červen </w:t>
      </w:r>
      <w:r w:rsidRPr="0044204C">
        <w:rPr>
          <w:sz w:val="22"/>
          <w:szCs w:val="22"/>
        </w:rPr>
        <w:t>2014</w:t>
      </w:r>
    </w:p>
    <w:p w:rsidR="004655F9" w:rsidRPr="0044204C" w:rsidRDefault="004655F9" w:rsidP="004655F9">
      <w:pPr>
        <w:jc w:val="both"/>
        <w:rPr>
          <w:sz w:val="22"/>
          <w:szCs w:val="22"/>
        </w:rPr>
      </w:pPr>
      <w:r w:rsidRPr="0044204C">
        <w:rPr>
          <w:sz w:val="22"/>
          <w:szCs w:val="22"/>
        </w:rPr>
        <w:t>Typ: externí</w:t>
      </w:r>
    </w:p>
    <w:p w:rsidR="004655F9" w:rsidRPr="0044204C" w:rsidRDefault="004655F9" w:rsidP="004655F9">
      <w:pPr>
        <w:jc w:val="both"/>
        <w:rPr>
          <w:sz w:val="22"/>
          <w:szCs w:val="22"/>
        </w:rPr>
      </w:pPr>
      <w:r w:rsidRPr="0044204C">
        <w:rPr>
          <w:sz w:val="22"/>
          <w:szCs w:val="22"/>
        </w:rPr>
        <w:t>Finanční rozsah:  290 000,- bez DPH</w:t>
      </w:r>
    </w:p>
    <w:p w:rsidR="004655F9" w:rsidRPr="0044204C" w:rsidRDefault="004655F9" w:rsidP="004655F9">
      <w:pPr>
        <w:jc w:val="both"/>
        <w:rPr>
          <w:sz w:val="22"/>
          <w:szCs w:val="22"/>
        </w:rPr>
      </w:pPr>
      <w:r w:rsidRPr="0044204C">
        <w:rPr>
          <w:sz w:val="22"/>
          <w:szCs w:val="22"/>
        </w:rPr>
        <w:t xml:space="preserve">Zpracovatel: </w:t>
      </w:r>
      <w:proofErr w:type="spellStart"/>
      <w:r w:rsidRPr="0044204C">
        <w:rPr>
          <w:sz w:val="22"/>
          <w:szCs w:val="22"/>
        </w:rPr>
        <w:t>Deloitte</w:t>
      </w:r>
      <w:proofErr w:type="spellEnd"/>
      <w:r w:rsidRPr="0044204C">
        <w:rPr>
          <w:sz w:val="22"/>
          <w:szCs w:val="22"/>
        </w:rPr>
        <w:t xml:space="preserve"> </w:t>
      </w:r>
      <w:proofErr w:type="spellStart"/>
      <w:r w:rsidRPr="0044204C">
        <w:rPr>
          <w:sz w:val="22"/>
          <w:szCs w:val="22"/>
        </w:rPr>
        <w:t>Advisory</w:t>
      </w:r>
      <w:proofErr w:type="spellEnd"/>
      <w:r w:rsidRPr="0044204C">
        <w:rPr>
          <w:sz w:val="22"/>
          <w:szCs w:val="22"/>
        </w:rPr>
        <w:t xml:space="preserve"> s.r.o. </w:t>
      </w:r>
    </w:p>
    <w:p w:rsidR="004655F9" w:rsidRDefault="004655F9" w:rsidP="004655F9">
      <w:pPr>
        <w:jc w:val="both"/>
        <w:rPr>
          <w:sz w:val="22"/>
          <w:szCs w:val="22"/>
        </w:rPr>
      </w:pPr>
    </w:p>
    <w:p w:rsidR="004655F9" w:rsidRDefault="004655F9" w:rsidP="004655F9">
      <w:pPr>
        <w:jc w:val="both"/>
        <w:rPr>
          <w:bCs/>
          <w:iCs/>
          <w:sz w:val="22"/>
          <w:szCs w:val="22"/>
        </w:rPr>
      </w:pPr>
      <w:r>
        <w:rPr>
          <w:bCs/>
          <w:iCs/>
          <w:sz w:val="22"/>
          <w:szCs w:val="22"/>
        </w:rPr>
        <w:t>Výstupem je závěrečná zpráva</w:t>
      </w:r>
      <w:r w:rsidRPr="00827E30">
        <w:rPr>
          <w:bCs/>
          <w:iCs/>
          <w:sz w:val="22"/>
          <w:szCs w:val="22"/>
        </w:rPr>
        <w:t>, zveřejněn</w:t>
      </w:r>
      <w:r>
        <w:rPr>
          <w:bCs/>
          <w:iCs/>
          <w:sz w:val="22"/>
          <w:szCs w:val="22"/>
        </w:rPr>
        <w:t>á</w:t>
      </w:r>
      <w:r w:rsidRPr="00827E30">
        <w:rPr>
          <w:bCs/>
          <w:iCs/>
          <w:sz w:val="22"/>
          <w:szCs w:val="22"/>
        </w:rPr>
        <w:t xml:space="preserve"> na webových stránkách </w:t>
      </w:r>
      <w:hyperlink r:id="rId32" w:history="1">
        <w:r w:rsidRPr="00A51757">
          <w:rPr>
            <w:rStyle w:val="Hypertextovodkaz"/>
            <w:bCs/>
            <w:iCs/>
            <w:sz w:val="22"/>
            <w:szCs w:val="22"/>
          </w:rPr>
          <w:t>https://www.strukturalni-fondy.cz/cs/Microsites/IROP/Dokumenty</w:t>
        </w:r>
      </w:hyperlink>
      <w:r>
        <w:rPr>
          <w:bCs/>
          <w:iCs/>
          <w:sz w:val="22"/>
          <w:szCs w:val="22"/>
        </w:rPr>
        <w:t xml:space="preserve"> </w:t>
      </w:r>
      <w:r w:rsidRPr="00827E30">
        <w:rPr>
          <w:bCs/>
          <w:iCs/>
          <w:sz w:val="22"/>
          <w:szCs w:val="22"/>
        </w:rPr>
        <w:t>v sekci</w:t>
      </w:r>
      <w:r>
        <w:rPr>
          <w:bCs/>
          <w:iCs/>
          <w:sz w:val="22"/>
          <w:szCs w:val="22"/>
        </w:rPr>
        <w:t xml:space="preserve"> Dokumenty ke stažení</w:t>
      </w:r>
      <w:r w:rsidRPr="00827E30">
        <w:rPr>
          <w:bCs/>
          <w:iCs/>
          <w:sz w:val="22"/>
          <w:szCs w:val="22"/>
        </w:rPr>
        <w:t>.</w:t>
      </w:r>
    </w:p>
    <w:p w:rsidR="004655F9" w:rsidRPr="0044204C" w:rsidRDefault="004655F9" w:rsidP="004655F9">
      <w:pPr>
        <w:jc w:val="both"/>
        <w:rPr>
          <w:sz w:val="22"/>
          <w:szCs w:val="22"/>
        </w:rPr>
      </w:pPr>
    </w:p>
    <w:p w:rsidR="004655F9" w:rsidRDefault="004655F9" w:rsidP="004655F9">
      <w:pPr>
        <w:jc w:val="both"/>
        <w:rPr>
          <w:b/>
          <w:sz w:val="22"/>
          <w:szCs w:val="22"/>
        </w:rPr>
      </w:pPr>
      <w:r w:rsidRPr="007A19FE">
        <w:rPr>
          <w:b/>
          <w:sz w:val="22"/>
          <w:szCs w:val="22"/>
        </w:rPr>
        <w:t>Stručné shrnutí závěrů</w:t>
      </w:r>
    </w:p>
    <w:p w:rsidR="00D63C8B" w:rsidRPr="00105845" w:rsidRDefault="00D63C8B" w:rsidP="00D63C8B">
      <w:pPr>
        <w:jc w:val="both"/>
        <w:rPr>
          <w:sz w:val="22"/>
          <w:szCs w:val="22"/>
        </w:rPr>
      </w:pPr>
      <w:r w:rsidRPr="00105845">
        <w:rPr>
          <w:sz w:val="22"/>
          <w:szCs w:val="22"/>
        </w:rPr>
        <w:t>Hodnocení bylo realizováno na</w:t>
      </w:r>
      <w:r>
        <w:rPr>
          <w:sz w:val="22"/>
          <w:szCs w:val="22"/>
        </w:rPr>
        <w:t xml:space="preserve"> základě</w:t>
      </w:r>
      <w:r w:rsidRPr="00105845">
        <w:rPr>
          <w:sz w:val="22"/>
          <w:szCs w:val="22"/>
        </w:rPr>
        <w:t xml:space="preserve"> programov</w:t>
      </w:r>
      <w:r>
        <w:rPr>
          <w:sz w:val="22"/>
          <w:szCs w:val="22"/>
        </w:rPr>
        <w:t>ého</w:t>
      </w:r>
      <w:r w:rsidRPr="00105845">
        <w:rPr>
          <w:sz w:val="22"/>
          <w:szCs w:val="22"/>
        </w:rPr>
        <w:t xml:space="preserve"> dokument</w:t>
      </w:r>
      <w:r>
        <w:rPr>
          <w:sz w:val="22"/>
          <w:szCs w:val="22"/>
        </w:rPr>
        <w:t>u</w:t>
      </w:r>
      <w:r w:rsidRPr="00105845">
        <w:rPr>
          <w:sz w:val="22"/>
          <w:szCs w:val="22"/>
        </w:rPr>
        <w:t xml:space="preserve"> ve verzi ke 2. 5. 2014, včetně jeho příloh, za využití evaluačních okruhů, vymezen</w:t>
      </w:r>
      <w:r>
        <w:rPr>
          <w:sz w:val="22"/>
          <w:szCs w:val="22"/>
        </w:rPr>
        <w:t>ých</w:t>
      </w:r>
      <w:r w:rsidRPr="00105845">
        <w:rPr>
          <w:sz w:val="22"/>
          <w:szCs w:val="22"/>
        </w:rPr>
        <w:t xml:space="preserve"> v zadání zakázky</w:t>
      </w:r>
      <w:r>
        <w:rPr>
          <w:sz w:val="22"/>
          <w:szCs w:val="22"/>
        </w:rPr>
        <w:t>.</w:t>
      </w:r>
      <w:r w:rsidRPr="00105845">
        <w:rPr>
          <w:sz w:val="22"/>
          <w:szCs w:val="22"/>
        </w:rPr>
        <w:t xml:space="preserve"> </w:t>
      </w:r>
      <w:r>
        <w:rPr>
          <w:sz w:val="22"/>
          <w:szCs w:val="22"/>
        </w:rPr>
        <w:t>T</w:t>
      </w:r>
      <w:r w:rsidRPr="00105845">
        <w:rPr>
          <w:sz w:val="22"/>
          <w:szCs w:val="22"/>
        </w:rPr>
        <w:t>yto okruhy pokrývají požadované oblasti zájmu, specifikov</w:t>
      </w:r>
      <w:r>
        <w:rPr>
          <w:sz w:val="22"/>
          <w:szCs w:val="22"/>
        </w:rPr>
        <w:t>a</w:t>
      </w:r>
      <w:r w:rsidRPr="00105845">
        <w:rPr>
          <w:sz w:val="22"/>
          <w:szCs w:val="22"/>
        </w:rPr>
        <w:t>n</w:t>
      </w:r>
      <w:r>
        <w:rPr>
          <w:sz w:val="22"/>
          <w:szCs w:val="22"/>
        </w:rPr>
        <w:t>é</w:t>
      </w:r>
      <w:r w:rsidRPr="00105845">
        <w:rPr>
          <w:sz w:val="22"/>
          <w:szCs w:val="22"/>
        </w:rPr>
        <w:t xml:space="preserve"> v čl. 55 Obecného nařízení (schválené dne 17. 12. 2013)</w:t>
      </w:r>
      <w:r>
        <w:rPr>
          <w:sz w:val="22"/>
          <w:szCs w:val="22"/>
        </w:rPr>
        <w:t>.</w:t>
      </w:r>
    </w:p>
    <w:p w:rsidR="00D63C8B" w:rsidRDefault="00D63C8B" w:rsidP="00D63C8B">
      <w:pPr>
        <w:jc w:val="both"/>
        <w:rPr>
          <w:b/>
          <w:sz w:val="22"/>
          <w:szCs w:val="22"/>
        </w:rPr>
      </w:pPr>
    </w:p>
    <w:p w:rsidR="00D63C8B" w:rsidRDefault="00D63C8B" w:rsidP="00D63C8B">
      <w:pPr>
        <w:jc w:val="both"/>
        <w:rPr>
          <w:sz w:val="22"/>
          <w:szCs w:val="22"/>
        </w:rPr>
      </w:pPr>
      <w:r w:rsidRPr="00105845">
        <w:rPr>
          <w:sz w:val="22"/>
          <w:szCs w:val="22"/>
        </w:rPr>
        <w:lastRenderedPageBreak/>
        <w:t>Za hlavní problematické oblasti</w:t>
      </w:r>
      <w:r>
        <w:rPr>
          <w:sz w:val="22"/>
          <w:szCs w:val="22"/>
        </w:rPr>
        <w:t>,</w:t>
      </w:r>
      <w:r w:rsidRPr="00105845">
        <w:rPr>
          <w:sz w:val="22"/>
          <w:szCs w:val="22"/>
        </w:rPr>
        <w:t xml:space="preserve"> vyžadující zvýšenou pozornost</w:t>
      </w:r>
      <w:r>
        <w:rPr>
          <w:sz w:val="22"/>
          <w:szCs w:val="22"/>
        </w:rPr>
        <w:t>,</w:t>
      </w:r>
      <w:r w:rsidRPr="00105845">
        <w:rPr>
          <w:sz w:val="22"/>
          <w:szCs w:val="22"/>
        </w:rPr>
        <w:t xml:space="preserve"> považuje hodnotitel především kapitolu 3 programového dokumentu, věnující se Financování a rozdělení alokace, kapitolu </w:t>
      </w:r>
      <w:r w:rsidR="00CD186C">
        <w:rPr>
          <w:sz w:val="22"/>
          <w:szCs w:val="22"/>
        </w:rPr>
        <w:br/>
      </w:r>
      <w:r w:rsidRPr="00105845">
        <w:rPr>
          <w:sz w:val="22"/>
          <w:szCs w:val="22"/>
        </w:rPr>
        <w:t xml:space="preserve">č. 4 ohledně Integrovaných nástrojů a územního rozvoje a kapitolu č. 7 věnující se Implementační </w:t>
      </w:r>
      <w:r>
        <w:rPr>
          <w:sz w:val="22"/>
          <w:szCs w:val="22"/>
        </w:rPr>
        <w:br/>
      </w:r>
      <w:r w:rsidRPr="00105845">
        <w:rPr>
          <w:sz w:val="22"/>
          <w:szCs w:val="22"/>
        </w:rPr>
        <w:t>a administrativní struktuře.</w:t>
      </w:r>
    </w:p>
    <w:p w:rsidR="004655F9" w:rsidRDefault="00D63C8B" w:rsidP="00D63C8B">
      <w:pPr>
        <w:jc w:val="both"/>
        <w:rPr>
          <w:sz w:val="22"/>
          <w:szCs w:val="22"/>
        </w:rPr>
      </w:pPr>
      <w:r w:rsidRPr="00105845">
        <w:rPr>
          <w:sz w:val="22"/>
          <w:szCs w:val="22"/>
        </w:rPr>
        <w:t xml:space="preserve">Ex-ante hodnotitel považuje </w:t>
      </w:r>
      <w:r>
        <w:rPr>
          <w:sz w:val="22"/>
          <w:szCs w:val="22"/>
        </w:rPr>
        <w:t>P</w:t>
      </w:r>
      <w:r w:rsidRPr="00105845">
        <w:rPr>
          <w:sz w:val="22"/>
          <w:szCs w:val="22"/>
        </w:rPr>
        <w:t>rogramový dokument IROP za velmi kvalitně připravený, s adekvátním zapojením partnerů</w:t>
      </w:r>
      <w:r>
        <w:rPr>
          <w:sz w:val="22"/>
          <w:szCs w:val="22"/>
        </w:rPr>
        <w:t>.</w:t>
      </w:r>
      <w:r w:rsidRPr="00105845">
        <w:rPr>
          <w:sz w:val="22"/>
          <w:szCs w:val="22"/>
        </w:rPr>
        <w:t xml:space="preserve"> </w:t>
      </w:r>
      <w:r>
        <w:rPr>
          <w:sz w:val="22"/>
          <w:szCs w:val="22"/>
        </w:rPr>
        <w:t>Pr</w:t>
      </w:r>
      <w:r w:rsidRPr="00105845">
        <w:rPr>
          <w:sz w:val="22"/>
          <w:szCs w:val="22"/>
        </w:rPr>
        <w:t>o jeho dokončení v podobě, která bude v souladu s podmínkami pro ESI fondy a bude současně vhodně připraven</w:t>
      </w:r>
      <w:r>
        <w:rPr>
          <w:sz w:val="22"/>
          <w:szCs w:val="22"/>
        </w:rPr>
        <w:t>á</w:t>
      </w:r>
      <w:r w:rsidRPr="00105845">
        <w:rPr>
          <w:sz w:val="22"/>
          <w:szCs w:val="22"/>
        </w:rPr>
        <w:t xml:space="preserve"> na realizační fázi, považuje za zásadní zaměření pozornosti na následující prioritní kroky</w:t>
      </w:r>
      <w:r w:rsidR="006D7F55">
        <w:rPr>
          <w:sz w:val="22"/>
          <w:szCs w:val="22"/>
        </w:rPr>
        <w:t>:</w:t>
      </w:r>
    </w:p>
    <w:p w:rsidR="00D63C8B" w:rsidRDefault="00D63C8B" w:rsidP="00D63C8B">
      <w:pPr>
        <w:jc w:val="both"/>
        <w:rPr>
          <w:sz w:val="22"/>
          <w:szCs w:val="22"/>
        </w:rPr>
      </w:pPr>
    </w:p>
    <w:p w:rsidR="004655F9" w:rsidRPr="00761DD3" w:rsidRDefault="00D63C8B" w:rsidP="00FD2FFC">
      <w:pPr>
        <w:pStyle w:val="Odstavecseseznamem"/>
        <w:numPr>
          <w:ilvl w:val="0"/>
          <w:numId w:val="31"/>
        </w:numPr>
        <w:autoSpaceDE w:val="0"/>
        <w:autoSpaceDN w:val="0"/>
        <w:adjustRightInd w:val="0"/>
        <w:spacing w:after="22"/>
        <w:jc w:val="both"/>
        <w:rPr>
          <w:sz w:val="22"/>
          <w:szCs w:val="22"/>
        </w:rPr>
      </w:pPr>
      <w:r>
        <w:rPr>
          <w:sz w:val="22"/>
          <w:szCs w:val="22"/>
        </w:rPr>
        <w:t>operacionalizace</w:t>
      </w:r>
      <w:r w:rsidR="004655F9" w:rsidRPr="00761DD3">
        <w:rPr>
          <w:sz w:val="22"/>
          <w:szCs w:val="22"/>
        </w:rPr>
        <w:t xml:space="preserve"> pravidel územní dimenze;</w:t>
      </w:r>
    </w:p>
    <w:p w:rsidR="004655F9" w:rsidRPr="00761DD3" w:rsidRDefault="004655F9" w:rsidP="00FD2FFC">
      <w:pPr>
        <w:pStyle w:val="Odstavecseseznamem"/>
        <w:numPr>
          <w:ilvl w:val="0"/>
          <w:numId w:val="31"/>
        </w:numPr>
        <w:autoSpaceDE w:val="0"/>
        <w:autoSpaceDN w:val="0"/>
        <w:adjustRightInd w:val="0"/>
        <w:spacing w:after="22"/>
        <w:jc w:val="both"/>
        <w:rPr>
          <w:sz w:val="22"/>
          <w:szCs w:val="22"/>
        </w:rPr>
      </w:pPr>
      <w:r w:rsidRPr="00761DD3">
        <w:rPr>
          <w:sz w:val="22"/>
          <w:szCs w:val="22"/>
        </w:rPr>
        <w:t>dořešení nastavení hodnotové části indikátorové soustavy;</w:t>
      </w:r>
    </w:p>
    <w:p w:rsidR="004655F9" w:rsidRPr="00761DD3" w:rsidRDefault="004655F9" w:rsidP="00FD2FFC">
      <w:pPr>
        <w:pStyle w:val="Odstavecseseznamem"/>
        <w:numPr>
          <w:ilvl w:val="0"/>
          <w:numId w:val="31"/>
        </w:numPr>
        <w:autoSpaceDE w:val="0"/>
        <w:autoSpaceDN w:val="0"/>
        <w:adjustRightInd w:val="0"/>
        <w:spacing w:after="22"/>
        <w:jc w:val="both"/>
        <w:rPr>
          <w:sz w:val="22"/>
          <w:szCs w:val="22"/>
        </w:rPr>
      </w:pPr>
      <w:r w:rsidRPr="00761DD3">
        <w:rPr>
          <w:sz w:val="22"/>
          <w:szCs w:val="22"/>
        </w:rPr>
        <w:t>zabezpečení jasných pravidel v rámci implementační struktury;</w:t>
      </w:r>
    </w:p>
    <w:p w:rsidR="004655F9" w:rsidRPr="00761DD3" w:rsidRDefault="004655F9" w:rsidP="00FD2FFC">
      <w:pPr>
        <w:pStyle w:val="Odstavecseseznamem"/>
        <w:numPr>
          <w:ilvl w:val="0"/>
          <w:numId w:val="31"/>
        </w:numPr>
        <w:autoSpaceDE w:val="0"/>
        <w:autoSpaceDN w:val="0"/>
        <w:adjustRightInd w:val="0"/>
        <w:spacing w:after="22"/>
        <w:jc w:val="both"/>
        <w:rPr>
          <w:sz w:val="22"/>
          <w:szCs w:val="22"/>
        </w:rPr>
      </w:pPr>
      <w:r w:rsidRPr="00761DD3">
        <w:rPr>
          <w:sz w:val="22"/>
          <w:szCs w:val="22"/>
        </w:rPr>
        <w:t>příprava napojení na MS2014+ a zavedení principů e-</w:t>
      </w:r>
      <w:proofErr w:type="spellStart"/>
      <w:r w:rsidRPr="00761DD3">
        <w:rPr>
          <w:sz w:val="22"/>
          <w:szCs w:val="22"/>
        </w:rPr>
        <w:t>cohesion</w:t>
      </w:r>
      <w:proofErr w:type="spellEnd"/>
      <w:r w:rsidRPr="00761DD3">
        <w:rPr>
          <w:sz w:val="22"/>
          <w:szCs w:val="22"/>
        </w:rPr>
        <w:t>;</w:t>
      </w:r>
    </w:p>
    <w:p w:rsidR="004655F9" w:rsidRDefault="004655F9" w:rsidP="00FD2FFC">
      <w:pPr>
        <w:pStyle w:val="Odstavecseseznamem"/>
        <w:numPr>
          <w:ilvl w:val="0"/>
          <w:numId w:val="31"/>
        </w:numPr>
        <w:autoSpaceDE w:val="0"/>
        <w:autoSpaceDN w:val="0"/>
        <w:adjustRightInd w:val="0"/>
        <w:spacing w:after="22"/>
        <w:jc w:val="both"/>
        <w:rPr>
          <w:sz w:val="22"/>
          <w:szCs w:val="22"/>
        </w:rPr>
      </w:pPr>
      <w:r w:rsidRPr="00761DD3">
        <w:rPr>
          <w:sz w:val="22"/>
          <w:szCs w:val="22"/>
        </w:rPr>
        <w:t>dořešení admi</w:t>
      </w:r>
      <w:r w:rsidR="00D63C8B">
        <w:rPr>
          <w:sz w:val="22"/>
          <w:szCs w:val="22"/>
        </w:rPr>
        <w:t>nistrativní a absorpční kapacity</w:t>
      </w:r>
      <w:r w:rsidRPr="00761DD3">
        <w:rPr>
          <w:sz w:val="22"/>
          <w:szCs w:val="22"/>
        </w:rPr>
        <w:t>.</w:t>
      </w:r>
    </w:p>
    <w:p w:rsidR="00867EE1" w:rsidRPr="00761DD3" w:rsidRDefault="00867EE1" w:rsidP="00867EE1">
      <w:pPr>
        <w:pStyle w:val="Odstavecseseznamem"/>
        <w:autoSpaceDE w:val="0"/>
        <w:autoSpaceDN w:val="0"/>
        <w:adjustRightInd w:val="0"/>
        <w:spacing w:after="22"/>
        <w:rPr>
          <w:sz w:val="22"/>
          <w:szCs w:val="22"/>
        </w:rPr>
      </w:pPr>
    </w:p>
    <w:p w:rsidR="004655F9" w:rsidRDefault="004655F9" w:rsidP="004655F9">
      <w:pPr>
        <w:jc w:val="both"/>
        <w:rPr>
          <w:b/>
          <w:sz w:val="22"/>
          <w:szCs w:val="22"/>
          <w:u w:val="single"/>
        </w:rPr>
      </w:pPr>
      <w:r w:rsidRPr="002C50A1">
        <w:rPr>
          <w:b/>
          <w:sz w:val="22"/>
          <w:szCs w:val="22"/>
          <w:u w:val="single"/>
        </w:rPr>
        <w:t>Posouzení vlivu IROP na programové období 2014 – 2020 na životní prostředí</w:t>
      </w:r>
    </w:p>
    <w:p w:rsidR="004655F9" w:rsidRDefault="001B46EB" w:rsidP="004655F9">
      <w:pPr>
        <w:jc w:val="both"/>
        <w:rPr>
          <w:sz w:val="22"/>
          <w:szCs w:val="22"/>
        </w:rPr>
      </w:pPr>
      <w:r w:rsidRPr="0044204C">
        <w:rPr>
          <w:sz w:val="22"/>
          <w:szCs w:val="22"/>
        </w:rPr>
        <w:t>Zpracování posouzení vlivu programu na životní prostředí a vlivu na veřejné zdraví a na soustavu NATURA 2000 vychází z ustanovení čl. 48 odst. 4 návrhu nařízení o společných ustanoveních a ze zákona č. 100/2001 Sb., o posuzování vlivů na životní prostředí v aktuálním znění, který do českého prostředí transponuje směrnici EP a Rady č. 2001/42/ES ze dne 27. 6. 2001</w:t>
      </w:r>
      <w:r w:rsidR="004655F9" w:rsidRPr="0044204C">
        <w:rPr>
          <w:sz w:val="22"/>
          <w:szCs w:val="22"/>
        </w:rPr>
        <w:t xml:space="preserve">. </w:t>
      </w:r>
    </w:p>
    <w:p w:rsidR="004655F9" w:rsidRPr="0044204C" w:rsidRDefault="004655F9" w:rsidP="004655F9">
      <w:pPr>
        <w:jc w:val="both"/>
        <w:rPr>
          <w:sz w:val="22"/>
          <w:szCs w:val="22"/>
        </w:rPr>
      </w:pPr>
    </w:p>
    <w:p w:rsidR="004655F9" w:rsidRPr="0044204C" w:rsidRDefault="004655F9" w:rsidP="004655F9">
      <w:pPr>
        <w:jc w:val="both"/>
        <w:rPr>
          <w:sz w:val="22"/>
          <w:szCs w:val="22"/>
        </w:rPr>
      </w:pPr>
      <w:r w:rsidRPr="0044204C">
        <w:rPr>
          <w:sz w:val="22"/>
          <w:szCs w:val="22"/>
        </w:rPr>
        <w:t xml:space="preserve">Doba realizace (období): </w:t>
      </w:r>
      <w:r>
        <w:rPr>
          <w:sz w:val="22"/>
          <w:szCs w:val="22"/>
        </w:rPr>
        <w:t>říjen</w:t>
      </w:r>
      <w:r w:rsidRPr="0044204C">
        <w:rPr>
          <w:sz w:val="22"/>
          <w:szCs w:val="22"/>
        </w:rPr>
        <w:t xml:space="preserve"> 2013 – </w:t>
      </w:r>
      <w:r>
        <w:rPr>
          <w:sz w:val="22"/>
          <w:szCs w:val="22"/>
        </w:rPr>
        <w:t>květen</w:t>
      </w:r>
      <w:r w:rsidRPr="0044204C">
        <w:rPr>
          <w:sz w:val="22"/>
          <w:szCs w:val="22"/>
        </w:rPr>
        <w:t xml:space="preserve"> 2014</w:t>
      </w:r>
    </w:p>
    <w:p w:rsidR="004655F9" w:rsidRPr="0044204C" w:rsidRDefault="004655F9" w:rsidP="004655F9">
      <w:pPr>
        <w:jc w:val="both"/>
        <w:rPr>
          <w:sz w:val="22"/>
          <w:szCs w:val="22"/>
        </w:rPr>
      </w:pPr>
      <w:r w:rsidRPr="0044204C">
        <w:rPr>
          <w:sz w:val="22"/>
          <w:szCs w:val="22"/>
        </w:rPr>
        <w:t>Typ: externí</w:t>
      </w:r>
    </w:p>
    <w:p w:rsidR="004655F9" w:rsidRPr="0044204C" w:rsidRDefault="004655F9" w:rsidP="004655F9">
      <w:pPr>
        <w:jc w:val="both"/>
        <w:rPr>
          <w:sz w:val="22"/>
          <w:szCs w:val="22"/>
        </w:rPr>
      </w:pPr>
      <w:r w:rsidRPr="0044204C">
        <w:rPr>
          <w:sz w:val="22"/>
          <w:szCs w:val="22"/>
        </w:rPr>
        <w:t>Finanční rozsah: 300 000,- bez DPH</w:t>
      </w:r>
    </w:p>
    <w:p w:rsidR="004655F9" w:rsidRDefault="004655F9" w:rsidP="004655F9">
      <w:pPr>
        <w:jc w:val="both"/>
        <w:rPr>
          <w:sz w:val="22"/>
          <w:szCs w:val="22"/>
        </w:rPr>
      </w:pPr>
      <w:r w:rsidRPr="0044204C">
        <w:rPr>
          <w:sz w:val="22"/>
          <w:szCs w:val="22"/>
        </w:rPr>
        <w:t xml:space="preserve">Zpracovatel: </w:t>
      </w:r>
      <w:proofErr w:type="spellStart"/>
      <w:r w:rsidRPr="0044204C">
        <w:rPr>
          <w:sz w:val="22"/>
          <w:szCs w:val="22"/>
        </w:rPr>
        <w:t>Integra</w:t>
      </w:r>
      <w:proofErr w:type="spellEnd"/>
      <w:r w:rsidRPr="0044204C">
        <w:rPr>
          <w:sz w:val="22"/>
          <w:szCs w:val="22"/>
        </w:rPr>
        <w:t xml:space="preserve"> </w:t>
      </w:r>
      <w:proofErr w:type="spellStart"/>
      <w:r w:rsidRPr="0044204C">
        <w:rPr>
          <w:sz w:val="22"/>
          <w:szCs w:val="22"/>
        </w:rPr>
        <w:t>Consulting</w:t>
      </w:r>
      <w:proofErr w:type="spellEnd"/>
      <w:r w:rsidRPr="0044204C">
        <w:rPr>
          <w:sz w:val="22"/>
          <w:szCs w:val="22"/>
        </w:rPr>
        <w:t xml:space="preserve"> s.r</w:t>
      </w:r>
      <w:r>
        <w:rPr>
          <w:sz w:val="22"/>
          <w:szCs w:val="22"/>
        </w:rPr>
        <w:t>.</w:t>
      </w:r>
      <w:r w:rsidRPr="0044204C">
        <w:rPr>
          <w:sz w:val="22"/>
          <w:szCs w:val="22"/>
        </w:rPr>
        <w:t>o.</w:t>
      </w:r>
    </w:p>
    <w:p w:rsidR="00431A5F" w:rsidRDefault="00431A5F" w:rsidP="004655F9">
      <w:pPr>
        <w:jc w:val="both"/>
        <w:rPr>
          <w:sz w:val="22"/>
          <w:szCs w:val="22"/>
        </w:rPr>
      </w:pPr>
    </w:p>
    <w:p w:rsidR="004655F9" w:rsidRPr="009C274A" w:rsidRDefault="004655F9" w:rsidP="004655F9">
      <w:pPr>
        <w:pStyle w:val="integra-normalni"/>
        <w:spacing w:after="0"/>
        <w:rPr>
          <w:rFonts w:ascii="Times New Roman" w:hAnsi="Times New Roman"/>
          <w:b/>
          <w:sz w:val="22"/>
          <w:szCs w:val="22"/>
        </w:rPr>
      </w:pPr>
      <w:r w:rsidRPr="009C274A">
        <w:rPr>
          <w:rFonts w:ascii="Times New Roman" w:hAnsi="Times New Roman"/>
          <w:b/>
          <w:sz w:val="22"/>
          <w:szCs w:val="22"/>
        </w:rPr>
        <w:t>Stručné shrnutí závěrů</w:t>
      </w:r>
    </w:p>
    <w:p w:rsidR="00A55F7A" w:rsidRPr="00DE1832" w:rsidRDefault="00A55F7A" w:rsidP="006C5D7B">
      <w:pPr>
        <w:pStyle w:val="integra-normalni"/>
        <w:spacing w:after="0" w:line="240" w:lineRule="auto"/>
        <w:rPr>
          <w:rFonts w:ascii="Times New Roman" w:hAnsi="Times New Roman"/>
          <w:sz w:val="22"/>
          <w:szCs w:val="22"/>
        </w:rPr>
      </w:pPr>
      <w:r w:rsidRPr="00DE1832">
        <w:rPr>
          <w:rFonts w:ascii="Times New Roman" w:hAnsi="Times New Roman"/>
          <w:sz w:val="22"/>
          <w:szCs w:val="22"/>
        </w:rPr>
        <w:t xml:space="preserve">Posouzení vlivů na životní prostředí bylo provedeno v souladu se zákonem o posuzování vlivů na životní prostředí a zpracováno v rozsahu přílohy č. 9 tohoto zákona. Součástí posouzení IROP bylo hodnocení </w:t>
      </w:r>
      <w:r w:rsidR="00E934BF">
        <w:rPr>
          <w:rFonts w:ascii="Times New Roman" w:hAnsi="Times New Roman"/>
          <w:sz w:val="22"/>
          <w:szCs w:val="22"/>
        </w:rPr>
        <w:t>po</w:t>
      </w:r>
      <w:r w:rsidRPr="00DE1832">
        <w:rPr>
          <w:rFonts w:ascii="Times New Roman" w:hAnsi="Times New Roman"/>
          <w:sz w:val="22"/>
          <w:szCs w:val="22"/>
        </w:rPr>
        <w:t xml:space="preserve">dle § 45i zákona č. 114/1992 Sb., o ochraně přírody a krajiny, ve znění pozdějších předpisů, a to z hlediska dopadů na evropsky významné lokality a ptačí oblasti a stav jejich ochrany z uvedených hledisek </w:t>
      </w:r>
      <w:r w:rsidR="00E934BF">
        <w:rPr>
          <w:rFonts w:ascii="Times New Roman" w:hAnsi="Times New Roman"/>
          <w:sz w:val="22"/>
          <w:szCs w:val="22"/>
        </w:rPr>
        <w:t>po</w:t>
      </w:r>
      <w:r w:rsidRPr="00DE1832">
        <w:rPr>
          <w:rFonts w:ascii="Times New Roman" w:hAnsi="Times New Roman"/>
          <w:sz w:val="22"/>
          <w:szCs w:val="22"/>
        </w:rPr>
        <w:t xml:space="preserve">dle § 45h zákona č. 114/1992 Sb., o ochraně přírody a krajiny, ve znění pozdějších předpisů. </w:t>
      </w:r>
    </w:p>
    <w:p w:rsidR="00A55F7A" w:rsidRPr="00DE1832" w:rsidRDefault="00A55F7A" w:rsidP="00A55F7A">
      <w:pPr>
        <w:pStyle w:val="integra-normalni"/>
        <w:spacing w:after="0"/>
        <w:rPr>
          <w:rFonts w:ascii="Times New Roman" w:hAnsi="Times New Roman"/>
          <w:sz w:val="22"/>
          <w:szCs w:val="22"/>
        </w:rPr>
      </w:pPr>
    </w:p>
    <w:p w:rsidR="00A55F7A" w:rsidRPr="00DE1832" w:rsidRDefault="00A55F7A" w:rsidP="006C5D7B">
      <w:pPr>
        <w:pStyle w:val="integra-normalni"/>
        <w:spacing w:after="0" w:line="240" w:lineRule="auto"/>
        <w:rPr>
          <w:rFonts w:ascii="Times New Roman" w:hAnsi="Times New Roman"/>
          <w:sz w:val="22"/>
          <w:szCs w:val="22"/>
        </w:rPr>
      </w:pPr>
      <w:r w:rsidRPr="00DE1832">
        <w:rPr>
          <w:rFonts w:ascii="Times New Roman" w:hAnsi="Times New Roman"/>
          <w:sz w:val="22"/>
          <w:szCs w:val="22"/>
        </w:rPr>
        <w:t>Z dílčích výstupů vyhodnocení vlivů IROP na životní prostředí a veřejné zdraví vyplývá, že posuzovaná koncepce má potenciál k pozitivnímu ovlivnění životního prostředí</w:t>
      </w:r>
      <w:r>
        <w:rPr>
          <w:rFonts w:ascii="Times New Roman" w:hAnsi="Times New Roman"/>
          <w:sz w:val="22"/>
          <w:szCs w:val="22"/>
        </w:rPr>
        <w:t xml:space="preserve"> a</w:t>
      </w:r>
      <w:r w:rsidRPr="00DE1832">
        <w:rPr>
          <w:rFonts w:ascii="Times New Roman" w:hAnsi="Times New Roman"/>
          <w:sz w:val="22"/>
          <w:szCs w:val="22"/>
        </w:rPr>
        <w:t xml:space="preserve"> zahrnuje i specifické cíle, jejichž naplňování je spojeno s riziky negativního vlivu na životní prostředí. V rámci vyhodnocení byla identifikována rizika negativních vlivů na životní prostředí zejména </w:t>
      </w:r>
      <w:r>
        <w:rPr>
          <w:rFonts w:ascii="Times New Roman" w:hAnsi="Times New Roman"/>
          <w:sz w:val="22"/>
          <w:szCs w:val="22"/>
        </w:rPr>
        <w:t>v</w:t>
      </w:r>
      <w:r w:rsidRPr="00DE1832">
        <w:rPr>
          <w:rFonts w:ascii="Times New Roman" w:hAnsi="Times New Roman"/>
          <w:sz w:val="22"/>
          <w:szCs w:val="22"/>
        </w:rPr>
        <w:t xml:space="preserve"> opatření</w:t>
      </w:r>
      <w:r>
        <w:rPr>
          <w:rFonts w:ascii="Times New Roman" w:hAnsi="Times New Roman"/>
          <w:sz w:val="22"/>
          <w:szCs w:val="22"/>
        </w:rPr>
        <w:t>ch</w:t>
      </w:r>
      <w:r w:rsidRPr="00DE1832">
        <w:rPr>
          <w:rFonts w:ascii="Times New Roman" w:hAnsi="Times New Roman"/>
          <w:sz w:val="22"/>
          <w:szCs w:val="22"/>
        </w:rPr>
        <w:t xml:space="preserve"> souvisejících s rozvoje</w:t>
      </w:r>
      <w:r>
        <w:rPr>
          <w:rFonts w:ascii="Times New Roman" w:hAnsi="Times New Roman"/>
          <w:sz w:val="22"/>
          <w:szCs w:val="22"/>
        </w:rPr>
        <w:t>m</w:t>
      </w:r>
      <w:r w:rsidRPr="00DE1832">
        <w:rPr>
          <w:rFonts w:ascii="Times New Roman" w:hAnsi="Times New Roman"/>
          <w:sz w:val="22"/>
          <w:szCs w:val="22"/>
        </w:rPr>
        <w:t xml:space="preserve"> dopravní infrastruktury a využívání</w:t>
      </w:r>
      <w:r>
        <w:rPr>
          <w:rFonts w:ascii="Times New Roman" w:hAnsi="Times New Roman"/>
          <w:sz w:val="22"/>
          <w:szCs w:val="22"/>
        </w:rPr>
        <w:t>m</w:t>
      </w:r>
      <w:r w:rsidRPr="00DE1832">
        <w:rPr>
          <w:rFonts w:ascii="Times New Roman" w:hAnsi="Times New Roman"/>
          <w:sz w:val="22"/>
          <w:szCs w:val="22"/>
        </w:rPr>
        <w:t xml:space="preserve"> obnovitelných zdrojů energie.</w:t>
      </w:r>
    </w:p>
    <w:p w:rsidR="00A55F7A" w:rsidRPr="006C5D7B" w:rsidRDefault="00A55F7A" w:rsidP="006C5D7B">
      <w:pPr>
        <w:pStyle w:val="integra-normalni"/>
        <w:spacing w:after="0" w:line="240" w:lineRule="auto"/>
        <w:rPr>
          <w:rFonts w:ascii="Times New Roman" w:hAnsi="Times New Roman"/>
          <w:sz w:val="22"/>
          <w:szCs w:val="22"/>
        </w:rPr>
      </w:pPr>
    </w:p>
    <w:p w:rsidR="00A55F7A" w:rsidRPr="006C5D7B" w:rsidRDefault="00A55F7A" w:rsidP="006C5D7B">
      <w:pPr>
        <w:pStyle w:val="integra-normalni"/>
        <w:spacing w:after="0" w:line="240" w:lineRule="auto"/>
        <w:rPr>
          <w:rFonts w:ascii="Times New Roman" w:hAnsi="Times New Roman"/>
          <w:sz w:val="22"/>
          <w:szCs w:val="22"/>
        </w:rPr>
      </w:pPr>
      <w:r w:rsidRPr="006C5D7B">
        <w:rPr>
          <w:rFonts w:ascii="Times New Roman" w:hAnsi="Times New Roman"/>
          <w:sz w:val="22"/>
          <w:szCs w:val="22"/>
        </w:rPr>
        <w:t xml:space="preserve">Na základě posouzení vydalo Ministerstvo životního prostředí ČR souhlasné stanovisko k návrhu koncepce IROP, které je zveřejněno na webových stránkách </w:t>
      </w:r>
      <w:hyperlink r:id="rId33" w:history="1">
        <w:r w:rsidRPr="006C5D7B">
          <w:rPr>
            <w:rFonts w:ascii="Times New Roman" w:hAnsi="Times New Roman"/>
            <w:sz w:val="22"/>
            <w:szCs w:val="22"/>
          </w:rPr>
          <w:t>https://www.strukturalni-fondy.cz/cs/Microsites/IROP/Dokumenty</w:t>
        </w:r>
      </w:hyperlink>
      <w:r w:rsidRPr="006C5D7B">
        <w:rPr>
          <w:rFonts w:ascii="Times New Roman" w:hAnsi="Times New Roman"/>
          <w:sz w:val="22"/>
          <w:szCs w:val="22"/>
        </w:rPr>
        <w:t xml:space="preserve"> v sekci Dokumenty ke stažení.</w:t>
      </w:r>
    </w:p>
    <w:p w:rsidR="004655F9" w:rsidRDefault="004655F9" w:rsidP="004655F9">
      <w:pPr>
        <w:jc w:val="both"/>
        <w:rPr>
          <w:bCs/>
          <w:iCs/>
          <w:sz w:val="22"/>
          <w:szCs w:val="22"/>
        </w:rPr>
      </w:pPr>
    </w:p>
    <w:p w:rsidR="004655F9" w:rsidRPr="005D4E92" w:rsidRDefault="004655F9" w:rsidP="005D4E92">
      <w:pPr>
        <w:rPr>
          <w:bCs/>
          <w:sz w:val="22"/>
          <w:szCs w:val="22"/>
          <w:u w:val="single"/>
        </w:rPr>
      </w:pPr>
      <w:r w:rsidRPr="005D4E92">
        <w:rPr>
          <w:sz w:val="22"/>
          <w:szCs w:val="22"/>
          <w:u w:val="single"/>
        </w:rPr>
        <w:t>Analýza stavu IOP k  31. 12. 2013, absorpční kapacity programu a výhled splnění pravidla n+2</w:t>
      </w:r>
    </w:p>
    <w:p w:rsidR="004655F9" w:rsidRPr="00A8193F" w:rsidRDefault="004655F9" w:rsidP="004655F9">
      <w:pPr>
        <w:jc w:val="both"/>
        <w:rPr>
          <w:rFonts w:eastAsiaTheme="minorHAnsi" w:cstheme="minorBidi"/>
          <w:sz w:val="22"/>
          <w:szCs w:val="22"/>
          <w:lang w:eastAsia="en-US"/>
        </w:rPr>
      </w:pPr>
      <w:r w:rsidRPr="00FB4DA1">
        <w:rPr>
          <w:rFonts w:eastAsiaTheme="minorHAnsi" w:cstheme="minorBidi"/>
          <w:sz w:val="22"/>
          <w:szCs w:val="22"/>
          <w:lang w:eastAsia="en-US"/>
        </w:rPr>
        <w:t>ŘO a ZS zpracovávají analýzy absorpční kapacity způsobem odpovídajícím zbývajícím finančním prostředkům a fázi programového cyklu. Analýza Integrovaného operačního programu</w:t>
      </w:r>
      <w:r w:rsidR="00E91AE1">
        <w:rPr>
          <w:rFonts w:eastAsiaTheme="minorHAnsi" w:cstheme="minorBidi"/>
          <w:sz w:val="22"/>
          <w:szCs w:val="22"/>
          <w:lang w:eastAsia="en-US"/>
        </w:rPr>
        <w:t xml:space="preserve"> byla</w:t>
      </w:r>
      <w:r w:rsidRPr="00FB4DA1">
        <w:rPr>
          <w:rFonts w:eastAsiaTheme="minorHAnsi" w:cstheme="minorBidi"/>
          <w:sz w:val="22"/>
          <w:szCs w:val="22"/>
          <w:lang w:eastAsia="en-US"/>
        </w:rPr>
        <w:t xml:space="preserve"> zpracována na počátku nového roku na základě údajů v informačním systému Monit7+ IOP k datu </w:t>
      </w:r>
      <w:r w:rsidR="00E91AE1">
        <w:rPr>
          <w:rFonts w:eastAsiaTheme="minorHAnsi" w:cstheme="minorBidi"/>
          <w:sz w:val="22"/>
          <w:szCs w:val="22"/>
          <w:lang w:eastAsia="en-US"/>
        </w:rPr>
        <w:br/>
      </w:r>
      <w:r w:rsidRPr="00FB4DA1">
        <w:rPr>
          <w:rFonts w:eastAsiaTheme="minorHAnsi" w:cstheme="minorBidi"/>
          <w:sz w:val="22"/>
          <w:szCs w:val="22"/>
          <w:lang w:eastAsia="en-US"/>
        </w:rPr>
        <w:t>31. 12. 2013 a na základě informací a zkušeností Řídícího orgánu IOP a zprostředkujících</w:t>
      </w:r>
      <w:r w:rsidR="00447C16">
        <w:rPr>
          <w:rFonts w:eastAsiaTheme="minorHAnsi" w:cstheme="minorBidi"/>
          <w:sz w:val="22"/>
          <w:szCs w:val="22"/>
          <w:lang w:eastAsia="en-US"/>
        </w:rPr>
        <w:t xml:space="preserve"> subjektů. Souhrnná analýza musela</w:t>
      </w:r>
      <w:r w:rsidRPr="00FB4DA1">
        <w:rPr>
          <w:rFonts w:eastAsiaTheme="minorHAnsi" w:cstheme="minorBidi"/>
          <w:sz w:val="22"/>
          <w:szCs w:val="22"/>
          <w:lang w:eastAsia="en-US"/>
        </w:rPr>
        <w:t xml:space="preserve"> být zpracována do 15. 2. 2014.</w:t>
      </w:r>
      <w:r>
        <w:rPr>
          <w:rFonts w:eastAsiaTheme="minorHAnsi" w:cstheme="minorBidi"/>
          <w:sz w:val="22"/>
          <w:szCs w:val="22"/>
          <w:lang w:eastAsia="en-US"/>
        </w:rPr>
        <w:t xml:space="preserve"> </w:t>
      </w:r>
    </w:p>
    <w:p w:rsidR="006C5D7B" w:rsidRDefault="006C5D7B" w:rsidP="004655F9">
      <w:pPr>
        <w:pStyle w:val="Bntext"/>
        <w:spacing w:after="0"/>
        <w:rPr>
          <w:rFonts w:eastAsiaTheme="minorHAnsi" w:cstheme="minorBidi"/>
          <w:sz w:val="22"/>
          <w:szCs w:val="22"/>
          <w:lang w:eastAsia="en-US"/>
        </w:rPr>
      </w:pPr>
    </w:p>
    <w:p w:rsidR="004655F9" w:rsidRDefault="004655F9" w:rsidP="004655F9">
      <w:pPr>
        <w:pStyle w:val="Bntext"/>
        <w:spacing w:after="0"/>
        <w:rPr>
          <w:rFonts w:eastAsiaTheme="minorHAnsi" w:cstheme="minorBidi"/>
          <w:sz w:val="22"/>
          <w:szCs w:val="22"/>
          <w:lang w:eastAsia="en-US"/>
        </w:rPr>
      </w:pPr>
      <w:r w:rsidRPr="00FB4DA1">
        <w:rPr>
          <w:rFonts w:eastAsiaTheme="minorHAnsi" w:cstheme="minorBidi"/>
          <w:sz w:val="22"/>
          <w:szCs w:val="22"/>
          <w:lang w:eastAsia="en-US"/>
        </w:rPr>
        <w:t xml:space="preserve">Výstup: závěrečná zpráva </w:t>
      </w:r>
    </w:p>
    <w:p w:rsidR="004655F9" w:rsidRPr="00FB4DA1" w:rsidRDefault="004655F9" w:rsidP="004655F9">
      <w:pPr>
        <w:pStyle w:val="Bntext"/>
        <w:spacing w:after="0"/>
        <w:rPr>
          <w:rFonts w:eastAsiaTheme="minorHAnsi" w:cstheme="minorBidi"/>
          <w:sz w:val="22"/>
          <w:szCs w:val="22"/>
          <w:lang w:eastAsia="en-US"/>
        </w:rPr>
      </w:pPr>
      <w:r w:rsidRPr="00FB4DA1">
        <w:rPr>
          <w:rFonts w:eastAsiaTheme="minorHAnsi" w:cstheme="minorBidi"/>
          <w:sz w:val="22"/>
          <w:szCs w:val="22"/>
          <w:lang w:eastAsia="en-US"/>
        </w:rPr>
        <w:t>Zpracování: interní</w:t>
      </w:r>
    </w:p>
    <w:p w:rsidR="004655F9" w:rsidRPr="00FB4DA1" w:rsidRDefault="004655F9" w:rsidP="004655F9">
      <w:pPr>
        <w:pStyle w:val="Bntext"/>
        <w:spacing w:after="0"/>
        <w:rPr>
          <w:rFonts w:eastAsiaTheme="minorHAnsi" w:cstheme="minorBidi"/>
          <w:sz w:val="22"/>
          <w:szCs w:val="22"/>
          <w:lang w:eastAsia="en-US"/>
        </w:rPr>
      </w:pPr>
      <w:r w:rsidRPr="00FB4DA1">
        <w:rPr>
          <w:rFonts w:eastAsiaTheme="minorHAnsi" w:cstheme="minorBidi"/>
          <w:sz w:val="22"/>
          <w:szCs w:val="22"/>
          <w:lang w:eastAsia="en-US"/>
        </w:rPr>
        <w:t>Časový rámec: leden 2014 – únor 2014</w:t>
      </w:r>
    </w:p>
    <w:p w:rsidR="00F17581" w:rsidRPr="00CD186C" w:rsidRDefault="004655F9" w:rsidP="00CD186C">
      <w:pPr>
        <w:pStyle w:val="Bntext"/>
        <w:rPr>
          <w:rFonts w:eastAsiaTheme="minorHAnsi" w:cstheme="minorBidi"/>
          <w:sz w:val="22"/>
          <w:szCs w:val="22"/>
          <w:lang w:eastAsia="en-US"/>
        </w:rPr>
      </w:pPr>
      <w:r>
        <w:rPr>
          <w:rFonts w:eastAsiaTheme="minorHAnsi" w:cstheme="minorBidi"/>
          <w:sz w:val="22"/>
          <w:szCs w:val="22"/>
          <w:lang w:eastAsia="en-US"/>
        </w:rPr>
        <w:t>Zpracovatel</w:t>
      </w:r>
      <w:r w:rsidRPr="00FB4DA1">
        <w:rPr>
          <w:rFonts w:eastAsiaTheme="minorHAnsi" w:cstheme="minorBidi"/>
          <w:sz w:val="22"/>
          <w:szCs w:val="22"/>
          <w:lang w:eastAsia="en-US"/>
        </w:rPr>
        <w:t xml:space="preserve">: Řídící orgán IOP </w:t>
      </w:r>
    </w:p>
    <w:p w:rsidR="004655F9" w:rsidRPr="003038DA" w:rsidRDefault="004655F9" w:rsidP="004655F9">
      <w:pPr>
        <w:pStyle w:val="integra-normalni"/>
        <w:spacing w:after="0"/>
        <w:rPr>
          <w:rFonts w:ascii="Times New Roman" w:hAnsi="Times New Roman"/>
          <w:b/>
          <w:sz w:val="22"/>
          <w:szCs w:val="22"/>
        </w:rPr>
      </w:pPr>
      <w:r w:rsidRPr="003038DA">
        <w:rPr>
          <w:rFonts w:ascii="Times New Roman" w:hAnsi="Times New Roman"/>
          <w:b/>
          <w:sz w:val="22"/>
          <w:szCs w:val="22"/>
        </w:rPr>
        <w:lastRenderedPageBreak/>
        <w:t>Stručné shrnutí závěrů</w:t>
      </w:r>
    </w:p>
    <w:p w:rsidR="004655F9" w:rsidRPr="00A8193F" w:rsidRDefault="004655F9" w:rsidP="004655F9">
      <w:pPr>
        <w:jc w:val="both"/>
        <w:rPr>
          <w:rFonts w:eastAsiaTheme="minorHAnsi" w:cstheme="minorBidi"/>
          <w:sz w:val="22"/>
          <w:szCs w:val="22"/>
          <w:lang w:eastAsia="en-US"/>
        </w:rPr>
      </w:pPr>
      <w:r w:rsidRPr="00A8193F">
        <w:rPr>
          <w:rFonts w:eastAsiaTheme="minorHAnsi" w:cstheme="minorBidi"/>
          <w:sz w:val="22"/>
          <w:szCs w:val="22"/>
          <w:lang w:eastAsia="en-US"/>
        </w:rPr>
        <w:t xml:space="preserve">Cílem analýzy </w:t>
      </w:r>
      <w:r w:rsidR="00CA7985">
        <w:rPr>
          <w:rFonts w:eastAsiaTheme="minorHAnsi" w:cstheme="minorBidi"/>
          <w:sz w:val="22"/>
          <w:szCs w:val="22"/>
          <w:lang w:eastAsia="en-US"/>
        </w:rPr>
        <w:t>bylo</w:t>
      </w:r>
      <w:r w:rsidRPr="00A8193F">
        <w:rPr>
          <w:rFonts w:eastAsiaTheme="minorHAnsi" w:cstheme="minorBidi"/>
          <w:sz w:val="22"/>
          <w:szCs w:val="22"/>
          <w:lang w:eastAsia="en-US"/>
        </w:rPr>
        <w:t xml:space="preserve"> poskytnout ucelenou informaci o stavu IOP, výhledu naplnění alokace, která musí být certifikovaná v roce 2014, a zrekapitulovat plnění celého programu z hlediska absorpční kapacity. </w:t>
      </w:r>
    </w:p>
    <w:p w:rsidR="004655F9" w:rsidRDefault="004655F9" w:rsidP="004655F9">
      <w:pPr>
        <w:jc w:val="both"/>
        <w:rPr>
          <w:rFonts w:eastAsiaTheme="minorHAnsi" w:cstheme="minorBidi"/>
          <w:sz w:val="22"/>
          <w:szCs w:val="22"/>
          <w:lang w:eastAsia="en-US"/>
        </w:rPr>
      </w:pPr>
      <w:r w:rsidRPr="00A8193F">
        <w:rPr>
          <w:rFonts w:eastAsiaTheme="minorHAnsi" w:cstheme="minorBidi"/>
          <w:sz w:val="22"/>
          <w:szCs w:val="22"/>
          <w:lang w:eastAsia="en-US"/>
        </w:rPr>
        <w:t xml:space="preserve">Pro dosažení maximálního vyčerpání alokace v roce 2015 přijal ŘO IOP následující doporučení </w:t>
      </w:r>
      <w:r w:rsidR="00CA7985">
        <w:rPr>
          <w:rFonts w:eastAsiaTheme="minorHAnsi" w:cstheme="minorBidi"/>
          <w:sz w:val="22"/>
          <w:szCs w:val="22"/>
          <w:lang w:eastAsia="en-US"/>
        </w:rPr>
        <w:br/>
      </w:r>
      <w:r w:rsidRPr="00A8193F">
        <w:rPr>
          <w:rFonts w:eastAsiaTheme="minorHAnsi" w:cstheme="minorBidi"/>
          <w:sz w:val="22"/>
          <w:szCs w:val="22"/>
          <w:lang w:eastAsia="en-US"/>
        </w:rPr>
        <w:t>a opatření pr</w:t>
      </w:r>
      <w:r>
        <w:rPr>
          <w:rFonts w:eastAsiaTheme="minorHAnsi" w:cstheme="minorBidi"/>
          <w:sz w:val="22"/>
          <w:szCs w:val="22"/>
          <w:lang w:eastAsia="en-US"/>
        </w:rPr>
        <w:t>o jednotlivé oblasti intervence:</w:t>
      </w:r>
    </w:p>
    <w:p w:rsidR="004655F9" w:rsidRPr="00A8193F" w:rsidRDefault="004655F9" w:rsidP="004655F9">
      <w:pPr>
        <w:jc w:val="both"/>
        <w:rPr>
          <w:rFonts w:eastAsiaTheme="minorHAnsi" w:cstheme="minorBidi"/>
          <w:sz w:val="22"/>
          <w:szCs w:val="22"/>
          <w:lang w:eastAsia="en-US"/>
        </w:rPr>
      </w:pPr>
    </w:p>
    <w:p w:rsidR="008C16D1" w:rsidRPr="00A8193F"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r w:rsidRPr="00A8193F">
        <w:rPr>
          <w:rFonts w:eastAsiaTheme="minorHAnsi" w:cstheme="minorBidi"/>
          <w:sz w:val="22"/>
          <w:szCs w:val="22"/>
          <w:lang w:eastAsia="en-US"/>
        </w:rPr>
        <w:t>bezodkladn</w:t>
      </w:r>
      <w:r w:rsidR="00E934BF">
        <w:rPr>
          <w:rFonts w:eastAsiaTheme="minorHAnsi" w:cstheme="minorBidi"/>
          <w:sz w:val="22"/>
          <w:szCs w:val="22"/>
          <w:lang w:eastAsia="en-US"/>
        </w:rPr>
        <w:t>ě</w:t>
      </w:r>
      <w:r w:rsidRPr="00A8193F">
        <w:rPr>
          <w:rFonts w:eastAsiaTheme="minorHAnsi" w:cstheme="minorBidi"/>
          <w:sz w:val="22"/>
          <w:szCs w:val="22"/>
          <w:lang w:eastAsia="en-US"/>
        </w:rPr>
        <w:t xml:space="preserve"> vyhlá</w:t>
      </w:r>
      <w:r>
        <w:rPr>
          <w:rFonts w:eastAsiaTheme="minorHAnsi" w:cstheme="minorBidi"/>
          <w:sz w:val="22"/>
          <w:szCs w:val="22"/>
          <w:lang w:eastAsia="en-US"/>
        </w:rPr>
        <w:t>sit</w:t>
      </w:r>
      <w:r w:rsidRPr="00A8193F">
        <w:rPr>
          <w:rFonts w:eastAsiaTheme="minorHAnsi" w:cstheme="minorBidi"/>
          <w:sz w:val="22"/>
          <w:szCs w:val="22"/>
          <w:lang w:eastAsia="en-US"/>
        </w:rPr>
        <w:t xml:space="preserve"> nov</w:t>
      </w:r>
      <w:r w:rsidR="00E934BF">
        <w:rPr>
          <w:rFonts w:eastAsiaTheme="minorHAnsi" w:cstheme="minorBidi"/>
          <w:sz w:val="22"/>
          <w:szCs w:val="22"/>
          <w:lang w:eastAsia="en-US"/>
        </w:rPr>
        <w:t>é</w:t>
      </w:r>
      <w:r w:rsidRPr="00A8193F">
        <w:rPr>
          <w:rFonts w:eastAsiaTheme="minorHAnsi" w:cstheme="minorBidi"/>
          <w:sz w:val="22"/>
          <w:szCs w:val="22"/>
          <w:lang w:eastAsia="en-US"/>
        </w:rPr>
        <w:t xml:space="preserve"> výzv</w:t>
      </w:r>
      <w:r w:rsidR="00E934BF">
        <w:rPr>
          <w:rFonts w:eastAsiaTheme="minorHAnsi" w:cstheme="minorBidi"/>
          <w:sz w:val="22"/>
          <w:szCs w:val="22"/>
          <w:lang w:eastAsia="en-US"/>
        </w:rPr>
        <w:t>y</w:t>
      </w:r>
      <w:r w:rsidRPr="00A8193F">
        <w:rPr>
          <w:rFonts w:eastAsiaTheme="minorHAnsi" w:cstheme="minorBidi"/>
          <w:sz w:val="22"/>
          <w:szCs w:val="22"/>
          <w:lang w:eastAsia="en-US"/>
        </w:rPr>
        <w:t xml:space="preserve"> a v co nejkratších termínech projekty </w:t>
      </w:r>
      <w:proofErr w:type="spellStart"/>
      <w:r w:rsidRPr="00A8193F">
        <w:rPr>
          <w:rFonts w:eastAsiaTheme="minorHAnsi" w:cstheme="minorBidi"/>
          <w:sz w:val="22"/>
          <w:szCs w:val="22"/>
          <w:lang w:eastAsia="en-US"/>
        </w:rPr>
        <w:t>zadministrovat</w:t>
      </w:r>
      <w:proofErr w:type="spellEnd"/>
      <w:r w:rsidRPr="00A8193F">
        <w:rPr>
          <w:rFonts w:eastAsiaTheme="minorHAnsi" w:cstheme="minorBidi"/>
          <w:sz w:val="22"/>
          <w:szCs w:val="22"/>
          <w:lang w:eastAsia="en-US"/>
        </w:rPr>
        <w:t xml:space="preserve"> do realizační fáze, </w:t>
      </w:r>
    </w:p>
    <w:p w:rsidR="008C16D1" w:rsidRPr="00A8193F"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r>
        <w:rPr>
          <w:rFonts w:eastAsiaTheme="minorHAnsi" w:cstheme="minorBidi"/>
          <w:sz w:val="22"/>
          <w:szCs w:val="22"/>
          <w:lang w:eastAsia="en-US"/>
        </w:rPr>
        <w:t>z</w:t>
      </w:r>
      <w:r w:rsidRPr="00A8193F">
        <w:rPr>
          <w:rFonts w:eastAsiaTheme="minorHAnsi" w:cstheme="minorBidi"/>
          <w:sz w:val="22"/>
          <w:szCs w:val="22"/>
          <w:lang w:eastAsia="en-US"/>
        </w:rPr>
        <w:t>výš</w:t>
      </w:r>
      <w:r>
        <w:rPr>
          <w:rFonts w:eastAsiaTheme="minorHAnsi" w:cstheme="minorBidi"/>
          <w:sz w:val="22"/>
          <w:szCs w:val="22"/>
          <w:lang w:eastAsia="en-US"/>
        </w:rPr>
        <w:t>it</w:t>
      </w:r>
      <w:r w:rsidRPr="00A8193F">
        <w:rPr>
          <w:rFonts w:eastAsiaTheme="minorHAnsi" w:cstheme="minorBidi"/>
          <w:sz w:val="22"/>
          <w:szCs w:val="22"/>
          <w:lang w:eastAsia="en-US"/>
        </w:rPr>
        <w:t xml:space="preserve"> alokac</w:t>
      </w:r>
      <w:r>
        <w:rPr>
          <w:rFonts w:eastAsiaTheme="minorHAnsi" w:cstheme="minorBidi"/>
          <w:sz w:val="22"/>
          <w:szCs w:val="22"/>
          <w:lang w:eastAsia="en-US"/>
        </w:rPr>
        <w:t>i</w:t>
      </w:r>
      <w:r w:rsidRPr="00A8193F">
        <w:rPr>
          <w:rFonts w:eastAsiaTheme="minorHAnsi" w:cstheme="minorBidi"/>
          <w:sz w:val="22"/>
          <w:szCs w:val="22"/>
          <w:lang w:eastAsia="en-US"/>
        </w:rPr>
        <w:t xml:space="preserve"> výzev o zbývající finanční prostředky,</w:t>
      </w:r>
    </w:p>
    <w:p w:rsidR="008C16D1" w:rsidRPr="00A8193F"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proofErr w:type="spellStart"/>
      <w:r w:rsidRPr="00A8193F">
        <w:rPr>
          <w:rFonts w:eastAsiaTheme="minorHAnsi" w:cstheme="minorBidi"/>
          <w:sz w:val="22"/>
          <w:szCs w:val="22"/>
          <w:lang w:eastAsia="en-US"/>
        </w:rPr>
        <w:t>přezávazkov</w:t>
      </w:r>
      <w:r>
        <w:rPr>
          <w:rFonts w:eastAsiaTheme="minorHAnsi" w:cstheme="minorBidi"/>
          <w:sz w:val="22"/>
          <w:szCs w:val="22"/>
          <w:lang w:eastAsia="en-US"/>
        </w:rPr>
        <w:t>at</w:t>
      </w:r>
      <w:proofErr w:type="spellEnd"/>
      <w:r w:rsidRPr="00A8193F">
        <w:rPr>
          <w:rFonts w:eastAsiaTheme="minorHAnsi" w:cstheme="minorBidi"/>
          <w:sz w:val="22"/>
          <w:szCs w:val="22"/>
          <w:lang w:eastAsia="en-US"/>
        </w:rPr>
        <w:t> někter</w:t>
      </w:r>
      <w:r>
        <w:rPr>
          <w:rFonts w:eastAsiaTheme="minorHAnsi" w:cstheme="minorBidi"/>
          <w:sz w:val="22"/>
          <w:szCs w:val="22"/>
          <w:lang w:eastAsia="en-US"/>
        </w:rPr>
        <w:t>é</w:t>
      </w:r>
      <w:r w:rsidRPr="00A8193F">
        <w:rPr>
          <w:rFonts w:eastAsiaTheme="minorHAnsi" w:cstheme="minorBidi"/>
          <w:sz w:val="22"/>
          <w:szCs w:val="22"/>
          <w:lang w:eastAsia="en-US"/>
        </w:rPr>
        <w:t xml:space="preserve"> oblast</w:t>
      </w:r>
      <w:r>
        <w:rPr>
          <w:rFonts w:eastAsiaTheme="minorHAnsi" w:cstheme="minorBidi"/>
          <w:sz w:val="22"/>
          <w:szCs w:val="22"/>
          <w:lang w:eastAsia="en-US"/>
        </w:rPr>
        <w:t>i</w:t>
      </w:r>
      <w:r w:rsidRPr="00A8193F">
        <w:rPr>
          <w:rFonts w:eastAsiaTheme="minorHAnsi" w:cstheme="minorBidi"/>
          <w:sz w:val="22"/>
          <w:szCs w:val="22"/>
          <w:lang w:eastAsia="en-US"/>
        </w:rPr>
        <w:t xml:space="preserve"> intervence,</w:t>
      </w:r>
    </w:p>
    <w:p w:rsidR="008C16D1" w:rsidRPr="00A8193F"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r w:rsidRPr="00A8193F">
        <w:rPr>
          <w:rFonts w:eastAsiaTheme="minorHAnsi" w:cstheme="minorBidi"/>
          <w:sz w:val="22"/>
          <w:szCs w:val="22"/>
          <w:lang w:eastAsia="en-US"/>
        </w:rPr>
        <w:t>využ</w:t>
      </w:r>
      <w:r>
        <w:rPr>
          <w:rFonts w:eastAsiaTheme="minorHAnsi" w:cstheme="minorBidi"/>
          <w:sz w:val="22"/>
          <w:szCs w:val="22"/>
          <w:lang w:eastAsia="en-US"/>
        </w:rPr>
        <w:t>í</w:t>
      </w:r>
      <w:r w:rsidRPr="00A8193F">
        <w:rPr>
          <w:rFonts w:eastAsiaTheme="minorHAnsi" w:cstheme="minorBidi"/>
          <w:sz w:val="22"/>
          <w:szCs w:val="22"/>
          <w:lang w:eastAsia="en-US"/>
        </w:rPr>
        <w:t>t projekt</w:t>
      </w:r>
      <w:r>
        <w:rPr>
          <w:rFonts w:eastAsiaTheme="minorHAnsi" w:cstheme="minorBidi"/>
          <w:sz w:val="22"/>
          <w:szCs w:val="22"/>
          <w:lang w:eastAsia="en-US"/>
        </w:rPr>
        <w:t>y</w:t>
      </w:r>
      <w:r w:rsidRPr="00A8193F">
        <w:rPr>
          <w:rFonts w:eastAsiaTheme="minorHAnsi" w:cstheme="minorBidi"/>
          <w:sz w:val="22"/>
          <w:szCs w:val="22"/>
          <w:lang w:eastAsia="en-US"/>
        </w:rPr>
        <w:t xml:space="preserve"> ze zásobníku a co nejdříve tyto projekty vpustit do realizace,</w:t>
      </w:r>
    </w:p>
    <w:p w:rsidR="008C16D1" w:rsidRPr="00A8193F"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r w:rsidRPr="00A8193F">
        <w:rPr>
          <w:rFonts w:eastAsiaTheme="minorHAnsi" w:cstheme="minorBidi"/>
          <w:sz w:val="22"/>
          <w:szCs w:val="22"/>
          <w:lang w:eastAsia="en-US"/>
        </w:rPr>
        <w:t>využ</w:t>
      </w:r>
      <w:r>
        <w:rPr>
          <w:rFonts w:eastAsiaTheme="minorHAnsi" w:cstheme="minorBidi"/>
          <w:sz w:val="22"/>
          <w:szCs w:val="22"/>
          <w:lang w:eastAsia="en-US"/>
        </w:rPr>
        <w:t>í</w:t>
      </w:r>
      <w:r w:rsidRPr="00A8193F">
        <w:rPr>
          <w:rFonts w:eastAsiaTheme="minorHAnsi" w:cstheme="minorBidi"/>
          <w:sz w:val="22"/>
          <w:szCs w:val="22"/>
          <w:lang w:eastAsia="en-US"/>
        </w:rPr>
        <w:t>t 10% flexibilit</w:t>
      </w:r>
      <w:r>
        <w:rPr>
          <w:rFonts w:eastAsiaTheme="minorHAnsi" w:cstheme="minorBidi"/>
          <w:sz w:val="22"/>
          <w:szCs w:val="22"/>
          <w:lang w:eastAsia="en-US"/>
        </w:rPr>
        <w:t>u</w:t>
      </w:r>
      <w:r w:rsidRPr="00A8193F">
        <w:rPr>
          <w:rFonts w:eastAsiaTheme="minorHAnsi" w:cstheme="minorBidi"/>
          <w:sz w:val="22"/>
          <w:szCs w:val="22"/>
          <w:lang w:eastAsia="en-US"/>
        </w:rPr>
        <w:t xml:space="preserve"> mezi alokacemi na úrovni prioritních os,</w:t>
      </w:r>
    </w:p>
    <w:p w:rsidR="008C16D1" w:rsidRPr="00A8193F"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r w:rsidRPr="00A8193F">
        <w:rPr>
          <w:rFonts w:eastAsiaTheme="minorHAnsi" w:cstheme="minorBidi"/>
          <w:sz w:val="22"/>
          <w:szCs w:val="22"/>
          <w:lang w:eastAsia="en-US"/>
        </w:rPr>
        <w:t>zjednoduš</w:t>
      </w:r>
      <w:r>
        <w:rPr>
          <w:rFonts w:eastAsiaTheme="minorHAnsi" w:cstheme="minorBidi"/>
          <w:sz w:val="22"/>
          <w:szCs w:val="22"/>
          <w:lang w:eastAsia="en-US"/>
        </w:rPr>
        <w:t>it</w:t>
      </w:r>
      <w:r w:rsidRPr="00A8193F">
        <w:rPr>
          <w:rFonts w:eastAsiaTheme="minorHAnsi" w:cstheme="minorBidi"/>
          <w:sz w:val="22"/>
          <w:szCs w:val="22"/>
          <w:lang w:eastAsia="en-US"/>
        </w:rPr>
        <w:t xml:space="preserve"> a zefektivn</w:t>
      </w:r>
      <w:r>
        <w:rPr>
          <w:rFonts w:eastAsiaTheme="minorHAnsi" w:cstheme="minorBidi"/>
          <w:sz w:val="22"/>
          <w:szCs w:val="22"/>
          <w:lang w:eastAsia="en-US"/>
        </w:rPr>
        <w:t>it</w:t>
      </w:r>
      <w:r w:rsidRPr="00A8193F">
        <w:rPr>
          <w:rFonts w:eastAsiaTheme="minorHAnsi" w:cstheme="minorBidi"/>
          <w:sz w:val="22"/>
          <w:szCs w:val="22"/>
          <w:lang w:eastAsia="en-US"/>
        </w:rPr>
        <w:t xml:space="preserve"> systém implementace zejména ve vztahu k žadatelům a příjemcům,</w:t>
      </w:r>
    </w:p>
    <w:p w:rsidR="008C16D1"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r>
        <w:rPr>
          <w:rFonts w:eastAsiaTheme="minorHAnsi" w:cstheme="minorBidi"/>
          <w:sz w:val="22"/>
          <w:szCs w:val="22"/>
          <w:lang w:eastAsia="en-US"/>
        </w:rPr>
        <w:t xml:space="preserve">poskytovat </w:t>
      </w:r>
      <w:r w:rsidRPr="00A8193F">
        <w:rPr>
          <w:rFonts w:eastAsiaTheme="minorHAnsi" w:cstheme="minorBidi"/>
          <w:sz w:val="22"/>
          <w:szCs w:val="22"/>
          <w:lang w:eastAsia="en-US"/>
        </w:rPr>
        <w:t>intenzivní konzultační pomoc žadatelům a příjemcům</w:t>
      </w:r>
      <w:r>
        <w:rPr>
          <w:rFonts w:eastAsiaTheme="minorHAnsi" w:cstheme="minorBidi"/>
          <w:sz w:val="22"/>
          <w:szCs w:val="22"/>
          <w:lang w:eastAsia="en-US"/>
        </w:rPr>
        <w:t>,</w:t>
      </w:r>
    </w:p>
    <w:p w:rsidR="008C16D1" w:rsidRPr="00A8193F" w:rsidRDefault="008C16D1" w:rsidP="006C5D7B">
      <w:pPr>
        <w:pStyle w:val="Odstavecseseznamem"/>
        <w:numPr>
          <w:ilvl w:val="0"/>
          <w:numId w:val="32"/>
        </w:numPr>
        <w:spacing w:after="120"/>
        <w:ind w:left="714" w:hanging="357"/>
        <w:jc w:val="both"/>
        <w:rPr>
          <w:rFonts w:eastAsiaTheme="minorHAnsi" w:cstheme="minorBidi"/>
          <w:sz w:val="22"/>
          <w:szCs w:val="22"/>
          <w:lang w:eastAsia="en-US"/>
        </w:rPr>
      </w:pPr>
      <w:r w:rsidRPr="00A8193F">
        <w:rPr>
          <w:rFonts w:eastAsiaTheme="minorHAnsi" w:cstheme="minorBidi"/>
          <w:sz w:val="22"/>
          <w:szCs w:val="22"/>
          <w:lang w:eastAsia="en-US"/>
        </w:rPr>
        <w:t>sdíle</w:t>
      </w:r>
      <w:r>
        <w:rPr>
          <w:rFonts w:eastAsiaTheme="minorHAnsi" w:cstheme="minorBidi"/>
          <w:sz w:val="22"/>
          <w:szCs w:val="22"/>
          <w:lang w:eastAsia="en-US"/>
        </w:rPr>
        <w:t>t</w:t>
      </w:r>
      <w:r w:rsidRPr="00A8193F">
        <w:rPr>
          <w:rFonts w:eastAsiaTheme="minorHAnsi" w:cstheme="minorBidi"/>
          <w:sz w:val="22"/>
          <w:szCs w:val="22"/>
          <w:lang w:eastAsia="en-US"/>
        </w:rPr>
        <w:t xml:space="preserve"> dobr</w:t>
      </w:r>
      <w:r>
        <w:rPr>
          <w:rFonts w:eastAsiaTheme="minorHAnsi" w:cstheme="minorBidi"/>
          <w:sz w:val="22"/>
          <w:szCs w:val="22"/>
          <w:lang w:eastAsia="en-US"/>
        </w:rPr>
        <w:t>ou</w:t>
      </w:r>
      <w:r w:rsidRPr="00A8193F">
        <w:rPr>
          <w:rFonts w:eastAsiaTheme="minorHAnsi" w:cstheme="minorBidi"/>
          <w:sz w:val="22"/>
          <w:szCs w:val="22"/>
          <w:lang w:eastAsia="en-US"/>
        </w:rPr>
        <w:t xml:space="preserve"> a špatn</w:t>
      </w:r>
      <w:r>
        <w:rPr>
          <w:rFonts w:eastAsiaTheme="minorHAnsi" w:cstheme="minorBidi"/>
          <w:sz w:val="22"/>
          <w:szCs w:val="22"/>
          <w:lang w:eastAsia="en-US"/>
        </w:rPr>
        <w:t>ou</w:t>
      </w:r>
      <w:r w:rsidRPr="00A8193F">
        <w:rPr>
          <w:rFonts w:eastAsiaTheme="minorHAnsi" w:cstheme="minorBidi"/>
          <w:sz w:val="22"/>
          <w:szCs w:val="22"/>
          <w:lang w:eastAsia="en-US"/>
        </w:rPr>
        <w:t xml:space="preserve"> prax</w:t>
      </w:r>
      <w:r>
        <w:rPr>
          <w:rFonts w:eastAsiaTheme="minorHAnsi" w:cstheme="minorBidi"/>
          <w:sz w:val="22"/>
          <w:szCs w:val="22"/>
          <w:lang w:eastAsia="en-US"/>
        </w:rPr>
        <w:t>i</w:t>
      </w:r>
      <w:r w:rsidRPr="00A8193F">
        <w:rPr>
          <w:rFonts w:eastAsiaTheme="minorHAnsi" w:cstheme="minorBidi"/>
          <w:sz w:val="22"/>
          <w:szCs w:val="22"/>
          <w:lang w:eastAsia="en-US"/>
        </w:rPr>
        <w:t>,</w:t>
      </w:r>
    </w:p>
    <w:p w:rsidR="00E934BF" w:rsidRPr="00E934BF" w:rsidRDefault="008C16D1" w:rsidP="00E934BF">
      <w:pPr>
        <w:jc w:val="both"/>
        <w:rPr>
          <w:rFonts w:eastAsiaTheme="minorHAnsi" w:cstheme="minorBidi"/>
          <w:sz w:val="22"/>
          <w:szCs w:val="22"/>
          <w:lang w:eastAsia="en-US"/>
        </w:rPr>
      </w:pPr>
      <w:r w:rsidRPr="00A23DCB">
        <w:rPr>
          <w:rFonts w:eastAsiaTheme="minorHAnsi" w:cstheme="minorBidi"/>
          <w:sz w:val="22"/>
          <w:szCs w:val="22"/>
          <w:lang w:eastAsia="en-US"/>
        </w:rPr>
        <w:t>komunik</w:t>
      </w:r>
      <w:r w:rsidRPr="00B42E64">
        <w:rPr>
          <w:rFonts w:eastAsiaTheme="minorHAnsi" w:cstheme="minorBidi"/>
          <w:sz w:val="22"/>
          <w:szCs w:val="22"/>
          <w:lang w:eastAsia="en-US"/>
        </w:rPr>
        <w:t>ovat</w:t>
      </w:r>
      <w:r w:rsidRPr="00A23DCB">
        <w:rPr>
          <w:rFonts w:eastAsiaTheme="minorHAnsi" w:cstheme="minorBidi"/>
          <w:sz w:val="22"/>
          <w:szCs w:val="22"/>
          <w:lang w:eastAsia="en-US"/>
        </w:rPr>
        <w:t xml:space="preserve"> s příjemci ohledně náležitostí a termínů pro předání zpráv, vyúčtování projektu a dalších povinností vyplývajících z podmínek programu, které vedou často ke zbytečným chybám </w:t>
      </w:r>
      <w:r w:rsidR="00271235">
        <w:rPr>
          <w:rFonts w:eastAsiaTheme="minorHAnsi" w:cstheme="minorBidi"/>
          <w:sz w:val="22"/>
          <w:szCs w:val="22"/>
          <w:lang w:eastAsia="en-US"/>
        </w:rPr>
        <w:br/>
      </w:r>
      <w:r w:rsidRPr="00A23DCB">
        <w:rPr>
          <w:rFonts w:eastAsiaTheme="minorHAnsi" w:cstheme="minorBidi"/>
          <w:sz w:val="22"/>
          <w:szCs w:val="22"/>
          <w:lang w:eastAsia="en-US"/>
        </w:rPr>
        <w:t>a sankcím</w:t>
      </w:r>
      <w:r w:rsidR="004655F9" w:rsidRPr="00A8193F">
        <w:rPr>
          <w:rFonts w:eastAsiaTheme="minorHAnsi" w:cstheme="minorBidi"/>
          <w:sz w:val="22"/>
          <w:szCs w:val="22"/>
          <w:lang w:eastAsia="en-US"/>
        </w:rPr>
        <w:t>.</w:t>
      </w:r>
      <w:r w:rsidR="00472F9B">
        <w:rPr>
          <w:rFonts w:eastAsiaTheme="minorHAnsi" w:cstheme="minorBidi"/>
          <w:sz w:val="22"/>
          <w:szCs w:val="22"/>
          <w:lang w:eastAsia="en-US"/>
        </w:rPr>
        <w:t xml:space="preserve"> </w:t>
      </w:r>
      <w:r w:rsidR="00E934BF" w:rsidRPr="00E934BF">
        <w:rPr>
          <w:rFonts w:eastAsiaTheme="minorHAnsi" w:cstheme="minorBidi"/>
          <w:sz w:val="22"/>
          <w:szCs w:val="22"/>
          <w:lang w:eastAsia="en-US"/>
        </w:rPr>
        <w:t>ŘO IOP provedl analýzu dosavadních úspor, vzniklých zejména při veřejných zakázkách a při zjištění nezpůsobilých výdajů. Míru úspor promítl ŘO IOP do volné finanční alokace. Odhadované úspory v projektech dosahují výše 2,49 mld. Kč z podílu prostředků EU. To znamená, že při pokračování dosavadního trendu úspor a při schválení projektů do 100 % alokace by program nedočerpal 2,49 mld. Kč. Z toho vyplývá, při určitém zjednodušení, že je zapotřebí vybrat a schválit projekty v celkovém objemu o 2,49 mld. vyšším, než je alokace programu.</w:t>
      </w:r>
    </w:p>
    <w:p w:rsidR="00C001C3" w:rsidRDefault="00C001C3" w:rsidP="004655F9">
      <w:pPr>
        <w:pStyle w:val="Bntext"/>
        <w:rPr>
          <w:rFonts w:eastAsiaTheme="minorHAnsi" w:cstheme="minorBidi"/>
          <w:sz w:val="22"/>
          <w:szCs w:val="22"/>
          <w:lang w:eastAsia="en-US"/>
        </w:rPr>
      </w:pPr>
    </w:p>
    <w:p w:rsidR="004655F9" w:rsidRDefault="004655F9" w:rsidP="004655F9">
      <w:pPr>
        <w:jc w:val="both"/>
        <w:rPr>
          <w:b/>
          <w:sz w:val="22"/>
          <w:szCs w:val="22"/>
          <w:u w:val="single"/>
        </w:rPr>
      </w:pPr>
      <w:r w:rsidRPr="002C50A1">
        <w:rPr>
          <w:b/>
          <w:sz w:val="22"/>
          <w:szCs w:val="22"/>
          <w:u w:val="single"/>
        </w:rPr>
        <w:t xml:space="preserve">Evaluace realizace finančního nástroje JESSICA s ohledem na využitelnost pro programové období 2014 </w:t>
      </w:r>
      <w:r>
        <w:rPr>
          <w:b/>
          <w:sz w:val="22"/>
          <w:szCs w:val="22"/>
          <w:u w:val="single"/>
        </w:rPr>
        <w:t>–</w:t>
      </w:r>
      <w:r w:rsidRPr="002C50A1">
        <w:rPr>
          <w:b/>
          <w:sz w:val="22"/>
          <w:szCs w:val="22"/>
          <w:u w:val="single"/>
        </w:rPr>
        <w:t xml:space="preserve"> 2020</w:t>
      </w:r>
    </w:p>
    <w:p w:rsidR="004655F9" w:rsidRDefault="004655F9" w:rsidP="004655F9">
      <w:pPr>
        <w:jc w:val="both"/>
        <w:rPr>
          <w:sz w:val="22"/>
          <w:szCs w:val="22"/>
        </w:rPr>
      </w:pPr>
      <w:r w:rsidRPr="00BE195C">
        <w:rPr>
          <w:sz w:val="22"/>
          <w:szCs w:val="22"/>
        </w:rPr>
        <w:t xml:space="preserve">O provedení této evaluace bylo rozhodnuto na 11. zasedání Monitorovacího výboru IOP dne 6. června 2013. Cílem je vyhodnotit dodatečné zařazení finančního nástroje JESSICA do realizace Integrovaného operačního programu, posoudit implementační strukturu finančního nástroje a vhodnost podporovaných aktivit. </w:t>
      </w:r>
    </w:p>
    <w:p w:rsidR="008C16D1" w:rsidRPr="00BE195C" w:rsidRDefault="008C16D1" w:rsidP="004655F9">
      <w:pPr>
        <w:jc w:val="both"/>
        <w:rPr>
          <w:sz w:val="22"/>
          <w:szCs w:val="22"/>
        </w:rPr>
      </w:pPr>
    </w:p>
    <w:p w:rsidR="004655F9" w:rsidRPr="00BE195C" w:rsidRDefault="004655F9" w:rsidP="004655F9">
      <w:pPr>
        <w:rPr>
          <w:bCs/>
          <w:sz w:val="22"/>
          <w:szCs w:val="22"/>
        </w:rPr>
      </w:pPr>
      <w:r w:rsidRPr="00BE195C">
        <w:rPr>
          <w:sz w:val="22"/>
          <w:szCs w:val="22"/>
        </w:rPr>
        <w:t xml:space="preserve">Zpracování: interní </w:t>
      </w:r>
    </w:p>
    <w:p w:rsidR="004655F9" w:rsidRPr="00BE195C" w:rsidRDefault="004655F9" w:rsidP="004655F9">
      <w:pPr>
        <w:rPr>
          <w:bCs/>
          <w:sz w:val="22"/>
          <w:szCs w:val="22"/>
        </w:rPr>
      </w:pPr>
      <w:r w:rsidRPr="00BE195C">
        <w:rPr>
          <w:sz w:val="22"/>
          <w:szCs w:val="22"/>
        </w:rPr>
        <w:t xml:space="preserve">Časový rámec: </w:t>
      </w:r>
      <w:r>
        <w:rPr>
          <w:sz w:val="22"/>
          <w:szCs w:val="22"/>
        </w:rPr>
        <w:t xml:space="preserve">duben 2014 </w:t>
      </w:r>
      <w:r w:rsidRPr="00BE195C">
        <w:rPr>
          <w:sz w:val="22"/>
          <w:szCs w:val="22"/>
        </w:rPr>
        <w:t>–</w:t>
      </w:r>
      <w:r>
        <w:rPr>
          <w:sz w:val="22"/>
          <w:szCs w:val="22"/>
        </w:rPr>
        <w:t xml:space="preserve"> říjen </w:t>
      </w:r>
      <w:r w:rsidRPr="00BE195C">
        <w:rPr>
          <w:sz w:val="22"/>
          <w:szCs w:val="22"/>
        </w:rPr>
        <w:t>2014</w:t>
      </w:r>
    </w:p>
    <w:p w:rsidR="004655F9" w:rsidRPr="00BE195C" w:rsidRDefault="004655F9" w:rsidP="004655F9">
      <w:pPr>
        <w:rPr>
          <w:bCs/>
          <w:sz w:val="22"/>
          <w:szCs w:val="22"/>
        </w:rPr>
      </w:pPr>
      <w:r w:rsidRPr="00BE195C">
        <w:rPr>
          <w:sz w:val="22"/>
          <w:szCs w:val="22"/>
        </w:rPr>
        <w:t xml:space="preserve">Zpracovatel: ŘO IOP </w:t>
      </w:r>
    </w:p>
    <w:p w:rsidR="00EE0E1B" w:rsidRPr="006C5D7B" w:rsidRDefault="004655F9" w:rsidP="006C5D7B">
      <w:pPr>
        <w:rPr>
          <w:sz w:val="22"/>
          <w:szCs w:val="22"/>
        </w:rPr>
      </w:pPr>
      <w:r w:rsidRPr="00FD2FFC">
        <w:rPr>
          <w:sz w:val="22"/>
          <w:szCs w:val="22"/>
        </w:rPr>
        <w:t xml:space="preserve"> </w:t>
      </w:r>
    </w:p>
    <w:p w:rsidR="004655F9" w:rsidRPr="00FD2FFC" w:rsidRDefault="004655F9" w:rsidP="004655F9">
      <w:pPr>
        <w:pStyle w:val="integra-normalni"/>
        <w:spacing w:after="0"/>
        <w:rPr>
          <w:rFonts w:ascii="Times New Roman" w:hAnsi="Times New Roman"/>
          <w:b/>
          <w:sz w:val="22"/>
          <w:szCs w:val="22"/>
        </w:rPr>
      </w:pPr>
      <w:r w:rsidRPr="00FD2FFC">
        <w:rPr>
          <w:rFonts w:ascii="Times New Roman" w:hAnsi="Times New Roman"/>
          <w:b/>
          <w:sz w:val="22"/>
          <w:szCs w:val="22"/>
        </w:rPr>
        <w:t>Stručné shrnutí závěrů:</w:t>
      </w:r>
    </w:p>
    <w:p w:rsidR="008C16D1" w:rsidRPr="00A8193F" w:rsidRDefault="008C16D1" w:rsidP="008C16D1">
      <w:pPr>
        <w:spacing w:after="200"/>
        <w:jc w:val="both"/>
        <w:rPr>
          <w:rFonts w:eastAsiaTheme="minorHAnsi" w:cstheme="minorBidi"/>
          <w:sz w:val="22"/>
          <w:szCs w:val="22"/>
          <w:lang w:eastAsia="en-US"/>
        </w:rPr>
      </w:pPr>
      <w:r w:rsidRPr="00A8193F">
        <w:rPr>
          <w:rFonts w:eastAsiaTheme="minorHAnsi" w:cstheme="minorBidi"/>
          <w:sz w:val="22"/>
          <w:szCs w:val="22"/>
          <w:lang w:eastAsia="en-US"/>
        </w:rPr>
        <w:t xml:space="preserve">Pilotní implementaci FN JESSICA v IOP lze považovat za úspěšnou a aktuální stav čerpání, podpořený zájmem potencionálních žadatelů o produkt, naznačuje, že </w:t>
      </w:r>
      <w:r>
        <w:rPr>
          <w:rFonts w:eastAsiaTheme="minorHAnsi" w:cstheme="minorBidi"/>
          <w:sz w:val="22"/>
          <w:szCs w:val="22"/>
          <w:lang w:eastAsia="en-US"/>
        </w:rPr>
        <w:t xml:space="preserve">se </w:t>
      </w:r>
      <w:r w:rsidRPr="00A8193F">
        <w:rPr>
          <w:rFonts w:eastAsiaTheme="minorHAnsi" w:cstheme="minorBidi"/>
          <w:sz w:val="22"/>
          <w:szCs w:val="22"/>
          <w:lang w:eastAsia="en-US"/>
        </w:rPr>
        <w:t>do konce roku 2015 vyčerpá cel</w:t>
      </w:r>
      <w:r>
        <w:rPr>
          <w:rFonts w:eastAsiaTheme="minorHAnsi" w:cstheme="minorBidi"/>
          <w:sz w:val="22"/>
          <w:szCs w:val="22"/>
          <w:lang w:eastAsia="en-US"/>
        </w:rPr>
        <w:t>á</w:t>
      </w:r>
      <w:r w:rsidRPr="00A8193F">
        <w:rPr>
          <w:rFonts w:eastAsiaTheme="minorHAnsi" w:cstheme="minorBidi"/>
          <w:sz w:val="22"/>
          <w:szCs w:val="22"/>
          <w:lang w:eastAsia="en-US"/>
        </w:rPr>
        <w:t xml:space="preserve"> alokovan</w:t>
      </w:r>
      <w:r>
        <w:rPr>
          <w:rFonts w:eastAsiaTheme="minorHAnsi" w:cstheme="minorBidi"/>
          <w:sz w:val="22"/>
          <w:szCs w:val="22"/>
          <w:lang w:eastAsia="en-US"/>
        </w:rPr>
        <w:t>á</w:t>
      </w:r>
      <w:r w:rsidRPr="00A8193F">
        <w:rPr>
          <w:rFonts w:eastAsiaTheme="minorHAnsi" w:cstheme="minorBidi"/>
          <w:sz w:val="22"/>
          <w:szCs w:val="22"/>
          <w:lang w:eastAsia="en-US"/>
        </w:rPr>
        <w:t xml:space="preserve"> částk</w:t>
      </w:r>
      <w:r>
        <w:rPr>
          <w:rFonts w:eastAsiaTheme="minorHAnsi" w:cstheme="minorBidi"/>
          <w:sz w:val="22"/>
          <w:szCs w:val="22"/>
          <w:lang w:eastAsia="en-US"/>
        </w:rPr>
        <w:t>a</w:t>
      </w:r>
      <w:r w:rsidRPr="00A8193F">
        <w:rPr>
          <w:rFonts w:eastAsiaTheme="minorHAnsi" w:cstheme="minorBidi"/>
          <w:sz w:val="22"/>
          <w:szCs w:val="22"/>
          <w:lang w:eastAsia="en-US"/>
        </w:rPr>
        <w:t>. V porovnání s ostatními produkty se aktuálně jedná o nejvýhodnější nástroj financování, který mohou vlastníci bytových domů z deprivovaných městských zón využít. FN JESSICA nabízí velmi výhodnou sazbu na trhu úvěrových produktů, dlouhou dobu splácení a stabilní podmínky po celou dobu splatnosti.</w:t>
      </w:r>
    </w:p>
    <w:p w:rsidR="008C16D1" w:rsidRPr="00A8193F" w:rsidRDefault="00E934BF" w:rsidP="008C16D1">
      <w:pPr>
        <w:spacing w:after="200"/>
        <w:jc w:val="both"/>
        <w:rPr>
          <w:rFonts w:eastAsiaTheme="minorHAnsi" w:cstheme="minorBidi"/>
          <w:sz w:val="22"/>
          <w:szCs w:val="22"/>
          <w:lang w:eastAsia="en-US"/>
        </w:rPr>
      </w:pPr>
      <w:r>
        <w:rPr>
          <w:rFonts w:eastAsiaTheme="minorHAnsi" w:cstheme="minorBidi"/>
          <w:sz w:val="22"/>
          <w:szCs w:val="22"/>
          <w:lang w:eastAsia="en-US"/>
        </w:rPr>
        <w:t>Z</w:t>
      </w:r>
      <w:r w:rsidR="008C16D1" w:rsidRPr="00A8193F">
        <w:rPr>
          <w:rFonts w:eastAsiaTheme="minorHAnsi" w:cstheme="minorBidi"/>
          <w:sz w:val="22"/>
          <w:szCs w:val="22"/>
          <w:lang w:eastAsia="en-US"/>
        </w:rPr>
        <w:t xml:space="preserve"> analýzy procesů a administrativního zajištění vyplynulo, že všechny činnosti jsou vykonávány bez závažnějších problémů. Počáteční prodlení při nastavování procesů bylo způsobeno nezkušeností s realizací FN a absencí metodiky pro implementaci FN.</w:t>
      </w:r>
    </w:p>
    <w:p w:rsidR="004655F9" w:rsidRPr="00A8193F" w:rsidRDefault="008C16D1" w:rsidP="004655F9">
      <w:pPr>
        <w:spacing w:after="200"/>
        <w:jc w:val="both"/>
        <w:rPr>
          <w:rFonts w:eastAsiaTheme="minorHAnsi" w:cstheme="minorBidi"/>
          <w:sz w:val="22"/>
          <w:szCs w:val="22"/>
          <w:lang w:eastAsia="en-US"/>
        </w:rPr>
      </w:pPr>
      <w:r w:rsidRPr="00A8193F">
        <w:rPr>
          <w:rFonts w:eastAsiaTheme="minorHAnsi" w:cstheme="minorBidi"/>
          <w:sz w:val="22"/>
          <w:szCs w:val="22"/>
          <w:lang w:eastAsia="en-US"/>
        </w:rPr>
        <w:t>Zdržení v počátku realizace FN JESSICA v IOP bylo zejména způsobeno opakovaným zadávacím řízením na SFRM. Důvodem opakování bylo komplikované nastavení podmínek v zadávací dokumentaci.</w:t>
      </w:r>
    </w:p>
    <w:p w:rsidR="004655F9" w:rsidRPr="00A8193F" w:rsidRDefault="004655F9" w:rsidP="004655F9">
      <w:pPr>
        <w:spacing w:after="200"/>
        <w:jc w:val="both"/>
        <w:rPr>
          <w:rFonts w:eastAsiaTheme="minorHAnsi" w:cstheme="minorBidi"/>
          <w:sz w:val="22"/>
          <w:szCs w:val="22"/>
          <w:lang w:eastAsia="en-US"/>
        </w:rPr>
      </w:pPr>
      <w:r w:rsidRPr="00A8193F">
        <w:rPr>
          <w:rFonts w:eastAsiaTheme="minorHAnsi" w:cstheme="minorBidi"/>
          <w:sz w:val="22"/>
          <w:szCs w:val="22"/>
          <w:lang w:eastAsia="en-US"/>
        </w:rPr>
        <w:t xml:space="preserve">Problematické pro potencionální uchazeče bylo především nejasné definování podmínek a nastavení vysoké míry odpovědnosti za nesplácení úvěru. </w:t>
      </w:r>
    </w:p>
    <w:p w:rsidR="009D148A" w:rsidRPr="00A8193F" w:rsidRDefault="009D148A" w:rsidP="009D148A">
      <w:pPr>
        <w:autoSpaceDE w:val="0"/>
        <w:autoSpaceDN w:val="0"/>
        <w:adjustRightInd w:val="0"/>
        <w:jc w:val="both"/>
        <w:rPr>
          <w:rFonts w:eastAsiaTheme="minorHAnsi" w:cstheme="minorBidi"/>
          <w:sz w:val="22"/>
          <w:szCs w:val="22"/>
          <w:lang w:eastAsia="en-US"/>
        </w:rPr>
      </w:pPr>
      <w:r w:rsidRPr="00A8193F">
        <w:rPr>
          <w:rFonts w:eastAsiaTheme="minorHAnsi" w:cstheme="minorBidi"/>
          <w:sz w:val="22"/>
          <w:szCs w:val="22"/>
          <w:lang w:eastAsia="en-US"/>
        </w:rPr>
        <w:lastRenderedPageBreak/>
        <w:t xml:space="preserve">Při realizaci nedochází k zásadním duplicitním činnostem subjektů zapojených do implementační struktury FN JESSICA. Z provedeného šetření vyplynulo riziko porušení smlouvy v případě výplaty tranší pro jednotlivé schválené investice. Podle smlouvy by měla být tranše vyplacena do 10 dnů od požadavku na výplatu. Pokud HF zjistí, že SFRM nedodržel stanovené postupy a kritéria pro výběr projektů, nemůže Správci tranši vyplatit a o dalším postupu musí rozhodnout ŘO. Hrozí zpoždění vyplacení tranše a nedodržení lhůty 10 dnů od požadavku na výplatu. Toto riziko bylo vyřešeno přijatým opatřením. Na úrovni některých procesů byl identifikován prostor pro zjednodušení </w:t>
      </w:r>
      <w:r w:rsidR="00146149">
        <w:rPr>
          <w:rFonts w:eastAsiaTheme="minorHAnsi" w:cstheme="minorBidi"/>
          <w:sz w:val="22"/>
          <w:szCs w:val="22"/>
          <w:lang w:eastAsia="en-US"/>
        </w:rPr>
        <w:br/>
      </w:r>
      <w:r w:rsidRPr="00A8193F">
        <w:rPr>
          <w:rFonts w:eastAsiaTheme="minorHAnsi" w:cstheme="minorBidi"/>
          <w:sz w:val="22"/>
          <w:szCs w:val="22"/>
          <w:lang w:eastAsia="en-US"/>
        </w:rPr>
        <w:t xml:space="preserve">a zefektivnění administrativních postupů (vzájemná komunikace a poskytování součinnosti, kontrola </w:t>
      </w:r>
      <w:r w:rsidR="00146149">
        <w:rPr>
          <w:rFonts w:eastAsiaTheme="minorHAnsi" w:cstheme="minorBidi"/>
          <w:sz w:val="22"/>
          <w:szCs w:val="22"/>
          <w:lang w:eastAsia="en-US"/>
        </w:rPr>
        <w:br/>
      </w:r>
      <w:r w:rsidRPr="00A8193F">
        <w:rPr>
          <w:rFonts w:eastAsiaTheme="minorHAnsi" w:cstheme="minorBidi"/>
          <w:sz w:val="22"/>
          <w:szCs w:val="22"/>
          <w:lang w:eastAsia="en-US"/>
        </w:rPr>
        <w:t>a dokladování dokumentace).</w:t>
      </w:r>
    </w:p>
    <w:p w:rsidR="004655F9" w:rsidRPr="00A8193F" w:rsidRDefault="004655F9" w:rsidP="004655F9">
      <w:pPr>
        <w:autoSpaceDE w:val="0"/>
        <w:autoSpaceDN w:val="0"/>
        <w:adjustRightInd w:val="0"/>
        <w:jc w:val="both"/>
        <w:rPr>
          <w:rFonts w:eastAsiaTheme="minorHAnsi" w:cstheme="minorBidi"/>
          <w:sz w:val="22"/>
          <w:szCs w:val="22"/>
          <w:lang w:eastAsia="en-US"/>
        </w:rPr>
      </w:pPr>
    </w:p>
    <w:p w:rsidR="004655F9" w:rsidRPr="00A8193F" w:rsidRDefault="004655F9" w:rsidP="004655F9">
      <w:pPr>
        <w:autoSpaceDE w:val="0"/>
        <w:autoSpaceDN w:val="0"/>
        <w:adjustRightInd w:val="0"/>
        <w:jc w:val="both"/>
        <w:rPr>
          <w:rFonts w:eastAsiaTheme="minorHAnsi" w:cstheme="minorBidi"/>
          <w:sz w:val="22"/>
          <w:szCs w:val="22"/>
          <w:lang w:eastAsia="en-US"/>
        </w:rPr>
      </w:pPr>
      <w:r w:rsidRPr="00A8193F">
        <w:rPr>
          <w:rFonts w:eastAsiaTheme="minorHAnsi" w:cstheme="minorBidi"/>
          <w:sz w:val="22"/>
          <w:szCs w:val="22"/>
          <w:lang w:eastAsia="en-US"/>
        </w:rPr>
        <w:t xml:space="preserve">Pro programové období 2014+ je vhodné pokračovat ve financování formou FN, jelikož se jedná </w:t>
      </w:r>
      <w:r w:rsidR="00146149">
        <w:rPr>
          <w:rFonts w:eastAsiaTheme="minorHAnsi" w:cstheme="minorBidi"/>
          <w:sz w:val="22"/>
          <w:szCs w:val="22"/>
          <w:lang w:eastAsia="en-US"/>
        </w:rPr>
        <w:br/>
      </w:r>
      <w:r w:rsidRPr="00A8193F">
        <w:rPr>
          <w:rFonts w:eastAsiaTheme="minorHAnsi" w:cstheme="minorBidi"/>
          <w:sz w:val="22"/>
          <w:szCs w:val="22"/>
          <w:lang w:eastAsia="en-US"/>
        </w:rPr>
        <w:t>o významný nástroj z hlediska návratnosti veřejných prostředků a z hlediska co nejnižšího narušení tržního prostředí ve smyslu bankovního trhu i trhu v sektorech, kam dotace směřují.</w:t>
      </w:r>
    </w:p>
    <w:p w:rsidR="004655F9" w:rsidRPr="00A8193F" w:rsidRDefault="004655F9" w:rsidP="004655F9">
      <w:pPr>
        <w:autoSpaceDE w:val="0"/>
        <w:autoSpaceDN w:val="0"/>
        <w:adjustRightInd w:val="0"/>
        <w:jc w:val="both"/>
        <w:rPr>
          <w:rFonts w:eastAsiaTheme="minorHAnsi" w:cstheme="minorBidi"/>
          <w:sz w:val="22"/>
          <w:szCs w:val="22"/>
          <w:lang w:eastAsia="en-US"/>
        </w:rPr>
      </w:pPr>
    </w:p>
    <w:p w:rsidR="00F92E3A" w:rsidRPr="00A8193F" w:rsidRDefault="00F92E3A" w:rsidP="00F92E3A">
      <w:pPr>
        <w:jc w:val="both"/>
        <w:rPr>
          <w:rFonts w:eastAsiaTheme="minorHAnsi" w:cstheme="minorBidi"/>
          <w:sz w:val="22"/>
          <w:szCs w:val="22"/>
          <w:lang w:eastAsia="en-US"/>
        </w:rPr>
      </w:pPr>
      <w:r w:rsidRPr="00A8193F">
        <w:rPr>
          <w:rFonts w:eastAsiaTheme="minorHAnsi" w:cstheme="minorBidi"/>
          <w:sz w:val="22"/>
          <w:szCs w:val="22"/>
          <w:lang w:eastAsia="en-US"/>
        </w:rPr>
        <w:t>Na základě analýzy a hodnocení rizik nebylo na úrovni jednotlivých procesů identifikováno riziko s vysokým stupněm významnosti, které by mělo negativní vliv na efektivitu provádění proces</w:t>
      </w:r>
      <w:r>
        <w:rPr>
          <w:rFonts w:eastAsiaTheme="minorHAnsi" w:cstheme="minorBidi"/>
          <w:sz w:val="22"/>
          <w:szCs w:val="22"/>
          <w:lang w:eastAsia="en-US"/>
        </w:rPr>
        <w:t>ů</w:t>
      </w:r>
      <w:r w:rsidRPr="00A8193F">
        <w:rPr>
          <w:rFonts w:eastAsiaTheme="minorHAnsi" w:cstheme="minorBidi"/>
          <w:sz w:val="22"/>
          <w:szCs w:val="22"/>
          <w:lang w:eastAsia="en-US"/>
        </w:rPr>
        <w:t xml:space="preserve"> </w:t>
      </w:r>
      <w:r w:rsidR="00146149">
        <w:rPr>
          <w:rFonts w:eastAsiaTheme="minorHAnsi" w:cstheme="minorBidi"/>
          <w:sz w:val="22"/>
          <w:szCs w:val="22"/>
          <w:lang w:eastAsia="en-US"/>
        </w:rPr>
        <w:br/>
      </w:r>
      <w:r w:rsidRPr="00A8193F">
        <w:rPr>
          <w:rFonts w:eastAsiaTheme="minorHAnsi" w:cstheme="minorBidi"/>
          <w:sz w:val="22"/>
          <w:szCs w:val="22"/>
          <w:lang w:eastAsia="en-US"/>
        </w:rPr>
        <w:t xml:space="preserve">a mohlo negativně ovlivnit naplňování cílů FN JESSICA. </w:t>
      </w:r>
    </w:p>
    <w:p w:rsidR="004655F9" w:rsidRDefault="004655F9" w:rsidP="004655F9">
      <w:pPr>
        <w:rPr>
          <w:b/>
          <w:sz w:val="22"/>
          <w:szCs w:val="22"/>
          <w:u w:val="single"/>
        </w:rPr>
      </w:pPr>
    </w:p>
    <w:p w:rsidR="004655F9" w:rsidRDefault="004655F9" w:rsidP="004655F9">
      <w:pPr>
        <w:rPr>
          <w:b/>
          <w:sz w:val="22"/>
          <w:szCs w:val="22"/>
          <w:u w:val="single"/>
        </w:rPr>
      </w:pPr>
      <w:r w:rsidRPr="002C50A1">
        <w:rPr>
          <w:b/>
          <w:sz w:val="22"/>
          <w:szCs w:val="22"/>
          <w:u w:val="single"/>
        </w:rPr>
        <w:t>Analýza administrativních kapacit a outsourcingu v implementační struktuře IOP 2014</w:t>
      </w:r>
    </w:p>
    <w:p w:rsidR="004655F9" w:rsidRPr="00BE195C" w:rsidRDefault="004655F9" w:rsidP="004655F9">
      <w:pPr>
        <w:jc w:val="both"/>
        <w:rPr>
          <w:sz w:val="22"/>
          <w:szCs w:val="22"/>
        </w:rPr>
      </w:pPr>
      <w:r w:rsidRPr="00BE195C">
        <w:rPr>
          <w:sz w:val="22"/>
          <w:szCs w:val="22"/>
        </w:rPr>
        <w:t xml:space="preserve">Cílem </w:t>
      </w:r>
      <w:r>
        <w:rPr>
          <w:sz w:val="22"/>
          <w:szCs w:val="22"/>
        </w:rPr>
        <w:t xml:space="preserve">analýzy je </w:t>
      </w:r>
      <w:r w:rsidRPr="00BE195C">
        <w:rPr>
          <w:sz w:val="22"/>
          <w:szCs w:val="22"/>
        </w:rPr>
        <w:t>zjistit celkové náklady na řízení programu během sledovaného období 7/201</w:t>
      </w:r>
      <w:r>
        <w:rPr>
          <w:sz w:val="22"/>
          <w:szCs w:val="22"/>
        </w:rPr>
        <w:t>3</w:t>
      </w:r>
      <w:r w:rsidRPr="00BE195C">
        <w:rPr>
          <w:sz w:val="22"/>
          <w:szCs w:val="22"/>
        </w:rPr>
        <w:t xml:space="preserve"> – 6/201</w:t>
      </w:r>
      <w:r>
        <w:rPr>
          <w:sz w:val="22"/>
          <w:szCs w:val="22"/>
        </w:rPr>
        <w:t>4</w:t>
      </w:r>
      <w:r w:rsidRPr="00BE195C">
        <w:rPr>
          <w:sz w:val="22"/>
          <w:szCs w:val="22"/>
        </w:rPr>
        <w:t xml:space="preserve"> a porovnat jejich výši s náklady v předchozích obdobích. </w:t>
      </w:r>
      <w:r>
        <w:rPr>
          <w:sz w:val="22"/>
          <w:szCs w:val="22"/>
        </w:rPr>
        <w:t>Z porovnání výkonů a finančních nákladů identifikovat rizika a navrhnout doporučení vedoucí ke zvýšení efektivity a hospodárnosti.</w:t>
      </w:r>
    </w:p>
    <w:p w:rsidR="004655F9" w:rsidRPr="00BE195C" w:rsidRDefault="004655F9" w:rsidP="004655F9">
      <w:pPr>
        <w:jc w:val="both"/>
        <w:rPr>
          <w:sz w:val="22"/>
          <w:szCs w:val="22"/>
        </w:rPr>
      </w:pPr>
    </w:p>
    <w:p w:rsidR="004655F9" w:rsidRPr="00BA0356" w:rsidRDefault="004655F9" w:rsidP="004655F9">
      <w:pPr>
        <w:rPr>
          <w:sz w:val="22"/>
          <w:szCs w:val="22"/>
        </w:rPr>
      </w:pPr>
      <w:r w:rsidRPr="00BA0356">
        <w:rPr>
          <w:sz w:val="22"/>
          <w:szCs w:val="22"/>
        </w:rPr>
        <w:t>Doba realizace (období): červenec – říjen 2014</w:t>
      </w:r>
    </w:p>
    <w:p w:rsidR="004655F9" w:rsidRPr="00BA0356" w:rsidRDefault="004655F9" w:rsidP="004655F9">
      <w:pPr>
        <w:rPr>
          <w:sz w:val="22"/>
          <w:szCs w:val="22"/>
        </w:rPr>
      </w:pPr>
      <w:r w:rsidRPr="00BA0356">
        <w:rPr>
          <w:sz w:val="22"/>
          <w:szCs w:val="22"/>
        </w:rPr>
        <w:t>Typ evaluace: interní</w:t>
      </w:r>
    </w:p>
    <w:p w:rsidR="00BC43E4" w:rsidRDefault="004655F9" w:rsidP="004655F9">
      <w:pPr>
        <w:rPr>
          <w:sz w:val="22"/>
          <w:szCs w:val="22"/>
        </w:rPr>
      </w:pPr>
      <w:r w:rsidRPr="00BA0356">
        <w:rPr>
          <w:sz w:val="22"/>
          <w:szCs w:val="22"/>
        </w:rPr>
        <w:t>Zpracovatel: ŘO IOP ve spolupráci se ZS</w:t>
      </w:r>
    </w:p>
    <w:p w:rsidR="00CD186C" w:rsidRPr="0004025B" w:rsidRDefault="00CD186C" w:rsidP="004655F9">
      <w:pPr>
        <w:rPr>
          <w:sz w:val="22"/>
          <w:szCs w:val="22"/>
        </w:rPr>
      </w:pPr>
    </w:p>
    <w:p w:rsidR="004655F9" w:rsidRPr="001004FB" w:rsidRDefault="004655F9" w:rsidP="004655F9">
      <w:pPr>
        <w:pStyle w:val="integra-normalni"/>
        <w:spacing w:after="0"/>
        <w:rPr>
          <w:rFonts w:ascii="Times New Roman" w:hAnsi="Times New Roman"/>
          <w:b/>
          <w:sz w:val="22"/>
          <w:szCs w:val="22"/>
        </w:rPr>
      </w:pPr>
      <w:r w:rsidRPr="001004FB">
        <w:rPr>
          <w:rFonts w:ascii="Times New Roman" w:hAnsi="Times New Roman"/>
          <w:b/>
          <w:sz w:val="22"/>
          <w:szCs w:val="22"/>
        </w:rPr>
        <w:t>Stručné shrnutí závěrů</w:t>
      </w:r>
    </w:p>
    <w:p w:rsidR="004655F9" w:rsidRPr="00CE3770" w:rsidRDefault="004655F9" w:rsidP="00D41E80">
      <w:pPr>
        <w:spacing w:after="200"/>
        <w:jc w:val="both"/>
        <w:rPr>
          <w:rFonts w:eastAsiaTheme="minorHAnsi" w:cstheme="minorBidi"/>
          <w:sz w:val="22"/>
          <w:szCs w:val="22"/>
          <w:lang w:eastAsia="en-US"/>
        </w:rPr>
      </w:pPr>
      <w:r>
        <w:rPr>
          <w:rFonts w:eastAsiaTheme="minorHAnsi" w:cstheme="minorBidi"/>
          <w:sz w:val="22"/>
          <w:szCs w:val="22"/>
          <w:lang w:eastAsia="en-US"/>
        </w:rPr>
        <w:t>C</w:t>
      </w:r>
      <w:r w:rsidRPr="00CE3770">
        <w:rPr>
          <w:rFonts w:eastAsiaTheme="minorHAnsi" w:cstheme="minorBidi"/>
          <w:sz w:val="22"/>
          <w:szCs w:val="22"/>
          <w:lang w:eastAsia="en-US"/>
        </w:rPr>
        <w:t xml:space="preserve">elkové výdaje implementační struktury IOP </w:t>
      </w:r>
      <w:r>
        <w:rPr>
          <w:rFonts w:eastAsiaTheme="minorHAnsi" w:cstheme="minorBidi"/>
          <w:sz w:val="22"/>
          <w:szCs w:val="22"/>
          <w:lang w:eastAsia="en-US"/>
        </w:rPr>
        <w:t xml:space="preserve">se </w:t>
      </w:r>
      <w:r w:rsidRPr="00CE3770">
        <w:rPr>
          <w:rFonts w:eastAsiaTheme="minorHAnsi" w:cstheme="minorBidi"/>
          <w:sz w:val="22"/>
          <w:szCs w:val="22"/>
          <w:lang w:eastAsia="en-US"/>
        </w:rPr>
        <w:t>v porovnání s předešlým sledovaným obdobím mírně zvýšily (cca o více než 8 mil. Kč). Největší podíl na celkových nákladech implementace IOP tvoří mzdové výdaje, které mají rostoucí charakter. Jejich podíl v obou pololetích dosáhl 90 % celkových výdajů. Během sledovaného období se snížily celkové výdaje za služby o jeden procentní bod (z  9 % v 2. pololetí 2013 na 8 % v 1. pololetí 2014).</w:t>
      </w:r>
    </w:p>
    <w:p w:rsidR="004655F9" w:rsidRPr="00CE3770" w:rsidRDefault="004655F9" w:rsidP="00D41E80">
      <w:pPr>
        <w:spacing w:after="200"/>
        <w:jc w:val="both"/>
        <w:rPr>
          <w:rFonts w:eastAsiaTheme="minorHAnsi" w:cstheme="minorBidi"/>
          <w:sz w:val="22"/>
          <w:szCs w:val="22"/>
          <w:lang w:eastAsia="en-US"/>
        </w:rPr>
      </w:pPr>
      <w:r>
        <w:rPr>
          <w:rFonts w:eastAsiaTheme="minorHAnsi" w:cstheme="minorBidi"/>
          <w:sz w:val="22"/>
          <w:szCs w:val="22"/>
          <w:lang w:eastAsia="en-US"/>
        </w:rPr>
        <w:t>M</w:t>
      </w:r>
      <w:r w:rsidRPr="00CE3770">
        <w:rPr>
          <w:rFonts w:eastAsiaTheme="minorHAnsi" w:cstheme="minorBidi"/>
          <w:sz w:val="22"/>
          <w:szCs w:val="22"/>
          <w:lang w:eastAsia="en-US"/>
        </w:rPr>
        <w:t>ezi jednotlivými subjekty jsou velmi odlišné podíly výdajů na vzdělávání zaměstnanců. Celkové výdaje na vzdělávání během 1. pololetí 2014 stouply (z 1 % na 2 %), především se výdaje na vzdělání zvýšily na ŘO (z 0,7 % na 2,8 %). Na MPSV sice část výdajů od 2. pololetí 2013 klesla z 6,3 % na 4,9 % celkových výdajů, přesto MPSV vynakládá na vzdělávání svých zaměstnanců v rámci implementační struktury nejvyšší část prostředků. Nejnižší podíl výdajů na vzdělávání z prostředků technické pomoci vynakládá za sledované období CRR (přibližně 0,6 %).</w:t>
      </w:r>
    </w:p>
    <w:p w:rsidR="00E934BF" w:rsidRDefault="00E934BF" w:rsidP="00D41E80">
      <w:pPr>
        <w:spacing w:after="200"/>
        <w:jc w:val="both"/>
        <w:rPr>
          <w:rFonts w:eastAsiaTheme="minorHAnsi" w:cstheme="minorBidi"/>
          <w:sz w:val="22"/>
          <w:szCs w:val="22"/>
          <w:lang w:eastAsia="en-US"/>
        </w:rPr>
      </w:pPr>
      <w:r>
        <w:rPr>
          <w:rFonts w:eastAsiaTheme="minorHAnsi" w:cstheme="minorBidi"/>
          <w:sz w:val="22"/>
          <w:szCs w:val="22"/>
          <w:lang w:eastAsia="en-US"/>
        </w:rPr>
        <w:t xml:space="preserve">K </w:t>
      </w:r>
      <w:r w:rsidRPr="00CE3770">
        <w:rPr>
          <w:rFonts w:eastAsiaTheme="minorHAnsi" w:cstheme="minorBidi"/>
          <w:sz w:val="22"/>
          <w:szCs w:val="22"/>
          <w:lang w:eastAsia="en-US"/>
        </w:rPr>
        <w:t xml:space="preserve"> 30. 6. 2014 </w:t>
      </w:r>
      <w:r>
        <w:rPr>
          <w:rFonts w:eastAsiaTheme="minorHAnsi" w:cstheme="minorBidi"/>
          <w:sz w:val="22"/>
          <w:szCs w:val="22"/>
          <w:lang w:eastAsia="en-US"/>
        </w:rPr>
        <w:t>s</w:t>
      </w:r>
      <w:r w:rsidRPr="00CE3770">
        <w:rPr>
          <w:rFonts w:eastAsiaTheme="minorHAnsi" w:cstheme="minorBidi"/>
          <w:sz w:val="22"/>
          <w:szCs w:val="22"/>
          <w:lang w:eastAsia="en-US"/>
        </w:rPr>
        <w:t>e zvýš</w:t>
      </w:r>
      <w:r>
        <w:rPr>
          <w:rFonts w:eastAsiaTheme="minorHAnsi" w:cstheme="minorBidi"/>
          <w:sz w:val="22"/>
          <w:szCs w:val="22"/>
          <w:lang w:eastAsia="en-US"/>
        </w:rPr>
        <w:t>il</w:t>
      </w:r>
      <w:r w:rsidRPr="00CE3770">
        <w:rPr>
          <w:rFonts w:eastAsiaTheme="minorHAnsi" w:cstheme="minorBidi"/>
          <w:sz w:val="22"/>
          <w:szCs w:val="22"/>
          <w:lang w:eastAsia="en-US"/>
        </w:rPr>
        <w:t xml:space="preserve"> celkov</w:t>
      </w:r>
      <w:r>
        <w:rPr>
          <w:rFonts w:eastAsiaTheme="minorHAnsi" w:cstheme="minorBidi"/>
          <w:sz w:val="22"/>
          <w:szCs w:val="22"/>
          <w:lang w:eastAsia="en-US"/>
        </w:rPr>
        <w:t>ý</w:t>
      </w:r>
      <w:r w:rsidRPr="00CE3770">
        <w:rPr>
          <w:rFonts w:eastAsiaTheme="minorHAnsi" w:cstheme="minorBidi"/>
          <w:sz w:val="22"/>
          <w:szCs w:val="22"/>
          <w:lang w:eastAsia="en-US"/>
        </w:rPr>
        <w:t xml:space="preserve"> poč</w:t>
      </w:r>
      <w:r>
        <w:rPr>
          <w:rFonts w:eastAsiaTheme="minorHAnsi" w:cstheme="minorBidi"/>
          <w:sz w:val="22"/>
          <w:szCs w:val="22"/>
          <w:lang w:eastAsia="en-US"/>
        </w:rPr>
        <w:t>e</w:t>
      </w:r>
      <w:r w:rsidRPr="00CE3770">
        <w:rPr>
          <w:rFonts w:eastAsiaTheme="minorHAnsi" w:cstheme="minorBidi"/>
          <w:sz w:val="22"/>
          <w:szCs w:val="22"/>
          <w:lang w:eastAsia="en-US"/>
        </w:rPr>
        <w:t>t přepočtených úvazků</w:t>
      </w:r>
      <w:r>
        <w:rPr>
          <w:rFonts w:eastAsiaTheme="minorHAnsi" w:cstheme="minorBidi"/>
          <w:sz w:val="22"/>
          <w:szCs w:val="22"/>
          <w:lang w:eastAsia="en-US"/>
        </w:rPr>
        <w:t xml:space="preserve"> pracovníků, kteří</w:t>
      </w:r>
      <w:r w:rsidRPr="00CE3770">
        <w:rPr>
          <w:rFonts w:eastAsiaTheme="minorHAnsi" w:cstheme="minorBidi"/>
          <w:sz w:val="22"/>
          <w:szCs w:val="22"/>
          <w:lang w:eastAsia="en-US"/>
        </w:rPr>
        <w:t xml:space="preserve"> implementují IOP</w:t>
      </w:r>
      <w:r>
        <w:rPr>
          <w:rFonts w:eastAsiaTheme="minorHAnsi" w:cstheme="minorBidi"/>
          <w:sz w:val="22"/>
          <w:szCs w:val="22"/>
          <w:lang w:eastAsia="en-US"/>
        </w:rPr>
        <w:t>,</w:t>
      </w:r>
      <w:r w:rsidRPr="00CE3770">
        <w:rPr>
          <w:rFonts w:eastAsiaTheme="minorHAnsi" w:cstheme="minorBidi"/>
          <w:sz w:val="22"/>
          <w:szCs w:val="22"/>
          <w:lang w:eastAsia="en-US"/>
        </w:rPr>
        <w:t xml:space="preserve"> </w:t>
      </w:r>
      <w:r>
        <w:rPr>
          <w:rFonts w:eastAsiaTheme="minorHAnsi" w:cstheme="minorBidi"/>
          <w:sz w:val="22"/>
          <w:szCs w:val="22"/>
          <w:lang w:eastAsia="en-US"/>
        </w:rPr>
        <w:br/>
        <w:t>a</w:t>
      </w:r>
      <w:r w:rsidRPr="00CE3770">
        <w:rPr>
          <w:rFonts w:eastAsiaTheme="minorHAnsi" w:cstheme="minorBidi"/>
          <w:sz w:val="22"/>
          <w:szCs w:val="22"/>
          <w:lang w:eastAsia="en-US"/>
        </w:rPr>
        <w:t xml:space="preserve"> pracovních úvazků na DPP/DPČ z 198,51 (data k 30. 6. 2013) na 200,26. </w:t>
      </w:r>
    </w:p>
    <w:p w:rsidR="004655F9" w:rsidRPr="00CE3770" w:rsidRDefault="004655F9" w:rsidP="00D41E80">
      <w:pPr>
        <w:spacing w:after="200"/>
        <w:jc w:val="both"/>
        <w:rPr>
          <w:rFonts w:eastAsiaTheme="minorHAnsi" w:cstheme="minorBidi"/>
          <w:sz w:val="22"/>
          <w:szCs w:val="22"/>
          <w:lang w:eastAsia="en-US"/>
        </w:rPr>
      </w:pPr>
      <w:r w:rsidRPr="00CE3770">
        <w:rPr>
          <w:rFonts w:eastAsiaTheme="minorHAnsi" w:cstheme="minorBidi"/>
          <w:sz w:val="22"/>
          <w:szCs w:val="22"/>
          <w:lang w:eastAsia="en-US"/>
        </w:rPr>
        <w:t xml:space="preserve">Do implementace IOP je tedy proti předpokladu zapojeno o 21 úvazků více, než bylo v plánu při schválení programu. Řídící orgán má více než dvojnásobný počet kmenových zaměstnanců, než se při přípravě Programového dokumentu předpokládalo. Důvodem je náročnost řízení systému </w:t>
      </w:r>
      <w:r w:rsidR="0004025B">
        <w:rPr>
          <w:rFonts w:eastAsiaTheme="minorHAnsi" w:cstheme="minorBidi"/>
          <w:sz w:val="22"/>
          <w:szCs w:val="22"/>
          <w:lang w:eastAsia="en-US"/>
        </w:rPr>
        <w:br/>
      </w:r>
      <w:r w:rsidRPr="00CE3770">
        <w:rPr>
          <w:rFonts w:eastAsiaTheme="minorHAnsi" w:cstheme="minorBidi"/>
          <w:sz w:val="22"/>
          <w:szCs w:val="22"/>
          <w:lang w:eastAsia="en-US"/>
        </w:rPr>
        <w:t xml:space="preserve">o 4 zprostředkujících subjektech a množství činností, které ŘO IOP vykonává v roli poskytovatele dotace po převzetí kompetencí z některých ZS. Dalším důvodem pro navýšení počtu kmenových zaměstnanců ŘO je příprava programového období 2014+. Celková míra fluktuace se během sledovaného období snížila o téměř 4 procentní body (z 14,81 % na 10,99 %). Nejvyšší míru fluktuace vykazuje ZS MV (24 %), druhou nejvyšší MPSV (více než 14 %), následuje ŘO (přibližně 13 %). Nejnižší fluktuace byla k 30. 6. 2014 na CRR (přibližně 4,6 %) a na </w:t>
      </w:r>
      <w:proofErr w:type="spellStart"/>
      <w:r w:rsidRPr="00CE3770">
        <w:rPr>
          <w:rFonts w:eastAsiaTheme="minorHAnsi" w:cstheme="minorBidi"/>
          <w:sz w:val="22"/>
          <w:szCs w:val="22"/>
          <w:lang w:eastAsia="en-US"/>
        </w:rPr>
        <w:t>MZd</w:t>
      </w:r>
      <w:proofErr w:type="spellEnd"/>
      <w:r w:rsidRPr="00CE3770">
        <w:rPr>
          <w:rFonts w:eastAsiaTheme="minorHAnsi" w:cstheme="minorBidi"/>
          <w:sz w:val="22"/>
          <w:szCs w:val="22"/>
          <w:lang w:eastAsia="en-US"/>
        </w:rPr>
        <w:t xml:space="preserve"> (přibližně 8,3 %).</w:t>
      </w:r>
    </w:p>
    <w:p w:rsidR="00CD186C" w:rsidRDefault="00CD186C" w:rsidP="00D41E80">
      <w:pPr>
        <w:spacing w:after="200"/>
        <w:jc w:val="both"/>
        <w:rPr>
          <w:rFonts w:eastAsiaTheme="minorHAnsi" w:cstheme="minorBidi"/>
          <w:sz w:val="22"/>
          <w:szCs w:val="22"/>
          <w:lang w:eastAsia="en-US"/>
        </w:rPr>
      </w:pPr>
    </w:p>
    <w:p w:rsidR="004655F9" w:rsidRPr="00CE3770" w:rsidRDefault="004655F9" w:rsidP="00D41E80">
      <w:pPr>
        <w:spacing w:after="200"/>
        <w:jc w:val="both"/>
        <w:rPr>
          <w:rFonts w:eastAsiaTheme="minorHAnsi" w:cstheme="minorBidi"/>
          <w:sz w:val="22"/>
          <w:szCs w:val="22"/>
          <w:lang w:eastAsia="en-US"/>
        </w:rPr>
      </w:pPr>
      <w:r w:rsidRPr="00CE3770">
        <w:rPr>
          <w:rFonts w:eastAsiaTheme="minorHAnsi" w:cstheme="minorBidi"/>
          <w:sz w:val="22"/>
          <w:szCs w:val="22"/>
          <w:lang w:eastAsia="en-US"/>
        </w:rPr>
        <w:lastRenderedPageBreak/>
        <w:t xml:space="preserve">Ze srovnání půlročních nákladů vztažených k počtu předložených projektů, schválených projektů </w:t>
      </w:r>
      <w:r w:rsidR="00271235">
        <w:rPr>
          <w:rFonts w:eastAsiaTheme="minorHAnsi" w:cstheme="minorBidi"/>
          <w:sz w:val="22"/>
          <w:szCs w:val="22"/>
          <w:lang w:eastAsia="en-US"/>
        </w:rPr>
        <w:br/>
      </w:r>
      <w:r w:rsidRPr="00CE3770">
        <w:rPr>
          <w:rFonts w:eastAsiaTheme="minorHAnsi" w:cstheme="minorBidi"/>
          <w:sz w:val="22"/>
          <w:szCs w:val="22"/>
          <w:lang w:eastAsia="en-US"/>
        </w:rPr>
        <w:t>a schválených žádostí o platbu</w:t>
      </w:r>
      <w:r>
        <w:rPr>
          <w:rFonts w:eastAsiaTheme="minorHAnsi" w:cstheme="minorBidi"/>
          <w:sz w:val="22"/>
          <w:szCs w:val="22"/>
          <w:lang w:eastAsia="en-US"/>
        </w:rPr>
        <w:t xml:space="preserve"> vyplývá</w:t>
      </w:r>
      <w:r w:rsidRPr="00CE3770">
        <w:rPr>
          <w:rFonts w:eastAsiaTheme="minorHAnsi" w:cstheme="minorBidi"/>
          <w:sz w:val="22"/>
          <w:szCs w:val="22"/>
          <w:lang w:eastAsia="en-US"/>
        </w:rPr>
        <w:t>, že mezi jednotlivými ZS jsou velké rozdíly v nákladech na výkony administrace. Ve sledovaném období se finanční náklady na 1 předložený projekt pohybují od 101,4 tis. Kč (CRR) do 5,2 mil. Kč (MPSV), náklady na 1 schválený projekt se pohybují od 109,7 tis. Kč (CRR) do 3,4 mil. Kč (MV), náklady na 1 schválenou žádost o platbu činí minimálně 66,3 tis. Kč (CRR) a maximálně 292,3 tis. Kč (</w:t>
      </w:r>
      <w:proofErr w:type="spellStart"/>
      <w:r w:rsidRPr="00CE3770">
        <w:rPr>
          <w:rFonts w:eastAsiaTheme="minorHAnsi" w:cstheme="minorBidi"/>
          <w:sz w:val="22"/>
          <w:szCs w:val="22"/>
          <w:lang w:eastAsia="en-US"/>
        </w:rPr>
        <w:t>MZd</w:t>
      </w:r>
      <w:proofErr w:type="spellEnd"/>
      <w:r w:rsidRPr="00CE3770">
        <w:rPr>
          <w:rFonts w:eastAsiaTheme="minorHAnsi" w:cstheme="minorBidi"/>
          <w:sz w:val="22"/>
          <w:szCs w:val="22"/>
          <w:lang w:eastAsia="en-US"/>
        </w:rPr>
        <w:t>). Nejvyšší počet projektů připadá na 1 pracovní úvazek na CRR (7,22 projektu v realizaci a 5,11 projektu v administraci). Nejnižší počet projektů naopak připadá na 1 pracovní úvazek na MPSV (2,19 projektu v realizaci a 0,06 projektu v administraci). V porovnání s předchozím sledovaným obdobím počet projektů, připadající na 1 pracovní úvazek, výrazně klesl. Hlavním důvodem poklesu počtu projektů je ukončení výzev na konci programového období.</w:t>
      </w:r>
    </w:p>
    <w:p w:rsidR="002920DD" w:rsidRPr="00C85D8C" w:rsidRDefault="002D2A00" w:rsidP="002D2A00">
      <w:pPr>
        <w:spacing w:after="200"/>
        <w:jc w:val="both"/>
        <w:rPr>
          <w:b/>
          <w:bCs/>
        </w:rPr>
      </w:pPr>
      <w:r w:rsidRPr="00CE3770">
        <w:rPr>
          <w:rFonts w:eastAsiaTheme="minorHAnsi" w:cstheme="minorBidi"/>
          <w:sz w:val="22"/>
          <w:szCs w:val="22"/>
          <w:lang w:eastAsia="en-US"/>
        </w:rPr>
        <w:t xml:space="preserve">Celkové roční náklady IOP v roce 2011 dosáhly hodnoty 132,8 mil. Kč, v roce 2012 118,8 mil. Kč </w:t>
      </w:r>
      <w:r>
        <w:rPr>
          <w:rFonts w:eastAsiaTheme="minorHAnsi" w:cstheme="minorBidi"/>
          <w:sz w:val="22"/>
          <w:szCs w:val="22"/>
          <w:lang w:eastAsia="en-US"/>
        </w:rPr>
        <w:br/>
      </w:r>
      <w:r w:rsidRPr="00CE3770">
        <w:rPr>
          <w:rFonts w:eastAsiaTheme="minorHAnsi" w:cstheme="minorBidi"/>
          <w:sz w:val="22"/>
          <w:szCs w:val="22"/>
          <w:lang w:eastAsia="en-US"/>
        </w:rPr>
        <w:t>a v roce 2013 dosáhly 120,2 mil. Kč.</w:t>
      </w:r>
      <w:r w:rsidR="007A2EAC" w:rsidRPr="007A2EAC">
        <w:rPr>
          <w:color w:val="FF0000"/>
        </w:rPr>
        <w:t xml:space="preserve"> </w:t>
      </w:r>
      <w:r w:rsidR="007A2EAC" w:rsidRPr="007A2EAC">
        <w:rPr>
          <w:sz w:val="22"/>
          <w:szCs w:val="22"/>
        </w:rPr>
        <w:t>V 1. pol. 2014 dosáhly náklady IOP hodnoty 61,5 mil. Kč.</w:t>
      </w:r>
    </w:p>
    <w:p w:rsidR="004655F9" w:rsidRDefault="004655F9" w:rsidP="004655F9">
      <w:pPr>
        <w:jc w:val="both"/>
        <w:rPr>
          <w:b/>
          <w:sz w:val="22"/>
          <w:szCs w:val="22"/>
          <w:u w:val="single"/>
        </w:rPr>
      </w:pPr>
      <w:r w:rsidRPr="00C103E3">
        <w:rPr>
          <w:b/>
          <w:sz w:val="22"/>
          <w:szCs w:val="22"/>
          <w:u w:val="single"/>
        </w:rPr>
        <w:t>Předběžné posouzení využití finančního nástroje v</w:t>
      </w:r>
      <w:r>
        <w:rPr>
          <w:b/>
          <w:sz w:val="22"/>
          <w:szCs w:val="22"/>
          <w:u w:val="single"/>
        </w:rPr>
        <w:t> </w:t>
      </w:r>
      <w:r w:rsidRPr="00C103E3">
        <w:rPr>
          <w:b/>
          <w:sz w:val="22"/>
          <w:szCs w:val="22"/>
          <w:u w:val="single"/>
        </w:rPr>
        <w:t>IROP</w:t>
      </w:r>
    </w:p>
    <w:p w:rsidR="00BC43E4" w:rsidRPr="00C103E3" w:rsidRDefault="00BC43E4" w:rsidP="00BC43E4">
      <w:pPr>
        <w:spacing w:after="200"/>
        <w:jc w:val="both"/>
        <w:rPr>
          <w:sz w:val="22"/>
          <w:szCs w:val="22"/>
        </w:rPr>
      </w:pPr>
      <w:r w:rsidRPr="00C103E3">
        <w:rPr>
          <w:sz w:val="22"/>
          <w:szCs w:val="22"/>
        </w:rPr>
        <w:t>Cílem předběžného posouzení je objektivně posoudit možnosti aplikace a realizace nedotační formy podpory prostřednictvím finančních nástrojů.</w:t>
      </w:r>
    </w:p>
    <w:p w:rsidR="004655F9" w:rsidRPr="0044204C" w:rsidRDefault="004655F9" w:rsidP="004655F9">
      <w:pPr>
        <w:jc w:val="both"/>
        <w:rPr>
          <w:sz w:val="22"/>
          <w:szCs w:val="22"/>
        </w:rPr>
      </w:pPr>
      <w:r w:rsidRPr="0044204C">
        <w:rPr>
          <w:sz w:val="22"/>
          <w:szCs w:val="22"/>
        </w:rPr>
        <w:t xml:space="preserve">Doba realizace (období): </w:t>
      </w:r>
      <w:r>
        <w:rPr>
          <w:sz w:val="22"/>
          <w:szCs w:val="22"/>
        </w:rPr>
        <w:t>září 2014</w:t>
      </w:r>
      <w:r w:rsidRPr="0044204C">
        <w:rPr>
          <w:sz w:val="22"/>
          <w:szCs w:val="22"/>
        </w:rPr>
        <w:t xml:space="preserve"> –</w:t>
      </w:r>
      <w:r>
        <w:rPr>
          <w:sz w:val="22"/>
          <w:szCs w:val="22"/>
        </w:rPr>
        <w:t xml:space="preserve"> únor 2015</w:t>
      </w:r>
    </w:p>
    <w:p w:rsidR="004655F9" w:rsidRPr="0044204C" w:rsidRDefault="004655F9" w:rsidP="004655F9">
      <w:pPr>
        <w:jc w:val="both"/>
        <w:rPr>
          <w:sz w:val="22"/>
          <w:szCs w:val="22"/>
        </w:rPr>
      </w:pPr>
      <w:r>
        <w:rPr>
          <w:sz w:val="22"/>
          <w:szCs w:val="22"/>
        </w:rPr>
        <w:t xml:space="preserve">Typ: </w:t>
      </w:r>
      <w:r w:rsidRPr="0044204C">
        <w:rPr>
          <w:sz w:val="22"/>
          <w:szCs w:val="22"/>
        </w:rPr>
        <w:t>externí</w:t>
      </w:r>
    </w:p>
    <w:p w:rsidR="004655F9" w:rsidRPr="0044204C" w:rsidRDefault="004655F9" w:rsidP="004655F9">
      <w:pPr>
        <w:jc w:val="both"/>
        <w:rPr>
          <w:sz w:val="22"/>
          <w:szCs w:val="22"/>
        </w:rPr>
      </w:pPr>
      <w:r>
        <w:rPr>
          <w:sz w:val="22"/>
          <w:szCs w:val="22"/>
        </w:rPr>
        <w:t xml:space="preserve">Finanční rozsah: 790 000,00 </w:t>
      </w:r>
      <w:r w:rsidRPr="0044204C">
        <w:rPr>
          <w:sz w:val="22"/>
          <w:szCs w:val="22"/>
        </w:rPr>
        <w:t>bez DPH</w:t>
      </w:r>
    </w:p>
    <w:p w:rsidR="004655F9" w:rsidRPr="0044204C" w:rsidRDefault="004655F9" w:rsidP="004655F9">
      <w:pPr>
        <w:jc w:val="both"/>
        <w:rPr>
          <w:sz w:val="22"/>
          <w:szCs w:val="22"/>
        </w:rPr>
      </w:pPr>
      <w:r w:rsidRPr="0044204C">
        <w:rPr>
          <w:sz w:val="22"/>
          <w:szCs w:val="22"/>
        </w:rPr>
        <w:t xml:space="preserve">Zpracovatel: </w:t>
      </w:r>
      <w:proofErr w:type="spellStart"/>
      <w:r w:rsidRPr="0044204C">
        <w:rPr>
          <w:sz w:val="22"/>
          <w:szCs w:val="22"/>
        </w:rPr>
        <w:t>Deloitte</w:t>
      </w:r>
      <w:proofErr w:type="spellEnd"/>
      <w:r w:rsidRPr="0044204C">
        <w:rPr>
          <w:sz w:val="22"/>
          <w:szCs w:val="22"/>
        </w:rPr>
        <w:t xml:space="preserve"> </w:t>
      </w:r>
      <w:proofErr w:type="spellStart"/>
      <w:r w:rsidRPr="0044204C">
        <w:rPr>
          <w:sz w:val="22"/>
          <w:szCs w:val="22"/>
        </w:rPr>
        <w:t>Advisory</w:t>
      </w:r>
      <w:proofErr w:type="spellEnd"/>
      <w:r w:rsidRPr="0044204C">
        <w:rPr>
          <w:sz w:val="22"/>
          <w:szCs w:val="22"/>
        </w:rPr>
        <w:t xml:space="preserve"> s.r.o. </w:t>
      </w:r>
    </w:p>
    <w:p w:rsidR="004655F9" w:rsidRDefault="004655F9" w:rsidP="004655F9">
      <w:pPr>
        <w:tabs>
          <w:tab w:val="left" w:pos="2400"/>
        </w:tabs>
        <w:jc w:val="both"/>
        <w:rPr>
          <w:sz w:val="22"/>
          <w:szCs w:val="22"/>
        </w:rPr>
      </w:pPr>
    </w:p>
    <w:p w:rsidR="004655F9" w:rsidRDefault="004655F9" w:rsidP="004655F9">
      <w:pPr>
        <w:tabs>
          <w:tab w:val="left" w:pos="2400"/>
        </w:tabs>
        <w:jc w:val="both"/>
        <w:rPr>
          <w:sz w:val="22"/>
          <w:szCs w:val="22"/>
        </w:rPr>
      </w:pPr>
      <w:r>
        <w:rPr>
          <w:sz w:val="22"/>
          <w:szCs w:val="22"/>
        </w:rPr>
        <w:t xml:space="preserve">V listopadu 2014 byl </w:t>
      </w:r>
      <w:proofErr w:type="spellStart"/>
      <w:r>
        <w:rPr>
          <w:sz w:val="22"/>
          <w:szCs w:val="22"/>
        </w:rPr>
        <w:t>vysoutěžen</w:t>
      </w:r>
      <w:r w:rsidR="00240CC3">
        <w:rPr>
          <w:sz w:val="22"/>
          <w:szCs w:val="22"/>
        </w:rPr>
        <w:t>ý</w:t>
      </w:r>
      <w:proofErr w:type="spellEnd"/>
      <w:r>
        <w:rPr>
          <w:sz w:val="22"/>
          <w:szCs w:val="22"/>
        </w:rPr>
        <w:t xml:space="preserve"> dodavatel hodnocení, byla dodána Vstupní zpráva projektu a konalo se první jednání oponentní skupiny. </w:t>
      </w:r>
    </w:p>
    <w:p w:rsidR="00843D8E" w:rsidRDefault="00843D8E" w:rsidP="00C85D8C">
      <w:pPr>
        <w:rPr>
          <w:b/>
          <w:sz w:val="22"/>
          <w:szCs w:val="22"/>
        </w:rPr>
      </w:pPr>
      <w:bookmarkStart w:id="133" w:name="_Toc402516905"/>
    </w:p>
    <w:p w:rsidR="004655F9" w:rsidRDefault="004655F9" w:rsidP="00C85D8C">
      <w:pPr>
        <w:rPr>
          <w:b/>
          <w:sz w:val="22"/>
          <w:szCs w:val="22"/>
        </w:rPr>
      </w:pPr>
      <w:r w:rsidRPr="00C85D8C">
        <w:rPr>
          <w:b/>
          <w:sz w:val="22"/>
          <w:szCs w:val="22"/>
        </w:rPr>
        <w:t>Evaluace a studie zprostředkujících subjektů</w:t>
      </w:r>
      <w:bookmarkEnd w:id="133"/>
      <w:r w:rsidRPr="00C85D8C">
        <w:rPr>
          <w:b/>
          <w:sz w:val="22"/>
          <w:szCs w:val="22"/>
        </w:rPr>
        <w:t xml:space="preserve"> </w:t>
      </w:r>
    </w:p>
    <w:p w:rsidR="00C85D8C" w:rsidRPr="00C85D8C" w:rsidRDefault="00C85D8C" w:rsidP="00C85D8C">
      <w:pPr>
        <w:rPr>
          <w:b/>
          <w:sz w:val="22"/>
          <w:szCs w:val="22"/>
        </w:rPr>
      </w:pPr>
    </w:p>
    <w:p w:rsidR="004655F9" w:rsidRPr="00AA6AAB" w:rsidRDefault="004655F9" w:rsidP="00AA6AAB">
      <w:pPr>
        <w:rPr>
          <w:sz w:val="22"/>
          <w:szCs w:val="22"/>
          <w:u w:val="single"/>
        </w:rPr>
      </w:pPr>
      <w:r w:rsidRPr="00AA6AAB">
        <w:rPr>
          <w:sz w:val="22"/>
          <w:szCs w:val="22"/>
          <w:u w:val="single"/>
        </w:rPr>
        <w:t xml:space="preserve">Audit realizace projektů 4., 5. a 8. výzvy oblasti intervence 3.2 Integrovaného operačního programu </w:t>
      </w:r>
    </w:p>
    <w:p w:rsidR="004655F9" w:rsidRPr="006F654D" w:rsidRDefault="004655F9" w:rsidP="004655F9">
      <w:pPr>
        <w:jc w:val="both"/>
        <w:rPr>
          <w:b/>
          <w:bCs/>
          <w:sz w:val="22"/>
          <w:szCs w:val="22"/>
        </w:rPr>
      </w:pPr>
      <w:proofErr w:type="spellStart"/>
      <w:r>
        <w:rPr>
          <w:sz w:val="22"/>
          <w:szCs w:val="22"/>
        </w:rPr>
        <w:t>MZd</w:t>
      </w:r>
      <w:proofErr w:type="spellEnd"/>
      <w:r>
        <w:rPr>
          <w:sz w:val="22"/>
          <w:szCs w:val="22"/>
        </w:rPr>
        <w:t xml:space="preserve"> ČR</w:t>
      </w:r>
      <w:r w:rsidRPr="006F654D">
        <w:rPr>
          <w:sz w:val="22"/>
          <w:szCs w:val="22"/>
        </w:rPr>
        <w:t xml:space="preserve"> v roce 2011 připravilo Projekt technické pomoci 6.1 – Audity 4., 5. a 8. výzvy Ministerstva zdravotnictví, který byl schválen k realizaci Výběrovou komisí TP IOP. Evaluace</w:t>
      </w:r>
      <w:r w:rsidRPr="006F654D" w:rsidDel="00543836">
        <w:rPr>
          <w:sz w:val="22"/>
          <w:szCs w:val="22"/>
        </w:rPr>
        <w:t xml:space="preserve"> </w:t>
      </w:r>
      <w:r w:rsidRPr="006F654D">
        <w:rPr>
          <w:sz w:val="22"/>
          <w:szCs w:val="22"/>
        </w:rPr>
        <w:t>navazuje na Audit realizace projektů 1. výzvy oblasti intervence 3.2 Integrovaného operačního programu, realizovaný na začátku roku 2011. Cílem auditu je kontrola a vyhodnocení průběhu zadávacích řízení všech grantových projektů 4., 5. a 8. výzvy oblasti intervence 3.2 IOP. Na jejím základě dodavatel provede analýzu efektivnosti výběrových řízení především z hlediska dosažení cen v místě a čase obvyklých. Cílem je rovněž posouzení administrativních postupů a procesů odboru evropských fondů při administraci projektů a ověření dodržování nastavených postupů pracovníky odboru.</w:t>
      </w:r>
    </w:p>
    <w:p w:rsidR="004655F9" w:rsidRPr="0044204C" w:rsidRDefault="004655F9" w:rsidP="004655F9">
      <w:pPr>
        <w:rPr>
          <w:b/>
          <w:bCs/>
        </w:rPr>
      </w:pPr>
    </w:p>
    <w:p w:rsidR="004655F9" w:rsidRPr="006F654D" w:rsidRDefault="004655F9" w:rsidP="004655F9">
      <w:pPr>
        <w:jc w:val="both"/>
        <w:rPr>
          <w:sz w:val="22"/>
          <w:szCs w:val="22"/>
        </w:rPr>
      </w:pPr>
      <w:r w:rsidRPr="006F654D">
        <w:rPr>
          <w:sz w:val="22"/>
          <w:szCs w:val="22"/>
        </w:rPr>
        <w:t xml:space="preserve">Realizace byla rozdělena na tři části, které probíhají podle termínů ukončení projektů v jednotlivých výzvách. V současné době </w:t>
      </w:r>
      <w:r>
        <w:rPr>
          <w:sz w:val="22"/>
          <w:szCs w:val="22"/>
        </w:rPr>
        <w:t xml:space="preserve">je dokončena </w:t>
      </w:r>
      <w:r w:rsidRPr="006F654D">
        <w:rPr>
          <w:sz w:val="22"/>
          <w:szCs w:val="22"/>
        </w:rPr>
        <w:t>část 1 Audit realizace projektů 4. výzvy oblasti intervence 3.2 Int</w:t>
      </w:r>
      <w:r>
        <w:rPr>
          <w:sz w:val="22"/>
          <w:szCs w:val="22"/>
        </w:rPr>
        <w:t>egrovaného operačního programu. V přípravě je realizace části 2</w:t>
      </w:r>
      <w:r w:rsidRPr="00301E8C">
        <w:rPr>
          <w:sz w:val="22"/>
          <w:szCs w:val="22"/>
        </w:rPr>
        <w:t xml:space="preserve"> </w:t>
      </w:r>
      <w:r w:rsidRPr="006F654D">
        <w:rPr>
          <w:sz w:val="22"/>
          <w:szCs w:val="22"/>
        </w:rPr>
        <w:t>Audit realizace proj</w:t>
      </w:r>
      <w:r>
        <w:rPr>
          <w:sz w:val="22"/>
          <w:szCs w:val="22"/>
        </w:rPr>
        <w:t>ektů 5</w:t>
      </w:r>
      <w:r w:rsidRPr="006F654D">
        <w:rPr>
          <w:sz w:val="22"/>
          <w:szCs w:val="22"/>
        </w:rPr>
        <w:t>. výzvy oblasti intervence 3.2 Int</w:t>
      </w:r>
      <w:r>
        <w:rPr>
          <w:sz w:val="22"/>
          <w:szCs w:val="22"/>
        </w:rPr>
        <w:t>egrovaného operačního programu.</w:t>
      </w:r>
    </w:p>
    <w:p w:rsidR="004655F9" w:rsidRPr="0044204C" w:rsidRDefault="004655F9" w:rsidP="004655F9">
      <w:pPr>
        <w:rPr>
          <w:b/>
          <w:bCs/>
        </w:rPr>
      </w:pPr>
    </w:p>
    <w:p w:rsidR="004655F9" w:rsidRDefault="004655F9" w:rsidP="004655F9">
      <w:pPr>
        <w:rPr>
          <w:sz w:val="22"/>
          <w:szCs w:val="22"/>
        </w:rPr>
      </w:pPr>
      <w:r w:rsidRPr="006F654D">
        <w:rPr>
          <w:sz w:val="22"/>
          <w:szCs w:val="22"/>
        </w:rPr>
        <w:t>Předpokládaný termín: říjen 2013 –</w:t>
      </w:r>
      <w:r>
        <w:rPr>
          <w:sz w:val="22"/>
          <w:szCs w:val="22"/>
        </w:rPr>
        <w:t xml:space="preserve"> listopad 2015</w:t>
      </w:r>
    </w:p>
    <w:p w:rsidR="004655F9" w:rsidRDefault="004655F9" w:rsidP="004655F9">
      <w:pPr>
        <w:rPr>
          <w:sz w:val="22"/>
          <w:szCs w:val="22"/>
        </w:rPr>
      </w:pPr>
      <w:r>
        <w:rPr>
          <w:sz w:val="22"/>
          <w:szCs w:val="22"/>
        </w:rPr>
        <w:t xml:space="preserve">Část 1 </w:t>
      </w:r>
      <w:r w:rsidRPr="006F654D">
        <w:rPr>
          <w:sz w:val="22"/>
          <w:szCs w:val="22"/>
        </w:rPr>
        <w:t>Audit realizace projektů 4. výzvy oblasti intervence 3.2 Int</w:t>
      </w:r>
      <w:r>
        <w:rPr>
          <w:sz w:val="22"/>
          <w:szCs w:val="22"/>
        </w:rPr>
        <w:t>egrovaného operačního programu.</w:t>
      </w:r>
    </w:p>
    <w:p w:rsidR="004655F9" w:rsidRDefault="004655F9" w:rsidP="004655F9">
      <w:pPr>
        <w:rPr>
          <w:sz w:val="22"/>
          <w:szCs w:val="22"/>
        </w:rPr>
      </w:pPr>
      <w:r w:rsidRPr="006F654D">
        <w:rPr>
          <w:sz w:val="22"/>
          <w:szCs w:val="22"/>
        </w:rPr>
        <w:t>Cena zakázky: 154</w:t>
      </w:r>
      <w:r>
        <w:rPr>
          <w:sz w:val="22"/>
          <w:szCs w:val="22"/>
        </w:rPr>
        <w:t> </w:t>
      </w:r>
      <w:r w:rsidRPr="006F654D">
        <w:rPr>
          <w:sz w:val="22"/>
          <w:szCs w:val="22"/>
        </w:rPr>
        <w:t>880</w:t>
      </w:r>
      <w:r>
        <w:rPr>
          <w:sz w:val="22"/>
          <w:szCs w:val="22"/>
        </w:rPr>
        <w:t>,-</w:t>
      </w:r>
      <w:r w:rsidRPr="006F654D">
        <w:rPr>
          <w:sz w:val="22"/>
          <w:szCs w:val="22"/>
        </w:rPr>
        <w:t xml:space="preserve"> vč. DPH</w:t>
      </w:r>
    </w:p>
    <w:p w:rsidR="004655F9" w:rsidRDefault="004655F9" w:rsidP="004655F9">
      <w:pPr>
        <w:rPr>
          <w:sz w:val="22"/>
          <w:szCs w:val="22"/>
        </w:rPr>
      </w:pPr>
      <w:r>
        <w:rPr>
          <w:sz w:val="22"/>
          <w:szCs w:val="22"/>
        </w:rPr>
        <w:t xml:space="preserve">Část 2 </w:t>
      </w:r>
      <w:r w:rsidRPr="006F654D">
        <w:rPr>
          <w:sz w:val="22"/>
          <w:szCs w:val="22"/>
        </w:rPr>
        <w:t>Audit realizace proj</w:t>
      </w:r>
      <w:r>
        <w:rPr>
          <w:sz w:val="22"/>
          <w:szCs w:val="22"/>
        </w:rPr>
        <w:t>ektů 5</w:t>
      </w:r>
      <w:r w:rsidRPr="006F654D">
        <w:rPr>
          <w:sz w:val="22"/>
          <w:szCs w:val="22"/>
        </w:rPr>
        <w:t>. výzvy oblasti intervence 3.2 Int</w:t>
      </w:r>
      <w:r>
        <w:rPr>
          <w:sz w:val="22"/>
          <w:szCs w:val="22"/>
        </w:rPr>
        <w:t>egrovaného operačního programu.</w:t>
      </w:r>
    </w:p>
    <w:p w:rsidR="004655F9" w:rsidRDefault="004655F9" w:rsidP="004655F9">
      <w:pPr>
        <w:rPr>
          <w:sz w:val="22"/>
          <w:szCs w:val="22"/>
        </w:rPr>
      </w:pPr>
      <w:r w:rsidRPr="006F654D">
        <w:rPr>
          <w:sz w:val="22"/>
          <w:szCs w:val="22"/>
        </w:rPr>
        <w:t xml:space="preserve">Cena zakázky: </w:t>
      </w:r>
      <w:r>
        <w:rPr>
          <w:sz w:val="22"/>
          <w:szCs w:val="22"/>
        </w:rPr>
        <w:t xml:space="preserve">690 184,- </w:t>
      </w:r>
      <w:r w:rsidRPr="006F654D">
        <w:rPr>
          <w:sz w:val="22"/>
          <w:szCs w:val="22"/>
        </w:rPr>
        <w:t>vč. DPH</w:t>
      </w:r>
    </w:p>
    <w:p w:rsidR="004655F9" w:rsidRDefault="004655F9" w:rsidP="004655F9">
      <w:pPr>
        <w:rPr>
          <w:sz w:val="22"/>
          <w:szCs w:val="22"/>
        </w:rPr>
      </w:pPr>
      <w:r>
        <w:rPr>
          <w:sz w:val="22"/>
          <w:szCs w:val="22"/>
        </w:rPr>
        <w:t xml:space="preserve">Část 3 </w:t>
      </w:r>
      <w:r w:rsidRPr="006F654D">
        <w:rPr>
          <w:sz w:val="22"/>
          <w:szCs w:val="22"/>
        </w:rPr>
        <w:t>Audit realizace proj</w:t>
      </w:r>
      <w:r>
        <w:rPr>
          <w:sz w:val="22"/>
          <w:szCs w:val="22"/>
        </w:rPr>
        <w:t>ektů 8</w:t>
      </w:r>
      <w:r w:rsidRPr="006F654D">
        <w:rPr>
          <w:sz w:val="22"/>
          <w:szCs w:val="22"/>
        </w:rPr>
        <w:t>. výzvy oblasti intervence 3.2 Int</w:t>
      </w:r>
      <w:r>
        <w:rPr>
          <w:sz w:val="22"/>
          <w:szCs w:val="22"/>
        </w:rPr>
        <w:t>egrovaného operačního programu.</w:t>
      </w:r>
    </w:p>
    <w:p w:rsidR="004655F9" w:rsidRDefault="004655F9" w:rsidP="004655F9">
      <w:pPr>
        <w:rPr>
          <w:sz w:val="22"/>
          <w:szCs w:val="22"/>
        </w:rPr>
      </w:pPr>
      <w:r w:rsidRPr="006F654D">
        <w:rPr>
          <w:sz w:val="22"/>
          <w:szCs w:val="22"/>
        </w:rPr>
        <w:t xml:space="preserve">Cena zakázky: </w:t>
      </w:r>
      <w:r>
        <w:rPr>
          <w:sz w:val="22"/>
          <w:szCs w:val="22"/>
        </w:rPr>
        <w:t xml:space="preserve">929 522,- </w:t>
      </w:r>
      <w:r w:rsidRPr="006F654D">
        <w:rPr>
          <w:sz w:val="22"/>
          <w:szCs w:val="22"/>
        </w:rPr>
        <w:t>vč. DPH</w:t>
      </w:r>
    </w:p>
    <w:p w:rsidR="004655F9" w:rsidRDefault="004655F9" w:rsidP="004655F9">
      <w:pPr>
        <w:rPr>
          <w:sz w:val="22"/>
          <w:szCs w:val="22"/>
        </w:rPr>
      </w:pPr>
    </w:p>
    <w:p w:rsidR="004655F9" w:rsidRPr="007D7070" w:rsidRDefault="004655F9" w:rsidP="007D7070">
      <w:pPr>
        <w:jc w:val="both"/>
        <w:rPr>
          <w:b/>
          <w:bCs/>
          <w:sz w:val="22"/>
          <w:szCs w:val="22"/>
        </w:rPr>
      </w:pPr>
      <w:r w:rsidRPr="006F654D">
        <w:rPr>
          <w:sz w:val="22"/>
          <w:szCs w:val="22"/>
        </w:rPr>
        <w:t xml:space="preserve">Přestože je zakázka nazvána jako audit, může být považována rovněž za evaluaci, ze které vzejde zhodnocení implementačního systému ZS při administraci projektů a především doporučení pro jeho změnu – zejména úpravy Operačního manuálu ZS GG </w:t>
      </w:r>
      <w:proofErr w:type="spellStart"/>
      <w:r w:rsidRPr="006F654D">
        <w:rPr>
          <w:sz w:val="22"/>
          <w:szCs w:val="22"/>
        </w:rPr>
        <w:t>MZd</w:t>
      </w:r>
      <w:proofErr w:type="spellEnd"/>
      <w:r w:rsidRPr="006F654D">
        <w:rPr>
          <w:sz w:val="22"/>
          <w:szCs w:val="22"/>
        </w:rPr>
        <w:t xml:space="preserve">, úprava konkrétních pracovních postupů odboru evropských fondů, návrhy na zlepšení komunikace a předávání informací. Výstupem budou rovněž doporučení pro realizaci zakázek v prostředí českého zdravotnictví. </w:t>
      </w:r>
    </w:p>
    <w:p w:rsidR="004655F9" w:rsidRDefault="004655F9" w:rsidP="004655F9">
      <w:pPr>
        <w:rPr>
          <w:b/>
          <w:sz w:val="22"/>
          <w:szCs w:val="22"/>
          <w:u w:val="single"/>
        </w:rPr>
      </w:pPr>
      <w:r w:rsidRPr="00301E8C">
        <w:rPr>
          <w:b/>
          <w:sz w:val="22"/>
          <w:szCs w:val="22"/>
          <w:u w:val="single"/>
        </w:rPr>
        <w:lastRenderedPageBreak/>
        <w:t xml:space="preserve">Evaluace oblasti intervence 3.2 s ohledem na dosažení definovaných cílů a zkušeností s implementací podpory v rámci českého zdravotnictví </w:t>
      </w:r>
    </w:p>
    <w:p w:rsidR="004655F9" w:rsidRPr="00301E8C" w:rsidRDefault="004655F9" w:rsidP="004655F9">
      <w:pPr>
        <w:rPr>
          <w:b/>
          <w:sz w:val="22"/>
          <w:szCs w:val="22"/>
          <w:u w:val="single"/>
        </w:rPr>
      </w:pPr>
    </w:p>
    <w:p w:rsidR="004655F9" w:rsidRPr="00455309" w:rsidRDefault="004655F9" w:rsidP="004655F9">
      <w:pPr>
        <w:jc w:val="both"/>
        <w:rPr>
          <w:b/>
          <w:bCs/>
          <w:sz w:val="22"/>
          <w:szCs w:val="22"/>
        </w:rPr>
      </w:pPr>
      <w:proofErr w:type="spellStart"/>
      <w:r>
        <w:rPr>
          <w:sz w:val="22"/>
          <w:szCs w:val="22"/>
        </w:rPr>
        <w:t>MZd</w:t>
      </w:r>
      <w:proofErr w:type="spellEnd"/>
      <w:r>
        <w:rPr>
          <w:sz w:val="22"/>
          <w:szCs w:val="22"/>
        </w:rPr>
        <w:t xml:space="preserve"> ČR</w:t>
      </w:r>
      <w:r w:rsidRPr="006F654D">
        <w:rPr>
          <w:sz w:val="22"/>
          <w:szCs w:val="22"/>
        </w:rPr>
        <w:t xml:space="preserve"> v roce 2014 prov</w:t>
      </w:r>
      <w:r>
        <w:rPr>
          <w:sz w:val="22"/>
          <w:szCs w:val="22"/>
        </w:rPr>
        <w:t>ede</w:t>
      </w:r>
      <w:r w:rsidRPr="006F654D">
        <w:rPr>
          <w:sz w:val="22"/>
          <w:szCs w:val="22"/>
        </w:rPr>
        <w:t xml:space="preserve"> zhodnocení dosavadního a předpokládaného plnění cílů oblasti intervence 3.2 na základě realizovaných projektů v kontextu současného společenského </w:t>
      </w:r>
      <w:r>
        <w:rPr>
          <w:sz w:val="22"/>
          <w:szCs w:val="22"/>
        </w:rPr>
        <w:br/>
      </w:r>
      <w:r w:rsidRPr="006F654D">
        <w:rPr>
          <w:sz w:val="22"/>
          <w:szCs w:val="22"/>
        </w:rPr>
        <w:t xml:space="preserve">a ekonomického vývoje a zejména očekávaného stavu českého zdravotnictví. Důraz bude kladen především na plnění globálního cíle: „Zajištění dostupnosti a kvality standardizované zdravotní péče včetně rozvoje efektivního systému prevence zdravotních rizik a modernizace procesů řízení kvality </w:t>
      </w:r>
      <w:r>
        <w:rPr>
          <w:sz w:val="22"/>
          <w:szCs w:val="22"/>
        </w:rPr>
        <w:br/>
      </w:r>
      <w:r w:rsidRPr="006F654D">
        <w:rPr>
          <w:sz w:val="22"/>
          <w:szCs w:val="22"/>
        </w:rPr>
        <w:t xml:space="preserve">a nákladovosti v systému poskytování služeb veřejného zdraví (public </w:t>
      </w:r>
      <w:proofErr w:type="spellStart"/>
      <w:r w:rsidRPr="006F654D">
        <w:rPr>
          <w:sz w:val="22"/>
          <w:szCs w:val="22"/>
        </w:rPr>
        <w:t>health</w:t>
      </w:r>
      <w:proofErr w:type="spellEnd"/>
      <w:r w:rsidRPr="006F654D">
        <w:rPr>
          <w:sz w:val="22"/>
          <w:szCs w:val="22"/>
        </w:rPr>
        <w:t xml:space="preserve"> </w:t>
      </w:r>
      <w:proofErr w:type="spellStart"/>
      <w:r w:rsidRPr="006F654D">
        <w:rPr>
          <w:sz w:val="22"/>
          <w:szCs w:val="22"/>
        </w:rPr>
        <w:t>services</w:t>
      </w:r>
      <w:proofErr w:type="spellEnd"/>
      <w:r w:rsidRPr="006F654D">
        <w:rPr>
          <w:sz w:val="22"/>
          <w:szCs w:val="22"/>
        </w:rPr>
        <w:t xml:space="preserve">).“ </w:t>
      </w:r>
    </w:p>
    <w:p w:rsidR="004655F9" w:rsidRDefault="004655F9" w:rsidP="004655F9">
      <w:pPr>
        <w:jc w:val="both"/>
        <w:rPr>
          <w:sz w:val="22"/>
          <w:szCs w:val="22"/>
        </w:rPr>
      </w:pPr>
      <w:r w:rsidRPr="00E923AF">
        <w:rPr>
          <w:sz w:val="22"/>
          <w:szCs w:val="22"/>
        </w:rPr>
        <w:t xml:space="preserve">Vzhledem ke stavu realizace oblasti intervence budou výstupy evaluace především použity jako podkladová analýza pro </w:t>
      </w:r>
      <w:r w:rsidRPr="00920DDF">
        <w:rPr>
          <w:sz w:val="22"/>
          <w:szCs w:val="22"/>
        </w:rPr>
        <w:t>přípravu</w:t>
      </w:r>
      <w:r w:rsidRPr="00E923AF">
        <w:rPr>
          <w:sz w:val="22"/>
          <w:szCs w:val="22"/>
        </w:rPr>
        <w:t xml:space="preserve"> programového období politiky hospodářské, sociální a územní soudržnosti EU 2014 – 2020. </w:t>
      </w:r>
      <w:r>
        <w:rPr>
          <w:sz w:val="22"/>
          <w:szCs w:val="22"/>
        </w:rPr>
        <w:t xml:space="preserve"> </w:t>
      </w:r>
    </w:p>
    <w:p w:rsidR="004655F9" w:rsidRPr="00E923AF" w:rsidRDefault="004655F9" w:rsidP="004655F9">
      <w:pPr>
        <w:jc w:val="both"/>
        <w:rPr>
          <w:b/>
          <w:bCs/>
          <w:sz w:val="22"/>
          <w:szCs w:val="22"/>
        </w:rPr>
      </w:pPr>
    </w:p>
    <w:p w:rsidR="004655F9" w:rsidRPr="00920DDF" w:rsidRDefault="004655F9" w:rsidP="004655F9">
      <w:pPr>
        <w:rPr>
          <w:sz w:val="22"/>
          <w:szCs w:val="22"/>
        </w:rPr>
      </w:pPr>
      <w:r w:rsidRPr="00920DDF">
        <w:rPr>
          <w:sz w:val="22"/>
          <w:szCs w:val="22"/>
        </w:rPr>
        <w:t>Zpracování: interní a externí</w:t>
      </w:r>
    </w:p>
    <w:p w:rsidR="004655F9" w:rsidRPr="00E923AF" w:rsidRDefault="004655F9" w:rsidP="004655F9">
      <w:pPr>
        <w:rPr>
          <w:sz w:val="22"/>
          <w:szCs w:val="22"/>
        </w:rPr>
      </w:pPr>
      <w:r>
        <w:rPr>
          <w:sz w:val="22"/>
          <w:szCs w:val="22"/>
        </w:rPr>
        <w:t>Časový rámec: prosinec 2014 – květen 2015</w:t>
      </w:r>
    </w:p>
    <w:p w:rsidR="004655F9" w:rsidRPr="00E923AF" w:rsidRDefault="004655F9" w:rsidP="004655F9">
      <w:pPr>
        <w:rPr>
          <w:sz w:val="22"/>
          <w:szCs w:val="22"/>
        </w:rPr>
      </w:pPr>
      <w:r w:rsidRPr="00E923AF">
        <w:rPr>
          <w:sz w:val="22"/>
          <w:szCs w:val="22"/>
        </w:rPr>
        <w:t xml:space="preserve">Finanční rozsah: bude stanoven na základě konkrétního zadání </w:t>
      </w:r>
    </w:p>
    <w:p w:rsidR="004655F9" w:rsidRPr="00E923AF" w:rsidRDefault="004655F9" w:rsidP="004655F9">
      <w:pPr>
        <w:rPr>
          <w:sz w:val="22"/>
          <w:szCs w:val="22"/>
        </w:rPr>
      </w:pPr>
      <w:r w:rsidRPr="00E923AF">
        <w:rPr>
          <w:sz w:val="22"/>
          <w:szCs w:val="22"/>
        </w:rPr>
        <w:t>Garant: ministerstvo zdravotnictví</w:t>
      </w:r>
    </w:p>
    <w:p w:rsidR="004655F9" w:rsidRDefault="004655F9" w:rsidP="004655F9"/>
    <w:p w:rsidR="007A2EAC" w:rsidRPr="007A2EAC" w:rsidRDefault="007A2EAC" w:rsidP="007A2EAC">
      <w:pPr>
        <w:rPr>
          <w:b/>
          <w:bCs/>
          <w:sz w:val="22"/>
          <w:szCs w:val="22"/>
        </w:rPr>
      </w:pPr>
      <w:bookmarkStart w:id="134" w:name="_Toc351629180"/>
      <w:bookmarkStart w:id="135" w:name="_Toc382407689"/>
      <w:bookmarkStart w:id="136" w:name="_Toc383084696"/>
      <w:r w:rsidRPr="007A2EAC">
        <w:rPr>
          <w:sz w:val="22"/>
          <w:szCs w:val="22"/>
        </w:rPr>
        <w:t> K 31. 12. 2014 jsou připraveny podklady pro návrh evaluačních otázek.</w:t>
      </w:r>
      <w:r w:rsidRPr="007A2EAC">
        <w:rPr>
          <w:rStyle w:val="Odkaznakoment"/>
          <w:sz w:val="22"/>
          <w:szCs w:val="22"/>
        </w:rPr>
        <w:t> </w:t>
      </w:r>
    </w:p>
    <w:p w:rsidR="00843D8E" w:rsidRDefault="00843D8E" w:rsidP="006C5D7B"/>
    <w:p w:rsidR="00594D42" w:rsidRPr="00090F94" w:rsidRDefault="00594D42" w:rsidP="000F2A6C">
      <w:pPr>
        <w:pStyle w:val="Nadpis3"/>
      </w:pPr>
      <w:bookmarkStart w:id="137" w:name="_Toc417024865"/>
      <w:r w:rsidRPr="00090F94">
        <w:t>2.7.3 Další informace související s monitorováním a evaluacemi programu</w:t>
      </w:r>
      <w:bookmarkEnd w:id="134"/>
      <w:bookmarkEnd w:id="135"/>
      <w:bookmarkEnd w:id="136"/>
      <w:bookmarkEnd w:id="137"/>
    </w:p>
    <w:p w:rsidR="004655F9" w:rsidRPr="00594D42" w:rsidRDefault="004655F9" w:rsidP="004655F9">
      <w:pPr>
        <w:rPr>
          <w:b/>
          <w:sz w:val="22"/>
          <w:szCs w:val="22"/>
          <w:u w:val="single"/>
        </w:rPr>
      </w:pPr>
      <w:r w:rsidRPr="00594D42">
        <w:rPr>
          <w:b/>
          <w:sz w:val="22"/>
          <w:szCs w:val="22"/>
          <w:u w:val="single"/>
        </w:rPr>
        <w:t>Účast na PS pro evaluaci NOK</w:t>
      </w:r>
    </w:p>
    <w:p w:rsidR="004655F9" w:rsidRDefault="004655F9" w:rsidP="004655F9">
      <w:pPr>
        <w:jc w:val="both"/>
        <w:rPr>
          <w:sz w:val="22"/>
          <w:szCs w:val="22"/>
        </w:rPr>
      </w:pPr>
    </w:p>
    <w:p w:rsidR="004655F9" w:rsidRPr="009026D3" w:rsidRDefault="004655F9" w:rsidP="00F15B4A">
      <w:pPr>
        <w:jc w:val="both"/>
        <w:rPr>
          <w:sz w:val="22"/>
          <w:szCs w:val="22"/>
        </w:rPr>
      </w:pPr>
      <w:r>
        <w:rPr>
          <w:sz w:val="22"/>
          <w:szCs w:val="22"/>
        </w:rPr>
        <w:t xml:space="preserve">Koordinátor evaluací </w:t>
      </w:r>
      <w:r w:rsidRPr="009026D3">
        <w:rPr>
          <w:sz w:val="22"/>
          <w:szCs w:val="22"/>
        </w:rPr>
        <w:t xml:space="preserve">IOP se účastní jednání Pracovní skupiny pro evaluaci NOK, která se konala </w:t>
      </w:r>
      <w:r w:rsidR="00B266A0">
        <w:rPr>
          <w:sz w:val="22"/>
          <w:szCs w:val="22"/>
        </w:rPr>
        <w:br/>
      </w:r>
      <w:r w:rsidRPr="009026D3">
        <w:rPr>
          <w:sz w:val="22"/>
          <w:szCs w:val="22"/>
        </w:rPr>
        <w:t>ve sledovaném období dvakrát (</w:t>
      </w:r>
      <w:r>
        <w:rPr>
          <w:sz w:val="22"/>
          <w:szCs w:val="22"/>
        </w:rPr>
        <w:t>25. 4. 2014</w:t>
      </w:r>
      <w:r w:rsidRPr="009026D3">
        <w:rPr>
          <w:sz w:val="22"/>
          <w:szCs w:val="22"/>
        </w:rPr>
        <w:t xml:space="preserve"> a </w:t>
      </w:r>
      <w:r>
        <w:rPr>
          <w:sz w:val="22"/>
          <w:szCs w:val="22"/>
        </w:rPr>
        <w:t>21. 10. 2014</w:t>
      </w:r>
      <w:r w:rsidRPr="009026D3">
        <w:rPr>
          <w:sz w:val="22"/>
          <w:szCs w:val="22"/>
        </w:rPr>
        <w:t>).</w:t>
      </w:r>
    </w:p>
    <w:p w:rsidR="004655F9" w:rsidRPr="00511945" w:rsidRDefault="004655F9" w:rsidP="00F15B4A">
      <w:pPr>
        <w:pStyle w:val="text0"/>
        <w:spacing w:before="0" w:after="0" w:line="240" w:lineRule="auto"/>
        <w:rPr>
          <w:rFonts w:ascii="Times New Roman" w:hAnsi="Times New Roman"/>
          <w:szCs w:val="22"/>
        </w:rPr>
      </w:pPr>
      <w:r w:rsidRPr="00511945">
        <w:rPr>
          <w:rFonts w:ascii="Times New Roman" w:hAnsi="Times New Roman"/>
          <w:szCs w:val="22"/>
        </w:rPr>
        <w:t>Na dubnovém jednání byli členové PS informováni o plnění Evaluačního plánu NSRR a byly představeny informace o evaluačních aktivitách realizovaných na úrovni MMR-NOK. Členové PS byli dále informováni, že pokračují práce na dotazníku k</w:t>
      </w:r>
      <w:r w:rsidR="00247745">
        <w:rPr>
          <w:rFonts w:ascii="Times New Roman" w:hAnsi="Times New Roman"/>
          <w:szCs w:val="22"/>
        </w:rPr>
        <w:t> </w:t>
      </w:r>
      <w:r w:rsidRPr="00511945">
        <w:rPr>
          <w:rFonts w:ascii="Times New Roman" w:hAnsi="Times New Roman"/>
          <w:szCs w:val="22"/>
        </w:rPr>
        <w:t>meta</w:t>
      </w:r>
      <w:r w:rsidR="00247745">
        <w:rPr>
          <w:rFonts w:ascii="Times New Roman" w:hAnsi="Times New Roman"/>
          <w:szCs w:val="22"/>
        </w:rPr>
        <w:t>-</w:t>
      </w:r>
      <w:r w:rsidRPr="00511945">
        <w:rPr>
          <w:rFonts w:ascii="Times New Roman" w:hAnsi="Times New Roman"/>
          <w:szCs w:val="22"/>
        </w:rPr>
        <w:t>evaluaci tak, aby mohlo být v tomto roce realizováno pilotní ověření hodnocení kvality evaluačních výstupů a o aktuálním stavu knihovny evaluací</w:t>
      </w:r>
      <w:r>
        <w:rPr>
          <w:rFonts w:ascii="Times New Roman" w:hAnsi="Times New Roman"/>
          <w:szCs w:val="22"/>
        </w:rPr>
        <w:t>.</w:t>
      </w:r>
    </w:p>
    <w:p w:rsidR="00DD3191" w:rsidRDefault="004655F9" w:rsidP="00395FA0">
      <w:pPr>
        <w:jc w:val="both"/>
        <w:rPr>
          <w:sz w:val="22"/>
          <w:szCs w:val="22"/>
        </w:rPr>
      </w:pPr>
      <w:r w:rsidRPr="004655F9">
        <w:rPr>
          <w:sz w:val="22"/>
          <w:szCs w:val="22"/>
        </w:rPr>
        <w:t xml:space="preserve">Na říjnovém jednání byla členům PS představena aktualizace Evaluačního plánu NSRR, a to zejména s ohledem na plnění plánu v roce 2014 a plánované aktivity na rok 2015. Byly podány aktuální informace o realizaci ex-ante evaluace Dohody o partnerství a SEA hodnocení Dohody o partnerství. Členové pracovní skupiny byli informováni o aktuálním stavu ex-post evaluace období 2007–2013 prováděné EK. Členové pracovní skupiny byli dále informováni o aktuálním stavu knihovny evaluací s tím, že aktuálně je knihovna naplněna evaluacemi MMR-NOK a také ŘO. Dále byl prezentován návrh Evaluačního plánu Dohody o partnerství 2014 - 2020, byly představeny evaluační kapacity na jednotlivých ŘO a byly prezentovány koncepty připravovaných školení, jejichž cílem je připravit evaluátory na úrovni </w:t>
      </w:r>
      <w:proofErr w:type="spellStart"/>
      <w:r w:rsidRPr="004655F9">
        <w:rPr>
          <w:sz w:val="22"/>
          <w:szCs w:val="22"/>
        </w:rPr>
        <w:t>DoP</w:t>
      </w:r>
      <w:proofErr w:type="spellEnd"/>
      <w:r w:rsidRPr="004655F9">
        <w:rPr>
          <w:sz w:val="22"/>
          <w:szCs w:val="22"/>
        </w:rPr>
        <w:t xml:space="preserve"> a programů na tvorbu kvalitních evaluačních plánů</w:t>
      </w:r>
      <w:r w:rsidR="00B266A0">
        <w:rPr>
          <w:sz w:val="22"/>
          <w:szCs w:val="22"/>
        </w:rPr>
        <w:t>.</w:t>
      </w:r>
    </w:p>
    <w:p w:rsidR="00DD3191" w:rsidRPr="00DD3191" w:rsidRDefault="00DD3191" w:rsidP="000F2A6C">
      <w:pPr>
        <w:pStyle w:val="Nadpis3"/>
      </w:pPr>
      <w:bookmarkStart w:id="138" w:name="_Toc417024866"/>
      <w:r w:rsidRPr="00DD3191">
        <w:t>2.7.4 Vzdělávání v oblasti evaluací</w:t>
      </w:r>
      <w:bookmarkEnd w:id="138"/>
    </w:p>
    <w:p w:rsidR="00DD3191" w:rsidRDefault="00DD3191" w:rsidP="00DD3191">
      <w:pPr>
        <w:jc w:val="both"/>
        <w:rPr>
          <w:sz w:val="22"/>
          <w:szCs w:val="22"/>
        </w:rPr>
      </w:pPr>
      <w:r>
        <w:rPr>
          <w:sz w:val="22"/>
          <w:szCs w:val="22"/>
        </w:rPr>
        <w:t>Koordinátor evaluací IOP se 10. 6. 2014 účastnil Konference České evaluační společnosti, která byla zaměřena na kvalitu evaluací a evaluační standardy v ČR.</w:t>
      </w:r>
    </w:p>
    <w:p w:rsidR="00DD3191" w:rsidRDefault="00DD3191" w:rsidP="00DD3191">
      <w:pPr>
        <w:jc w:val="both"/>
        <w:rPr>
          <w:sz w:val="22"/>
          <w:szCs w:val="22"/>
        </w:rPr>
      </w:pPr>
      <w:r>
        <w:rPr>
          <w:sz w:val="22"/>
          <w:szCs w:val="22"/>
        </w:rPr>
        <w:t xml:space="preserve">Dále se koordinátor evaluací zúčastnil bloku školení v oblasti evaluací, </w:t>
      </w:r>
      <w:r w:rsidRPr="003F3DEA">
        <w:rPr>
          <w:sz w:val="22"/>
          <w:szCs w:val="22"/>
        </w:rPr>
        <w:t xml:space="preserve">jejichž </w:t>
      </w:r>
      <w:r>
        <w:rPr>
          <w:sz w:val="22"/>
          <w:szCs w:val="22"/>
        </w:rPr>
        <w:t xml:space="preserve">cílem bylo připravit evaluátory </w:t>
      </w:r>
      <w:r w:rsidRPr="003F3DEA">
        <w:rPr>
          <w:sz w:val="22"/>
          <w:szCs w:val="22"/>
        </w:rPr>
        <w:t>na tvor</w:t>
      </w:r>
      <w:r>
        <w:rPr>
          <w:sz w:val="22"/>
          <w:szCs w:val="22"/>
        </w:rPr>
        <w:t>bu kvalitních evaluačních plánů:</w:t>
      </w:r>
    </w:p>
    <w:p w:rsidR="00DD3191" w:rsidRPr="003F3DEA" w:rsidRDefault="00DD3191" w:rsidP="00F15B4A">
      <w:pPr>
        <w:pStyle w:val="text0"/>
        <w:numPr>
          <w:ilvl w:val="0"/>
          <w:numId w:val="33"/>
        </w:numPr>
        <w:spacing w:before="0" w:after="0" w:line="240" w:lineRule="auto"/>
        <w:ind w:left="714" w:hanging="357"/>
        <w:rPr>
          <w:rFonts w:ascii="Times New Roman" w:hAnsi="Times New Roman"/>
          <w:szCs w:val="22"/>
        </w:rPr>
      </w:pPr>
      <w:r>
        <w:rPr>
          <w:rFonts w:ascii="Times New Roman" w:hAnsi="Times New Roman"/>
          <w:szCs w:val="22"/>
        </w:rPr>
        <w:t>S</w:t>
      </w:r>
      <w:r w:rsidRPr="003F3DEA">
        <w:rPr>
          <w:rFonts w:ascii="Times New Roman" w:hAnsi="Times New Roman"/>
          <w:szCs w:val="22"/>
        </w:rPr>
        <w:t>ociálně-vědní minimum pro evaluátory (</w:t>
      </w:r>
      <w:r w:rsidR="00843D8E" w:rsidRPr="003F3DEA">
        <w:rPr>
          <w:rFonts w:ascii="Times New Roman" w:hAnsi="Times New Roman"/>
          <w:szCs w:val="22"/>
        </w:rPr>
        <w:t>5. 11</w:t>
      </w:r>
      <w:r w:rsidRPr="003F3DEA">
        <w:rPr>
          <w:rFonts w:ascii="Times New Roman" w:hAnsi="Times New Roman"/>
          <w:szCs w:val="22"/>
        </w:rPr>
        <w:t>. a 12.11),</w:t>
      </w:r>
    </w:p>
    <w:p w:rsidR="00DD3191" w:rsidRPr="003F3DEA" w:rsidRDefault="00DD3191" w:rsidP="00F15B4A">
      <w:pPr>
        <w:pStyle w:val="text0"/>
        <w:numPr>
          <w:ilvl w:val="0"/>
          <w:numId w:val="33"/>
        </w:numPr>
        <w:spacing w:before="0" w:after="0" w:line="240" w:lineRule="auto"/>
        <w:ind w:left="714" w:hanging="357"/>
        <w:rPr>
          <w:rFonts w:ascii="Times New Roman" w:hAnsi="Times New Roman"/>
          <w:szCs w:val="22"/>
        </w:rPr>
      </w:pPr>
      <w:r>
        <w:rPr>
          <w:rFonts w:ascii="Times New Roman" w:hAnsi="Times New Roman"/>
          <w:szCs w:val="22"/>
        </w:rPr>
        <w:t>I</w:t>
      </w:r>
      <w:r w:rsidRPr="003F3DEA">
        <w:rPr>
          <w:rFonts w:ascii="Times New Roman" w:hAnsi="Times New Roman"/>
          <w:szCs w:val="22"/>
        </w:rPr>
        <w:t xml:space="preserve">nventář metod výsledkových evaluací se zaměřením na přípravu evaluačních plánů </w:t>
      </w:r>
      <w:r w:rsidR="00101F97">
        <w:rPr>
          <w:rFonts w:ascii="Times New Roman" w:hAnsi="Times New Roman"/>
          <w:szCs w:val="22"/>
        </w:rPr>
        <w:br/>
      </w:r>
      <w:r w:rsidRPr="003F3DEA">
        <w:rPr>
          <w:rFonts w:ascii="Times New Roman" w:hAnsi="Times New Roman"/>
          <w:szCs w:val="22"/>
        </w:rPr>
        <w:t>a evaluačních designů (</w:t>
      </w:r>
      <w:r w:rsidR="00843D8E" w:rsidRPr="003F3DEA">
        <w:rPr>
          <w:rFonts w:ascii="Times New Roman" w:hAnsi="Times New Roman"/>
          <w:szCs w:val="22"/>
        </w:rPr>
        <w:t>24. 11</w:t>
      </w:r>
      <w:r w:rsidRPr="003F3DEA">
        <w:rPr>
          <w:rFonts w:ascii="Times New Roman" w:hAnsi="Times New Roman"/>
          <w:szCs w:val="22"/>
        </w:rPr>
        <w:t>. a 3.12.),</w:t>
      </w:r>
    </w:p>
    <w:p w:rsidR="00DD3191" w:rsidRPr="00EE0E1B" w:rsidRDefault="00DD3191" w:rsidP="00F15B4A">
      <w:pPr>
        <w:pStyle w:val="text0"/>
        <w:numPr>
          <w:ilvl w:val="0"/>
          <w:numId w:val="33"/>
        </w:numPr>
        <w:spacing w:before="0" w:after="0" w:line="240" w:lineRule="auto"/>
        <w:ind w:left="714" w:hanging="357"/>
        <w:rPr>
          <w:szCs w:val="22"/>
        </w:rPr>
      </w:pPr>
      <w:r w:rsidRPr="006C1998">
        <w:rPr>
          <w:rFonts w:ascii="Times New Roman" w:hAnsi="Times New Roman"/>
          <w:szCs w:val="22"/>
        </w:rPr>
        <w:t>Workshop k tvorbě evaluačních designů (10.12.)</w:t>
      </w:r>
    </w:p>
    <w:p w:rsidR="00A75862" w:rsidRPr="00BF4C30" w:rsidRDefault="00A75862" w:rsidP="008D757F">
      <w:pPr>
        <w:pStyle w:val="Nadpis2"/>
        <w:rPr>
          <w:rFonts w:ascii="Times New Roman" w:hAnsi="Times New Roman"/>
          <w:i w:val="0"/>
        </w:rPr>
      </w:pPr>
      <w:bookmarkStart w:id="139" w:name="_Toc417024867"/>
      <w:r w:rsidRPr="009026D3">
        <w:rPr>
          <w:rFonts w:ascii="Times New Roman" w:hAnsi="Times New Roman"/>
          <w:i w:val="0"/>
        </w:rPr>
        <w:t>2.8 Případná národní výkonnostní rezerva</w:t>
      </w:r>
      <w:bookmarkEnd w:id="139"/>
    </w:p>
    <w:p w:rsidR="00A75862" w:rsidRDefault="00A75862" w:rsidP="008D757F">
      <w:pPr>
        <w:jc w:val="both"/>
        <w:rPr>
          <w:sz w:val="22"/>
          <w:szCs w:val="22"/>
        </w:rPr>
      </w:pPr>
      <w:r>
        <w:rPr>
          <w:sz w:val="22"/>
          <w:szCs w:val="22"/>
        </w:rPr>
        <w:t>Tato kapitola není ve sledované době relevantní.</w:t>
      </w:r>
    </w:p>
    <w:p w:rsidR="00FC0BE8" w:rsidRDefault="00FC0BE8" w:rsidP="008D757F">
      <w:pPr>
        <w:jc w:val="both"/>
        <w:rPr>
          <w:sz w:val="22"/>
          <w:szCs w:val="22"/>
        </w:rPr>
      </w:pPr>
    </w:p>
    <w:p w:rsidR="00A75862" w:rsidRPr="00FD402C" w:rsidRDefault="00A75862" w:rsidP="00FD402C">
      <w:pPr>
        <w:pStyle w:val="Nadpis1"/>
        <w:rPr>
          <w:rFonts w:ascii="Times New Roman" w:hAnsi="Times New Roman"/>
          <w:color w:val="76923C"/>
        </w:rPr>
      </w:pPr>
      <w:bookmarkStart w:id="140" w:name="_Toc417024868"/>
      <w:r w:rsidRPr="009026D3">
        <w:rPr>
          <w:rFonts w:ascii="Times New Roman" w:hAnsi="Times New Roman"/>
          <w:color w:val="76923C"/>
        </w:rPr>
        <w:lastRenderedPageBreak/>
        <w:t>3 PROVÁDĚNÍ PROGRAMU PODLE PRIORITNÍCH OS</w:t>
      </w:r>
      <w:bookmarkEnd w:id="140"/>
      <w:r w:rsidRPr="009026D3">
        <w:rPr>
          <w:rFonts w:ascii="Times New Roman" w:hAnsi="Times New Roman"/>
          <w:color w:val="76923C"/>
        </w:rPr>
        <w:t xml:space="preserve"> </w:t>
      </w:r>
    </w:p>
    <w:p w:rsidR="00A75862" w:rsidRPr="009026D3" w:rsidRDefault="00A75862" w:rsidP="009026D3">
      <w:pPr>
        <w:pStyle w:val="Nadpis1"/>
        <w:rPr>
          <w:rFonts w:ascii="Times New Roman" w:hAnsi="Times New Roman"/>
          <w:i/>
        </w:rPr>
      </w:pPr>
      <w:bookmarkStart w:id="141" w:name="_Toc417024869"/>
      <w:r w:rsidRPr="009026D3">
        <w:rPr>
          <w:rFonts w:ascii="Times New Roman" w:hAnsi="Times New Roman"/>
          <w:color w:val="76923C"/>
        </w:rPr>
        <w:t>3.1 Prioritní osa 1a, 1b – Modernizace veřejné správy</w:t>
      </w:r>
      <w:bookmarkEnd w:id="141"/>
    </w:p>
    <w:p w:rsidR="00A75862" w:rsidRDefault="00A75862" w:rsidP="004F19F6">
      <w:pPr>
        <w:jc w:val="both"/>
        <w:rPr>
          <w:sz w:val="22"/>
          <w:szCs w:val="22"/>
        </w:rPr>
      </w:pPr>
    </w:p>
    <w:p w:rsidR="00A75862" w:rsidRDefault="00A75862" w:rsidP="004F19F6">
      <w:pPr>
        <w:jc w:val="both"/>
        <w:rPr>
          <w:sz w:val="22"/>
          <w:szCs w:val="22"/>
        </w:rPr>
      </w:pPr>
      <w:r>
        <w:rPr>
          <w:sz w:val="22"/>
          <w:szCs w:val="22"/>
        </w:rPr>
        <w:t xml:space="preserve">Cílem prioritních os 1a a 1b je dosáhnout rychlejšího a spolehlivějšího poskytování služeb státní správy veřejnosti a implementací elektronické správy umožnit občanům a podnikatelským subjektům jednoduše a rychle komunikovat s úřady státní správy. Úřady v důsledku intervence budou mít více kapacit pro přímé jednání s občany, čímž se zvýší komfort občanů při kontaktu s nimi. </w:t>
      </w:r>
    </w:p>
    <w:p w:rsidR="00A75862" w:rsidRDefault="00A75862" w:rsidP="004F19F6">
      <w:pPr>
        <w:jc w:val="both"/>
        <w:rPr>
          <w:sz w:val="22"/>
          <w:szCs w:val="22"/>
        </w:rPr>
      </w:pPr>
    </w:p>
    <w:p w:rsidR="00843D8E" w:rsidRDefault="00A75862" w:rsidP="004F19F6">
      <w:pPr>
        <w:jc w:val="both"/>
        <w:rPr>
          <w:sz w:val="22"/>
          <w:szCs w:val="22"/>
        </w:rPr>
      </w:pPr>
      <w:r>
        <w:rPr>
          <w:sz w:val="22"/>
          <w:szCs w:val="22"/>
        </w:rPr>
        <w:t>Prioritní osa zahrnuje Cíl Konvergence (1a) a Cíl Regionální konkurenceschopnost a zaměstnanost (1b).</w:t>
      </w:r>
    </w:p>
    <w:p w:rsidR="00A75862" w:rsidRDefault="00A75862" w:rsidP="000F2A6C">
      <w:pPr>
        <w:pStyle w:val="Nadpis3"/>
      </w:pPr>
      <w:bookmarkStart w:id="142" w:name="_Toc382407693"/>
      <w:bookmarkStart w:id="143" w:name="_Toc383084700"/>
      <w:bookmarkStart w:id="144" w:name="_Toc417024870"/>
      <w:r w:rsidRPr="009026D3">
        <w:t>3.1.1 Dosažený pokrok a jeho analýza</w:t>
      </w:r>
      <w:bookmarkEnd w:id="142"/>
      <w:bookmarkEnd w:id="143"/>
      <w:bookmarkEnd w:id="144"/>
    </w:p>
    <w:p w:rsidR="00A75862" w:rsidRPr="009026D3" w:rsidRDefault="00A4752E" w:rsidP="005A18F0">
      <w:pPr>
        <w:jc w:val="both"/>
        <w:rPr>
          <w:b/>
          <w:sz w:val="24"/>
          <w:szCs w:val="24"/>
        </w:rPr>
      </w:pPr>
      <w:bookmarkStart w:id="145" w:name="_Toc382407694"/>
      <w:bookmarkStart w:id="146" w:name="_Toc383084701"/>
      <w:r w:rsidRPr="005A18F0">
        <w:rPr>
          <w:b/>
          <w:sz w:val="24"/>
          <w:szCs w:val="24"/>
        </w:rPr>
        <w:t>3.1.1. A Informace</w:t>
      </w:r>
      <w:r w:rsidR="00A75862" w:rsidRPr="005A18F0">
        <w:rPr>
          <w:b/>
          <w:sz w:val="24"/>
          <w:szCs w:val="24"/>
        </w:rPr>
        <w:t xml:space="preserve"> o fyzickém a finančním pokroku</w:t>
      </w:r>
      <w:bookmarkEnd w:id="145"/>
      <w:bookmarkEnd w:id="146"/>
    </w:p>
    <w:p w:rsidR="00A75862" w:rsidRDefault="00A75862" w:rsidP="00FD402C">
      <w:pPr>
        <w:jc w:val="both"/>
        <w:rPr>
          <w:b/>
          <w:sz w:val="24"/>
          <w:szCs w:val="24"/>
        </w:rPr>
      </w:pPr>
    </w:p>
    <w:p w:rsidR="00A75862" w:rsidRDefault="00A75862" w:rsidP="004F19F6">
      <w:pPr>
        <w:jc w:val="both"/>
        <w:rPr>
          <w:b/>
          <w:sz w:val="22"/>
          <w:szCs w:val="22"/>
        </w:rPr>
      </w:pPr>
      <w:r>
        <w:rPr>
          <w:b/>
          <w:sz w:val="22"/>
          <w:szCs w:val="22"/>
        </w:rPr>
        <w:t xml:space="preserve">Realizace prioritní osy </w:t>
      </w:r>
    </w:p>
    <w:p w:rsidR="00A75862" w:rsidRDefault="00A75862" w:rsidP="001813B2">
      <w:pPr>
        <w:jc w:val="both"/>
        <w:rPr>
          <w:sz w:val="22"/>
          <w:szCs w:val="22"/>
          <w:u w:val="single"/>
        </w:rPr>
      </w:pPr>
    </w:p>
    <w:p w:rsidR="00781319" w:rsidRPr="004A2E69" w:rsidRDefault="00A75862" w:rsidP="00265752">
      <w:pPr>
        <w:jc w:val="both"/>
        <w:rPr>
          <w:color w:val="0070C0"/>
          <w:sz w:val="22"/>
          <w:szCs w:val="22"/>
        </w:rPr>
      </w:pPr>
      <w:r w:rsidRPr="00BD1C23">
        <w:rPr>
          <w:sz w:val="22"/>
          <w:szCs w:val="22"/>
          <w:u w:val="single"/>
        </w:rPr>
        <w:t>Výzvy</w:t>
      </w:r>
    </w:p>
    <w:p w:rsidR="00BC43E4" w:rsidRPr="00B82C34" w:rsidRDefault="00BC43E4" w:rsidP="00BC43E4">
      <w:pPr>
        <w:spacing w:after="120"/>
        <w:jc w:val="both"/>
        <w:rPr>
          <w:sz w:val="22"/>
          <w:szCs w:val="22"/>
        </w:rPr>
      </w:pPr>
      <w:r w:rsidRPr="00B82C34">
        <w:rPr>
          <w:sz w:val="22"/>
          <w:szCs w:val="22"/>
        </w:rPr>
        <w:t xml:space="preserve">Do </w:t>
      </w:r>
      <w:r w:rsidR="00240CC3">
        <w:rPr>
          <w:sz w:val="22"/>
          <w:szCs w:val="22"/>
        </w:rPr>
        <w:t>v</w:t>
      </w:r>
      <w:r w:rsidRPr="00B82C34">
        <w:rPr>
          <w:sz w:val="22"/>
          <w:szCs w:val="22"/>
        </w:rPr>
        <w:t>ýzvy č. 17 bylo předloženo celkem 40 projektových žádost</w:t>
      </w:r>
      <w:r w:rsidR="00240CC3">
        <w:rPr>
          <w:sz w:val="22"/>
          <w:szCs w:val="22"/>
        </w:rPr>
        <w:t>í</w:t>
      </w:r>
      <w:r w:rsidRPr="00B82C34">
        <w:rPr>
          <w:sz w:val="22"/>
          <w:szCs w:val="22"/>
        </w:rPr>
        <w:t>,</w:t>
      </w:r>
      <w:r w:rsidR="00240CC3">
        <w:rPr>
          <w:sz w:val="22"/>
          <w:szCs w:val="22"/>
        </w:rPr>
        <w:t xml:space="preserve"> a</w:t>
      </w:r>
      <w:r w:rsidRPr="00B82C34">
        <w:rPr>
          <w:sz w:val="22"/>
          <w:szCs w:val="22"/>
        </w:rPr>
        <w:t xml:space="preserve"> jejich požadavek na finanční prostředky výrazně převyšoval í alokaci výzvy 650 mil. Kč, ERDF (žádosti celkem v hodnotě více jak 2 mld. Kč, ERDF). V průběhu října 2014 došlo ve spolupráci s ŘO IOP k</w:t>
      </w:r>
      <w:r>
        <w:rPr>
          <w:sz w:val="22"/>
          <w:szCs w:val="22"/>
        </w:rPr>
        <w:t>e</w:t>
      </w:r>
      <w:r w:rsidRPr="00B82C34">
        <w:rPr>
          <w:sz w:val="22"/>
          <w:szCs w:val="22"/>
        </w:rPr>
        <w:t> </w:t>
      </w:r>
      <w:r>
        <w:rPr>
          <w:sz w:val="22"/>
          <w:szCs w:val="22"/>
        </w:rPr>
        <w:t>z</w:t>
      </w:r>
      <w:r w:rsidRPr="00B82C34">
        <w:rPr>
          <w:sz w:val="22"/>
          <w:szCs w:val="22"/>
        </w:rPr>
        <w:t xml:space="preserve">výšení původní alokace výzvy o 844 056 081 Kč (ERDF) na celkových 1 494 056 081 Kč (ERDF). Převis projektů lze přisuzovat intenzivní kampani v době přípravy výzvy, provedení průzkumu absorpční kapacity při vyhlašování a zejména zvýšenému zájmu žadatelů vzhledem ke konci programového období. </w:t>
      </w:r>
    </w:p>
    <w:p w:rsidR="00A75862" w:rsidRDefault="00BC43E4" w:rsidP="00FC0BE8">
      <w:pPr>
        <w:spacing w:after="120"/>
        <w:jc w:val="both"/>
        <w:rPr>
          <w:sz w:val="22"/>
          <w:szCs w:val="22"/>
        </w:rPr>
      </w:pPr>
      <w:r w:rsidRPr="00B82C34">
        <w:rPr>
          <w:sz w:val="22"/>
          <w:szCs w:val="22"/>
        </w:rPr>
        <w:t xml:space="preserve">V průběhu hodnotícího procesu projektových žádostí (od července do října 2014 proběhlo zasedání pěti výběrových komisí) bylo ve výzvě č. 17 doporučeno k podpoře 22 předložených projektů, jejichž finanční objem v součtu vyčerpal i </w:t>
      </w:r>
      <w:r>
        <w:rPr>
          <w:sz w:val="22"/>
          <w:szCs w:val="22"/>
        </w:rPr>
        <w:t>z</w:t>
      </w:r>
      <w:r w:rsidRPr="00B82C34">
        <w:rPr>
          <w:sz w:val="22"/>
          <w:szCs w:val="22"/>
        </w:rPr>
        <w:t xml:space="preserve">výšenou alokaci výzvy. </w:t>
      </w:r>
    </w:p>
    <w:p w:rsidR="00B266A0" w:rsidRPr="00E61FD5" w:rsidRDefault="00B266A0" w:rsidP="00FC0BE8">
      <w:pPr>
        <w:spacing w:after="120"/>
        <w:jc w:val="both"/>
        <w:rPr>
          <w:sz w:val="22"/>
          <w:szCs w:val="22"/>
        </w:rPr>
      </w:pPr>
    </w:p>
    <w:p w:rsidR="00A75862" w:rsidRPr="00265752" w:rsidRDefault="00A75862" w:rsidP="00FC7D7C">
      <w:pPr>
        <w:pStyle w:val="Tabulkanzev"/>
      </w:pPr>
      <w:bookmarkStart w:id="147" w:name="_Toc416431819"/>
      <w:r w:rsidRPr="00265752">
        <w:t>Přehled vyhlášených a probíhajících výzev v </w:t>
      </w:r>
      <w:r w:rsidR="00BA3EDE" w:rsidRPr="00265752">
        <w:t>PO</w:t>
      </w:r>
      <w:r w:rsidR="00265752" w:rsidRPr="00265752">
        <w:t xml:space="preserve"> 1a a 1b v roce 2014</w:t>
      </w:r>
      <w:bookmarkEnd w:id="147"/>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713"/>
        <w:gridCol w:w="995"/>
        <w:gridCol w:w="730"/>
        <w:gridCol w:w="965"/>
        <w:gridCol w:w="724"/>
        <w:gridCol w:w="999"/>
        <w:gridCol w:w="555"/>
        <w:gridCol w:w="1000"/>
        <w:gridCol w:w="709"/>
        <w:gridCol w:w="1043"/>
      </w:tblGrid>
      <w:tr w:rsidR="002B3D10" w:rsidRPr="00C175B8" w:rsidTr="00ED707F">
        <w:trPr>
          <w:trHeight w:val="947"/>
        </w:trPr>
        <w:tc>
          <w:tcPr>
            <w:tcW w:w="423" w:type="pct"/>
            <w:vMerge w:val="restar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Pořadí výzvy</w:t>
            </w:r>
          </w:p>
        </w:tc>
        <w:tc>
          <w:tcPr>
            <w:tcW w:w="387" w:type="pct"/>
            <w:vMerge w:val="restar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Číslo výzvy</w:t>
            </w:r>
          </w:p>
        </w:tc>
        <w:tc>
          <w:tcPr>
            <w:tcW w:w="936" w:type="pct"/>
            <w:gridSpan w:val="2"/>
            <w:shd w:val="clear" w:color="000000" w:fill="D8E4BC"/>
            <w:vAlign w:val="center"/>
            <w:hideMark/>
          </w:tcPr>
          <w:p w:rsidR="00C175B8" w:rsidRPr="00C175B8" w:rsidRDefault="00C175B8" w:rsidP="00C175B8">
            <w:pPr>
              <w:jc w:val="center"/>
              <w:rPr>
                <w:b/>
                <w:bCs/>
                <w:sz w:val="18"/>
                <w:szCs w:val="18"/>
              </w:rPr>
            </w:pPr>
            <w:r w:rsidRPr="00C175B8">
              <w:rPr>
                <w:b/>
                <w:bCs/>
                <w:sz w:val="18"/>
                <w:szCs w:val="18"/>
              </w:rPr>
              <w:t>Podání projektových žádostí</w:t>
            </w:r>
          </w:p>
        </w:tc>
        <w:tc>
          <w:tcPr>
            <w:tcW w:w="524" w:type="pct"/>
            <w:vMerge w:val="restar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Druh výzvy</w:t>
            </w:r>
          </w:p>
        </w:tc>
        <w:tc>
          <w:tcPr>
            <w:tcW w:w="393" w:type="pct"/>
            <w:vMerge w:val="restar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Číslo prioritní osy/oblasti podpory</w:t>
            </w:r>
          </w:p>
        </w:tc>
        <w:tc>
          <w:tcPr>
            <w:tcW w:w="542" w:type="pc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Alokace na výzvu</w:t>
            </w:r>
          </w:p>
        </w:tc>
        <w:tc>
          <w:tcPr>
            <w:tcW w:w="844" w:type="pct"/>
            <w:gridSpan w:val="2"/>
            <w:shd w:val="clear" w:color="000000" w:fill="D8E4BC"/>
            <w:vAlign w:val="center"/>
            <w:hideMark/>
          </w:tcPr>
          <w:p w:rsidR="00C175B8" w:rsidRPr="00C175B8" w:rsidRDefault="00C175B8" w:rsidP="00C175B8">
            <w:pPr>
              <w:jc w:val="center"/>
              <w:rPr>
                <w:b/>
                <w:bCs/>
                <w:sz w:val="18"/>
                <w:szCs w:val="18"/>
              </w:rPr>
            </w:pPr>
            <w:r w:rsidRPr="00C175B8">
              <w:rPr>
                <w:b/>
                <w:bCs/>
                <w:sz w:val="18"/>
                <w:szCs w:val="18"/>
              </w:rPr>
              <w:t>Podané žádosti o podporu</w:t>
            </w:r>
          </w:p>
        </w:tc>
        <w:tc>
          <w:tcPr>
            <w:tcW w:w="952" w:type="pct"/>
            <w:gridSpan w:val="2"/>
            <w:shd w:val="clear" w:color="000000" w:fill="D8E4BC"/>
            <w:vAlign w:val="center"/>
            <w:hideMark/>
          </w:tcPr>
          <w:p w:rsidR="00C175B8" w:rsidRPr="00C175B8" w:rsidRDefault="00C175B8" w:rsidP="00C175B8">
            <w:pPr>
              <w:jc w:val="center"/>
              <w:rPr>
                <w:b/>
                <w:bCs/>
                <w:sz w:val="18"/>
                <w:szCs w:val="18"/>
              </w:rPr>
            </w:pPr>
            <w:r w:rsidRPr="00C175B8">
              <w:rPr>
                <w:b/>
                <w:bCs/>
                <w:sz w:val="18"/>
                <w:szCs w:val="18"/>
              </w:rPr>
              <w:t>Projekty s vydaným Rozhodnutím/podepsanou Smlouvou</w:t>
            </w:r>
          </w:p>
        </w:tc>
      </w:tr>
      <w:tr w:rsidR="00BB5FA8" w:rsidRPr="00C175B8" w:rsidTr="00ED707F">
        <w:trPr>
          <w:trHeight w:val="1147"/>
        </w:trPr>
        <w:tc>
          <w:tcPr>
            <w:tcW w:w="423" w:type="pct"/>
            <w:vMerge/>
            <w:vAlign w:val="center"/>
            <w:hideMark/>
          </w:tcPr>
          <w:p w:rsidR="00C175B8" w:rsidRPr="00C175B8" w:rsidRDefault="00C175B8" w:rsidP="00C175B8">
            <w:pPr>
              <w:rPr>
                <w:b/>
                <w:bCs/>
                <w:sz w:val="18"/>
                <w:szCs w:val="18"/>
              </w:rPr>
            </w:pPr>
          </w:p>
        </w:tc>
        <w:tc>
          <w:tcPr>
            <w:tcW w:w="387" w:type="pct"/>
            <w:vMerge/>
            <w:vAlign w:val="center"/>
            <w:hideMark/>
          </w:tcPr>
          <w:p w:rsidR="00C175B8" w:rsidRPr="00C175B8" w:rsidRDefault="00C175B8" w:rsidP="00C175B8">
            <w:pPr>
              <w:rPr>
                <w:b/>
                <w:bCs/>
                <w:sz w:val="18"/>
                <w:szCs w:val="18"/>
              </w:rPr>
            </w:pPr>
          </w:p>
        </w:tc>
        <w:tc>
          <w:tcPr>
            <w:tcW w:w="540" w:type="pc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Datum zahájení příjmu projektových žádostí</w:t>
            </w:r>
          </w:p>
        </w:tc>
        <w:tc>
          <w:tcPr>
            <w:tcW w:w="396" w:type="pc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Datum ukončení výzvy</w:t>
            </w:r>
          </w:p>
        </w:tc>
        <w:tc>
          <w:tcPr>
            <w:tcW w:w="524" w:type="pct"/>
            <w:vMerge/>
            <w:vAlign w:val="center"/>
            <w:hideMark/>
          </w:tcPr>
          <w:p w:rsidR="00C175B8" w:rsidRPr="00C175B8" w:rsidRDefault="00C175B8" w:rsidP="00C175B8">
            <w:pPr>
              <w:rPr>
                <w:b/>
                <w:bCs/>
                <w:sz w:val="18"/>
                <w:szCs w:val="18"/>
              </w:rPr>
            </w:pPr>
          </w:p>
        </w:tc>
        <w:tc>
          <w:tcPr>
            <w:tcW w:w="393" w:type="pct"/>
            <w:vMerge/>
            <w:vAlign w:val="center"/>
            <w:hideMark/>
          </w:tcPr>
          <w:p w:rsidR="00C175B8" w:rsidRPr="00C175B8" w:rsidRDefault="00C175B8" w:rsidP="00C175B8">
            <w:pPr>
              <w:rPr>
                <w:b/>
                <w:bCs/>
                <w:sz w:val="18"/>
                <w:szCs w:val="18"/>
              </w:rPr>
            </w:pPr>
          </w:p>
        </w:tc>
        <w:tc>
          <w:tcPr>
            <w:tcW w:w="542" w:type="pc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 xml:space="preserve">v </w:t>
            </w:r>
            <w:proofErr w:type="gramStart"/>
            <w:r w:rsidRPr="00C175B8">
              <w:rPr>
                <w:b/>
                <w:bCs/>
                <w:sz w:val="18"/>
                <w:szCs w:val="18"/>
              </w:rPr>
              <w:t>EUR</w:t>
            </w:r>
            <w:proofErr w:type="gramEnd"/>
          </w:p>
        </w:tc>
        <w:tc>
          <w:tcPr>
            <w:tcW w:w="301" w:type="pc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počet</w:t>
            </w:r>
          </w:p>
        </w:tc>
        <w:tc>
          <w:tcPr>
            <w:tcW w:w="543" w:type="pct"/>
            <w:shd w:val="clear" w:color="000000" w:fill="D8E4BC"/>
            <w:vAlign w:val="center"/>
            <w:hideMark/>
          </w:tcPr>
          <w:p w:rsidR="00C175B8" w:rsidRPr="00C175B8" w:rsidRDefault="00C175B8" w:rsidP="00C175B8">
            <w:pPr>
              <w:jc w:val="center"/>
              <w:rPr>
                <w:b/>
                <w:bCs/>
                <w:sz w:val="18"/>
                <w:szCs w:val="18"/>
              </w:rPr>
            </w:pPr>
            <w:r w:rsidRPr="00C175B8">
              <w:rPr>
                <w:b/>
                <w:bCs/>
                <w:sz w:val="18"/>
                <w:szCs w:val="18"/>
              </w:rPr>
              <w:t xml:space="preserve">v </w:t>
            </w:r>
            <w:proofErr w:type="gramStart"/>
            <w:r w:rsidRPr="00C175B8">
              <w:rPr>
                <w:b/>
                <w:bCs/>
                <w:sz w:val="18"/>
                <w:szCs w:val="18"/>
              </w:rPr>
              <w:t>EUR</w:t>
            </w:r>
            <w:proofErr w:type="gramEnd"/>
          </w:p>
        </w:tc>
        <w:tc>
          <w:tcPr>
            <w:tcW w:w="385" w:type="pct"/>
            <w:shd w:val="clear" w:color="000000" w:fill="D8E4BC"/>
            <w:noWrap/>
            <w:vAlign w:val="center"/>
            <w:hideMark/>
          </w:tcPr>
          <w:p w:rsidR="00C175B8" w:rsidRPr="00C175B8" w:rsidRDefault="00C175B8" w:rsidP="00C175B8">
            <w:pPr>
              <w:jc w:val="center"/>
              <w:rPr>
                <w:b/>
                <w:bCs/>
                <w:sz w:val="18"/>
                <w:szCs w:val="18"/>
              </w:rPr>
            </w:pPr>
            <w:r w:rsidRPr="00C175B8">
              <w:rPr>
                <w:b/>
                <w:bCs/>
                <w:sz w:val="18"/>
                <w:szCs w:val="18"/>
              </w:rPr>
              <w:t xml:space="preserve">počet </w:t>
            </w:r>
          </w:p>
        </w:tc>
        <w:tc>
          <w:tcPr>
            <w:tcW w:w="567" w:type="pct"/>
            <w:shd w:val="clear" w:color="000000" w:fill="D8E4BC"/>
            <w:noWrap/>
            <w:vAlign w:val="center"/>
            <w:hideMark/>
          </w:tcPr>
          <w:p w:rsidR="00C175B8" w:rsidRPr="00C175B8" w:rsidRDefault="00C175B8" w:rsidP="00C175B8">
            <w:pPr>
              <w:jc w:val="center"/>
              <w:rPr>
                <w:b/>
                <w:bCs/>
                <w:sz w:val="18"/>
                <w:szCs w:val="18"/>
              </w:rPr>
            </w:pPr>
            <w:r w:rsidRPr="00C175B8">
              <w:rPr>
                <w:b/>
                <w:bCs/>
                <w:sz w:val="18"/>
                <w:szCs w:val="18"/>
              </w:rPr>
              <w:t xml:space="preserve">v </w:t>
            </w:r>
            <w:proofErr w:type="gramStart"/>
            <w:r w:rsidRPr="00C175B8">
              <w:rPr>
                <w:b/>
                <w:bCs/>
                <w:sz w:val="18"/>
                <w:szCs w:val="18"/>
              </w:rPr>
              <w:t>EUR</w:t>
            </w:r>
            <w:proofErr w:type="gramEnd"/>
          </w:p>
        </w:tc>
      </w:tr>
      <w:tr w:rsidR="002B3D10" w:rsidRPr="00C175B8" w:rsidTr="00ED707F">
        <w:trPr>
          <w:trHeight w:val="287"/>
        </w:trPr>
        <w:tc>
          <w:tcPr>
            <w:tcW w:w="423" w:type="pct"/>
            <w:vMerge w:val="restart"/>
            <w:shd w:val="clear" w:color="000000" w:fill="FFFFFF"/>
            <w:noWrap/>
            <w:vAlign w:val="center"/>
            <w:hideMark/>
          </w:tcPr>
          <w:p w:rsidR="00BB5FA8" w:rsidRPr="00C175B8" w:rsidRDefault="00BB5FA8" w:rsidP="00C175B8">
            <w:pPr>
              <w:jc w:val="center"/>
              <w:rPr>
                <w:color w:val="000000"/>
                <w:sz w:val="16"/>
                <w:szCs w:val="16"/>
              </w:rPr>
            </w:pPr>
            <w:r w:rsidRPr="00C175B8">
              <w:rPr>
                <w:color w:val="000000"/>
                <w:sz w:val="16"/>
                <w:szCs w:val="16"/>
              </w:rPr>
              <w:t>70</w:t>
            </w:r>
          </w:p>
        </w:tc>
        <w:tc>
          <w:tcPr>
            <w:tcW w:w="387" w:type="pct"/>
            <w:vMerge w:val="restart"/>
            <w:shd w:val="clear" w:color="000000" w:fill="FFFFFF"/>
            <w:noWrap/>
            <w:vAlign w:val="center"/>
            <w:hideMark/>
          </w:tcPr>
          <w:p w:rsidR="00BB5FA8" w:rsidRPr="00C175B8" w:rsidRDefault="00BB5FA8" w:rsidP="00C175B8">
            <w:pPr>
              <w:jc w:val="center"/>
              <w:rPr>
                <w:color w:val="000000"/>
                <w:sz w:val="16"/>
                <w:szCs w:val="16"/>
              </w:rPr>
            </w:pPr>
            <w:r w:rsidRPr="00C175B8">
              <w:rPr>
                <w:color w:val="000000"/>
                <w:sz w:val="16"/>
                <w:szCs w:val="16"/>
              </w:rPr>
              <w:t>17</w:t>
            </w:r>
          </w:p>
        </w:tc>
        <w:tc>
          <w:tcPr>
            <w:tcW w:w="540" w:type="pct"/>
            <w:vMerge w:val="restart"/>
            <w:shd w:val="clear" w:color="000000" w:fill="FFFFFF"/>
            <w:vAlign w:val="center"/>
            <w:hideMark/>
          </w:tcPr>
          <w:p w:rsidR="00BB5FA8" w:rsidRPr="00C175B8" w:rsidRDefault="00843D8E" w:rsidP="00C175B8">
            <w:pPr>
              <w:jc w:val="center"/>
              <w:rPr>
                <w:color w:val="000000"/>
                <w:sz w:val="16"/>
                <w:szCs w:val="16"/>
              </w:rPr>
            </w:pPr>
            <w:r w:rsidRPr="00C175B8">
              <w:rPr>
                <w:color w:val="000000"/>
                <w:sz w:val="16"/>
                <w:szCs w:val="16"/>
              </w:rPr>
              <w:t>16. 4. 2014</w:t>
            </w:r>
          </w:p>
        </w:tc>
        <w:tc>
          <w:tcPr>
            <w:tcW w:w="396" w:type="pct"/>
            <w:vMerge w:val="restart"/>
            <w:shd w:val="clear" w:color="000000" w:fill="FFFFFF"/>
            <w:vAlign w:val="center"/>
            <w:hideMark/>
          </w:tcPr>
          <w:p w:rsidR="00BB5FA8" w:rsidRPr="00C175B8" w:rsidRDefault="00826715" w:rsidP="00C175B8">
            <w:pPr>
              <w:jc w:val="center"/>
              <w:rPr>
                <w:color w:val="000000"/>
                <w:sz w:val="16"/>
                <w:szCs w:val="16"/>
              </w:rPr>
            </w:pPr>
            <w:r w:rsidRPr="00C175B8">
              <w:rPr>
                <w:color w:val="000000"/>
                <w:sz w:val="16"/>
                <w:szCs w:val="16"/>
              </w:rPr>
              <w:t>6. 6. 2014</w:t>
            </w:r>
          </w:p>
        </w:tc>
        <w:tc>
          <w:tcPr>
            <w:tcW w:w="524" w:type="pct"/>
            <w:vMerge w:val="restart"/>
            <w:shd w:val="clear" w:color="auto" w:fill="auto"/>
            <w:noWrap/>
            <w:vAlign w:val="center"/>
            <w:hideMark/>
          </w:tcPr>
          <w:p w:rsidR="00BB5FA8" w:rsidRPr="00C175B8" w:rsidRDefault="00BB5FA8" w:rsidP="00C175B8">
            <w:pPr>
              <w:jc w:val="center"/>
              <w:rPr>
                <w:sz w:val="16"/>
                <w:szCs w:val="16"/>
              </w:rPr>
            </w:pPr>
            <w:r w:rsidRPr="00C175B8">
              <w:rPr>
                <w:sz w:val="16"/>
                <w:szCs w:val="16"/>
              </w:rPr>
              <w:t>kontinuální</w:t>
            </w:r>
          </w:p>
        </w:tc>
        <w:tc>
          <w:tcPr>
            <w:tcW w:w="393" w:type="pct"/>
            <w:shd w:val="clear" w:color="auto" w:fill="auto"/>
            <w:noWrap/>
            <w:vAlign w:val="center"/>
            <w:hideMark/>
          </w:tcPr>
          <w:p w:rsidR="00BB5FA8" w:rsidRPr="00C175B8" w:rsidRDefault="00BB5FA8" w:rsidP="00C175B8">
            <w:pPr>
              <w:jc w:val="center"/>
              <w:rPr>
                <w:sz w:val="16"/>
                <w:szCs w:val="16"/>
              </w:rPr>
            </w:pPr>
            <w:r w:rsidRPr="00C175B8">
              <w:rPr>
                <w:sz w:val="16"/>
                <w:szCs w:val="16"/>
              </w:rPr>
              <w:t>1.1a)</w:t>
            </w:r>
          </w:p>
        </w:tc>
        <w:tc>
          <w:tcPr>
            <w:tcW w:w="542" w:type="pct"/>
            <w:vMerge w:val="restart"/>
            <w:shd w:val="clear" w:color="000000" w:fill="FFFFFF"/>
            <w:noWrap/>
            <w:vAlign w:val="bottom"/>
            <w:hideMark/>
          </w:tcPr>
          <w:p w:rsidR="00BB5FA8" w:rsidRPr="00C175B8" w:rsidRDefault="00BB5FA8" w:rsidP="00C175B8">
            <w:pPr>
              <w:jc w:val="right"/>
              <w:rPr>
                <w:sz w:val="16"/>
                <w:szCs w:val="16"/>
              </w:rPr>
            </w:pPr>
            <w:r w:rsidRPr="00C175B8">
              <w:rPr>
                <w:sz w:val="16"/>
                <w:szCs w:val="16"/>
              </w:rPr>
              <w:t>53 882 576</w:t>
            </w:r>
          </w:p>
          <w:p w:rsidR="00BB5FA8" w:rsidRPr="00C175B8" w:rsidRDefault="00BB5FA8" w:rsidP="00C175B8">
            <w:pPr>
              <w:rPr>
                <w:sz w:val="16"/>
                <w:szCs w:val="16"/>
              </w:rPr>
            </w:pPr>
            <w:r w:rsidRPr="00C175B8">
              <w:rPr>
                <w:sz w:val="16"/>
                <w:szCs w:val="16"/>
              </w:rPr>
              <w:t> </w:t>
            </w:r>
          </w:p>
        </w:tc>
        <w:tc>
          <w:tcPr>
            <w:tcW w:w="301" w:type="pct"/>
            <w:shd w:val="clear" w:color="000000" w:fill="FFFFFF"/>
            <w:noWrap/>
            <w:vAlign w:val="center"/>
            <w:hideMark/>
          </w:tcPr>
          <w:p w:rsidR="00BB5FA8" w:rsidRPr="00C175B8" w:rsidRDefault="00BB5FA8" w:rsidP="002B3D10">
            <w:pPr>
              <w:jc w:val="center"/>
              <w:rPr>
                <w:color w:val="000000"/>
                <w:sz w:val="16"/>
                <w:szCs w:val="16"/>
              </w:rPr>
            </w:pPr>
            <w:r w:rsidRPr="00C175B8">
              <w:rPr>
                <w:color w:val="000000"/>
                <w:sz w:val="16"/>
                <w:szCs w:val="16"/>
              </w:rPr>
              <w:t>40</w:t>
            </w:r>
          </w:p>
        </w:tc>
        <w:tc>
          <w:tcPr>
            <w:tcW w:w="543" w:type="pct"/>
            <w:shd w:val="clear" w:color="000000" w:fill="FFFFFF"/>
            <w:noWrap/>
            <w:vAlign w:val="center"/>
            <w:hideMark/>
          </w:tcPr>
          <w:p w:rsidR="00BB5FA8" w:rsidRPr="00C175B8" w:rsidRDefault="00BB5FA8" w:rsidP="002B3D10">
            <w:pPr>
              <w:jc w:val="center"/>
              <w:rPr>
                <w:color w:val="000000"/>
                <w:sz w:val="16"/>
                <w:szCs w:val="16"/>
              </w:rPr>
            </w:pPr>
            <w:r w:rsidRPr="00C175B8">
              <w:rPr>
                <w:color w:val="000000"/>
                <w:sz w:val="16"/>
                <w:szCs w:val="16"/>
              </w:rPr>
              <w:t>69 447 820</w:t>
            </w:r>
          </w:p>
        </w:tc>
        <w:tc>
          <w:tcPr>
            <w:tcW w:w="385" w:type="pct"/>
            <w:shd w:val="clear" w:color="000000" w:fill="FFFFFF"/>
            <w:vAlign w:val="center"/>
            <w:hideMark/>
          </w:tcPr>
          <w:p w:rsidR="00BB5FA8" w:rsidRPr="00C175B8" w:rsidRDefault="00BB5FA8" w:rsidP="002B3D10">
            <w:pPr>
              <w:jc w:val="center"/>
              <w:rPr>
                <w:color w:val="000000"/>
                <w:sz w:val="16"/>
                <w:szCs w:val="16"/>
              </w:rPr>
            </w:pPr>
            <w:r w:rsidRPr="00C175B8">
              <w:rPr>
                <w:color w:val="000000"/>
                <w:sz w:val="16"/>
                <w:szCs w:val="16"/>
              </w:rPr>
              <w:t>14</w:t>
            </w:r>
          </w:p>
        </w:tc>
        <w:tc>
          <w:tcPr>
            <w:tcW w:w="567" w:type="pct"/>
            <w:shd w:val="clear" w:color="000000" w:fill="FFFFFF"/>
            <w:noWrap/>
            <w:vAlign w:val="center"/>
            <w:hideMark/>
          </w:tcPr>
          <w:p w:rsidR="00BB5FA8" w:rsidRPr="00C175B8" w:rsidRDefault="00BB5FA8" w:rsidP="002B3D10">
            <w:pPr>
              <w:jc w:val="center"/>
              <w:rPr>
                <w:color w:val="000000"/>
                <w:sz w:val="16"/>
                <w:szCs w:val="16"/>
              </w:rPr>
            </w:pPr>
            <w:r w:rsidRPr="00C175B8">
              <w:rPr>
                <w:color w:val="000000"/>
                <w:sz w:val="16"/>
                <w:szCs w:val="16"/>
              </w:rPr>
              <w:t>34 309 451</w:t>
            </w:r>
          </w:p>
        </w:tc>
      </w:tr>
      <w:tr w:rsidR="002B3D10" w:rsidRPr="00C175B8" w:rsidTr="00ED707F">
        <w:trPr>
          <w:trHeight w:val="287"/>
        </w:trPr>
        <w:tc>
          <w:tcPr>
            <w:tcW w:w="423" w:type="pct"/>
            <w:vMerge/>
            <w:vAlign w:val="center"/>
            <w:hideMark/>
          </w:tcPr>
          <w:p w:rsidR="00BB5FA8" w:rsidRPr="00C175B8" w:rsidRDefault="00BB5FA8" w:rsidP="00C175B8">
            <w:pPr>
              <w:rPr>
                <w:color w:val="000000"/>
                <w:sz w:val="16"/>
                <w:szCs w:val="16"/>
              </w:rPr>
            </w:pPr>
          </w:p>
        </w:tc>
        <w:tc>
          <w:tcPr>
            <w:tcW w:w="387" w:type="pct"/>
            <w:vMerge/>
            <w:vAlign w:val="center"/>
            <w:hideMark/>
          </w:tcPr>
          <w:p w:rsidR="00BB5FA8" w:rsidRPr="00C175B8" w:rsidRDefault="00BB5FA8" w:rsidP="00C175B8">
            <w:pPr>
              <w:rPr>
                <w:color w:val="000000"/>
                <w:sz w:val="16"/>
                <w:szCs w:val="16"/>
              </w:rPr>
            </w:pPr>
          </w:p>
        </w:tc>
        <w:tc>
          <w:tcPr>
            <w:tcW w:w="540" w:type="pct"/>
            <w:vMerge/>
            <w:vAlign w:val="center"/>
            <w:hideMark/>
          </w:tcPr>
          <w:p w:rsidR="00BB5FA8" w:rsidRPr="00C175B8" w:rsidRDefault="00BB5FA8" w:rsidP="00C175B8">
            <w:pPr>
              <w:rPr>
                <w:color w:val="000000"/>
                <w:sz w:val="16"/>
                <w:szCs w:val="16"/>
              </w:rPr>
            </w:pPr>
          </w:p>
        </w:tc>
        <w:tc>
          <w:tcPr>
            <w:tcW w:w="396" w:type="pct"/>
            <w:vMerge/>
            <w:vAlign w:val="center"/>
            <w:hideMark/>
          </w:tcPr>
          <w:p w:rsidR="00BB5FA8" w:rsidRPr="00C175B8" w:rsidRDefault="00BB5FA8" w:rsidP="00C175B8">
            <w:pPr>
              <w:rPr>
                <w:color w:val="000000"/>
                <w:sz w:val="16"/>
                <w:szCs w:val="16"/>
              </w:rPr>
            </w:pPr>
          </w:p>
        </w:tc>
        <w:tc>
          <w:tcPr>
            <w:tcW w:w="524" w:type="pct"/>
            <w:vMerge/>
            <w:vAlign w:val="center"/>
            <w:hideMark/>
          </w:tcPr>
          <w:p w:rsidR="00BB5FA8" w:rsidRPr="00C175B8" w:rsidRDefault="00BB5FA8" w:rsidP="00C175B8">
            <w:pPr>
              <w:rPr>
                <w:sz w:val="16"/>
                <w:szCs w:val="16"/>
              </w:rPr>
            </w:pPr>
          </w:p>
        </w:tc>
        <w:tc>
          <w:tcPr>
            <w:tcW w:w="393" w:type="pct"/>
            <w:shd w:val="clear" w:color="auto" w:fill="auto"/>
            <w:noWrap/>
            <w:vAlign w:val="center"/>
            <w:hideMark/>
          </w:tcPr>
          <w:p w:rsidR="00BB5FA8" w:rsidRPr="00C175B8" w:rsidRDefault="00BB5FA8" w:rsidP="00C175B8">
            <w:pPr>
              <w:jc w:val="center"/>
              <w:rPr>
                <w:color w:val="000000"/>
                <w:sz w:val="16"/>
                <w:szCs w:val="16"/>
              </w:rPr>
            </w:pPr>
            <w:r w:rsidRPr="00C175B8">
              <w:rPr>
                <w:color w:val="000000"/>
                <w:sz w:val="16"/>
                <w:szCs w:val="16"/>
              </w:rPr>
              <w:t>1.1b)</w:t>
            </w:r>
          </w:p>
        </w:tc>
        <w:tc>
          <w:tcPr>
            <w:tcW w:w="542" w:type="pct"/>
            <w:vMerge/>
            <w:shd w:val="clear" w:color="000000" w:fill="FFFFFF"/>
            <w:noWrap/>
            <w:vAlign w:val="bottom"/>
            <w:hideMark/>
          </w:tcPr>
          <w:p w:rsidR="00BB5FA8" w:rsidRPr="00C175B8" w:rsidRDefault="00BB5FA8" w:rsidP="00C175B8">
            <w:pPr>
              <w:rPr>
                <w:sz w:val="16"/>
                <w:szCs w:val="16"/>
              </w:rPr>
            </w:pPr>
          </w:p>
        </w:tc>
        <w:tc>
          <w:tcPr>
            <w:tcW w:w="301" w:type="pct"/>
            <w:shd w:val="clear" w:color="000000" w:fill="FFFFFF"/>
            <w:noWrap/>
            <w:vAlign w:val="center"/>
            <w:hideMark/>
          </w:tcPr>
          <w:p w:rsidR="00BB5FA8" w:rsidRPr="00C175B8" w:rsidRDefault="00BB5FA8" w:rsidP="002B3D10">
            <w:pPr>
              <w:jc w:val="center"/>
              <w:rPr>
                <w:color w:val="000000"/>
                <w:sz w:val="16"/>
                <w:szCs w:val="16"/>
              </w:rPr>
            </w:pPr>
            <w:r w:rsidRPr="00C175B8">
              <w:rPr>
                <w:color w:val="000000"/>
                <w:sz w:val="16"/>
                <w:szCs w:val="16"/>
              </w:rPr>
              <w:t>0</w:t>
            </w:r>
          </w:p>
        </w:tc>
        <w:tc>
          <w:tcPr>
            <w:tcW w:w="543" w:type="pct"/>
            <w:shd w:val="clear" w:color="000000" w:fill="FFFFFF"/>
            <w:noWrap/>
            <w:vAlign w:val="center"/>
            <w:hideMark/>
          </w:tcPr>
          <w:p w:rsidR="00BB5FA8" w:rsidRPr="00C175B8" w:rsidRDefault="00BB5FA8" w:rsidP="002B3D10">
            <w:pPr>
              <w:jc w:val="center"/>
              <w:rPr>
                <w:color w:val="000000"/>
                <w:sz w:val="16"/>
                <w:szCs w:val="16"/>
              </w:rPr>
            </w:pPr>
            <w:r w:rsidRPr="00C175B8">
              <w:rPr>
                <w:color w:val="000000"/>
                <w:sz w:val="16"/>
                <w:szCs w:val="16"/>
              </w:rPr>
              <w:t>5 342 140</w:t>
            </w:r>
          </w:p>
        </w:tc>
        <w:tc>
          <w:tcPr>
            <w:tcW w:w="385" w:type="pct"/>
            <w:shd w:val="clear" w:color="000000" w:fill="FFFFFF"/>
            <w:vAlign w:val="center"/>
            <w:hideMark/>
          </w:tcPr>
          <w:p w:rsidR="00BB5FA8" w:rsidRPr="00C175B8" w:rsidRDefault="00BB5FA8" w:rsidP="002B3D10">
            <w:pPr>
              <w:jc w:val="center"/>
              <w:rPr>
                <w:color w:val="000000"/>
                <w:sz w:val="16"/>
                <w:szCs w:val="16"/>
              </w:rPr>
            </w:pPr>
            <w:r w:rsidRPr="00C175B8">
              <w:rPr>
                <w:color w:val="000000"/>
                <w:sz w:val="16"/>
                <w:szCs w:val="16"/>
              </w:rPr>
              <w:t>0</w:t>
            </w:r>
          </w:p>
        </w:tc>
        <w:tc>
          <w:tcPr>
            <w:tcW w:w="567" w:type="pct"/>
            <w:shd w:val="clear" w:color="000000" w:fill="FFFFFF"/>
            <w:noWrap/>
            <w:vAlign w:val="center"/>
            <w:hideMark/>
          </w:tcPr>
          <w:p w:rsidR="00BB5FA8" w:rsidRPr="00C175B8" w:rsidRDefault="00BB5FA8" w:rsidP="002B3D10">
            <w:pPr>
              <w:jc w:val="center"/>
              <w:rPr>
                <w:color w:val="000000"/>
                <w:sz w:val="16"/>
                <w:szCs w:val="16"/>
              </w:rPr>
            </w:pPr>
            <w:r w:rsidRPr="00C175B8">
              <w:rPr>
                <w:color w:val="000000"/>
                <w:sz w:val="16"/>
                <w:szCs w:val="16"/>
              </w:rPr>
              <w:t>2 639 189</w:t>
            </w:r>
          </w:p>
        </w:tc>
      </w:tr>
      <w:tr w:rsidR="002B3D10" w:rsidRPr="00C175B8" w:rsidTr="00ED707F">
        <w:trPr>
          <w:trHeight w:val="287"/>
        </w:trPr>
        <w:tc>
          <w:tcPr>
            <w:tcW w:w="423" w:type="pct"/>
            <w:shd w:val="clear" w:color="000000" w:fill="FFFFFF"/>
            <w:noWrap/>
            <w:vAlign w:val="bottom"/>
            <w:hideMark/>
          </w:tcPr>
          <w:p w:rsidR="00C175B8" w:rsidRPr="00C175B8" w:rsidRDefault="00C175B8" w:rsidP="00C175B8">
            <w:pPr>
              <w:rPr>
                <w:sz w:val="16"/>
                <w:szCs w:val="16"/>
              </w:rPr>
            </w:pPr>
            <w:r w:rsidRPr="00C175B8">
              <w:rPr>
                <w:sz w:val="16"/>
                <w:szCs w:val="16"/>
              </w:rPr>
              <w:t>Celkem KONV</w:t>
            </w:r>
          </w:p>
        </w:tc>
        <w:tc>
          <w:tcPr>
            <w:tcW w:w="387"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540"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396"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524"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393"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542" w:type="pct"/>
            <w:shd w:val="clear" w:color="000000" w:fill="FFFFFF"/>
            <w:noWrap/>
            <w:vAlign w:val="bottom"/>
            <w:hideMark/>
          </w:tcPr>
          <w:p w:rsidR="00C175B8" w:rsidRPr="00C175B8" w:rsidRDefault="00C175B8" w:rsidP="00C175B8">
            <w:pPr>
              <w:jc w:val="right"/>
              <w:rPr>
                <w:sz w:val="16"/>
                <w:szCs w:val="16"/>
              </w:rPr>
            </w:pPr>
            <w:r w:rsidRPr="00C175B8">
              <w:rPr>
                <w:sz w:val="16"/>
                <w:szCs w:val="16"/>
              </w:rPr>
              <w:t>53 882 576</w:t>
            </w:r>
          </w:p>
        </w:tc>
        <w:tc>
          <w:tcPr>
            <w:tcW w:w="301"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40</w:t>
            </w:r>
          </w:p>
        </w:tc>
        <w:tc>
          <w:tcPr>
            <w:tcW w:w="543"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69 447 820</w:t>
            </w:r>
          </w:p>
        </w:tc>
        <w:tc>
          <w:tcPr>
            <w:tcW w:w="385"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14</w:t>
            </w:r>
          </w:p>
        </w:tc>
        <w:tc>
          <w:tcPr>
            <w:tcW w:w="567"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34 309 451</w:t>
            </w:r>
          </w:p>
        </w:tc>
      </w:tr>
      <w:tr w:rsidR="002B3D10" w:rsidRPr="00C175B8" w:rsidTr="00ED707F">
        <w:trPr>
          <w:trHeight w:val="287"/>
        </w:trPr>
        <w:tc>
          <w:tcPr>
            <w:tcW w:w="423" w:type="pct"/>
            <w:shd w:val="clear" w:color="000000" w:fill="FFFFFF"/>
            <w:noWrap/>
            <w:vAlign w:val="bottom"/>
            <w:hideMark/>
          </w:tcPr>
          <w:p w:rsidR="00C175B8" w:rsidRPr="00C175B8" w:rsidRDefault="00C175B8" w:rsidP="00C175B8">
            <w:pPr>
              <w:rPr>
                <w:sz w:val="16"/>
                <w:szCs w:val="16"/>
              </w:rPr>
            </w:pPr>
            <w:r w:rsidRPr="00C175B8">
              <w:rPr>
                <w:sz w:val="16"/>
                <w:szCs w:val="16"/>
              </w:rPr>
              <w:t xml:space="preserve">Celkem </w:t>
            </w:r>
            <w:proofErr w:type="spellStart"/>
            <w:r w:rsidRPr="00C175B8">
              <w:rPr>
                <w:sz w:val="16"/>
                <w:szCs w:val="16"/>
              </w:rPr>
              <w:t>RKaZ</w:t>
            </w:r>
            <w:proofErr w:type="spellEnd"/>
          </w:p>
        </w:tc>
        <w:tc>
          <w:tcPr>
            <w:tcW w:w="387"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540"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396"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524"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393" w:type="pct"/>
            <w:shd w:val="clear" w:color="000000" w:fill="FFFFFF"/>
            <w:noWrap/>
            <w:vAlign w:val="bottom"/>
            <w:hideMark/>
          </w:tcPr>
          <w:p w:rsidR="00C175B8" w:rsidRPr="00C175B8" w:rsidRDefault="00C175B8" w:rsidP="00C175B8">
            <w:pPr>
              <w:rPr>
                <w:sz w:val="16"/>
                <w:szCs w:val="16"/>
              </w:rPr>
            </w:pPr>
            <w:r w:rsidRPr="00C175B8">
              <w:rPr>
                <w:sz w:val="16"/>
                <w:szCs w:val="16"/>
              </w:rPr>
              <w:t> </w:t>
            </w:r>
          </w:p>
        </w:tc>
        <w:tc>
          <w:tcPr>
            <w:tcW w:w="542" w:type="pct"/>
            <w:shd w:val="clear" w:color="000000" w:fill="FFFFFF"/>
            <w:noWrap/>
            <w:vAlign w:val="bottom"/>
            <w:hideMark/>
          </w:tcPr>
          <w:p w:rsidR="00C175B8" w:rsidRPr="00C175B8" w:rsidRDefault="00C175B8" w:rsidP="00C175B8">
            <w:pPr>
              <w:jc w:val="right"/>
              <w:rPr>
                <w:sz w:val="16"/>
                <w:szCs w:val="16"/>
              </w:rPr>
            </w:pPr>
            <w:r w:rsidRPr="00C175B8">
              <w:rPr>
                <w:sz w:val="16"/>
                <w:szCs w:val="16"/>
              </w:rPr>
              <w:t>0</w:t>
            </w:r>
          </w:p>
        </w:tc>
        <w:tc>
          <w:tcPr>
            <w:tcW w:w="301"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0</w:t>
            </w:r>
          </w:p>
        </w:tc>
        <w:tc>
          <w:tcPr>
            <w:tcW w:w="543"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5 342 140</w:t>
            </w:r>
          </w:p>
        </w:tc>
        <w:tc>
          <w:tcPr>
            <w:tcW w:w="385"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0</w:t>
            </w:r>
          </w:p>
        </w:tc>
        <w:tc>
          <w:tcPr>
            <w:tcW w:w="567" w:type="pct"/>
            <w:shd w:val="clear" w:color="000000" w:fill="FFFFFF"/>
            <w:noWrap/>
            <w:vAlign w:val="center"/>
            <w:hideMark/>
          </w:tcPr>
          <w:p w:rsidR="00C175B8" w:rsidRPr="00C175B8" w:rsidRDefault="00C175B8" w:rsidP="002B3D10">
            <w:pPr>
              <w:jc w:val="center"/>
              <w:rPr>
                <w:sz w:val="16"/>
                <w:szCs w:val="16"/>
              </w:rPr>
            </w:pPr>
            <w:r w:rsidRPr="00C175B8">
              <w:rPr>
                <w:sz w:val="16"/>
                <w:szCs w:val="16"/>
              </w:rPr>
              <w:t>2 639 189</w:t>
            </w:r>
          </w:p>
        </w:tc>
      </w:tr>
      <w:tr w:rsidR="00BB5FA8" w:rsidRPr="00C175B8" w:rsidTr="00ED707F">
        <w:trPr>
          <w:trHeight w:val="287"/>
        </w:trPr>
        <w:tc>
          <w:tcPr>
            <w:tcW w:w="810" w:type="pct"/>
            <w:gridSpan w:val="2"/>
            <w:shd w:val="clear" w:color="000000" w:fill="D9D9D9"/>
            <w:noWrap/>
            <w:vAlign w:val="center"/>
          </w:tcPr>
          <w:p w:rsidR="00BB5FA8" w:rsidRPr="00C175B8" w:rsidRDefault="00BB5FA8" w:rsidP="00BB5FA8">
            <w:pPr>
              <w:rPr>
                <w:b/>
                <w:bCs/>
                <w:sz w:val="16"/>
                <w:szCs w:val="16"/>
              </w:rPr>
            </w:pPr>
            <w:r>
              <w:rPr>
                <w:b/>
                <w:bCs/>
                <w:sz w:val="16"/>
                <w:szCs w:val="16"/>
              </w:rPr>
              <w:t>Celkem PO 1</w:t>
            </w:r>
          </w:p>
        </w:tc>
        <w:tc>
          <w:tcPr>
            <w:tcW w:w="540" w:type="pct"/>
            <w:shd w:val="clear" w:color="000000" w:fill="D9D9D9"/>
            <w:noWrap/>
            <w:vAlign w:val="bottom"/>
            <w:hideMark/>
          </w:tcPr>
          <w:p w:rsidR="00BB5FA8" w:rsidRPr="00C175B8" w:rsidRDefault="00BB5FA8" w:rsidP="00C175B8">
            <w:pPr>
              <w:jc w:val="right"/>
              <w:rPr>
                <w:b/>
                <w:bCs/>
                <w:sz w:val="16"/>
                <w:szCs w:val="16"/>
              </w:rPr>
            </w:pPr>
            <w:r w:rsidRPr="00C175B8">
              <w:rPr>
                <w:b/>
                <w:bCs/>
                <w:sz w:val="16"/>
                <w:szCs w:val="16"/>
              </w:rPr>
              <w:t> </w:t>
            </w:r>
          </w:p>
        </w:tc>
        <w:tc>
          <w:tcPr>
            <w:tcW w:w="396" w:type="pct"/>
            <w:shd w:val="clear" w:color="000000" w:fill="D9D9D9"/>
            <w:noWrap/>
            <w:vAlign w:val="bottom"/>
            <w:hideMark/>
          </w:tcPr>
          <w:p w:rsidR="00BB5FA8" w:rsidRPr="00C175B8" w:rsidRDefault="00BB5FA8" w:rsidP="00C175B8">
            <w:pPr>
              <w:jc w:val="right"/>
              <w:rPr>
                <w:b/>
                <w:bCs/>
                <w:sz w:val="16"/>
                <w:szCs w:val="16"/>
              </w:rPr>
            </w:pPr>
            <w:r w:rsidRPr="00C175B8">
              <w:rPr>
                <w:b/>
                <w:bCs/>
                <w:sz w:val="16"/>
                <w:szCs w:val="16"/>
              </w:rPr>
              <w:t> </w:t>
            </w:r>
          </w:p>
        </w:tc>
        <w:tc>
          <w:tcPr>
            <w:tcW w:w="524" w:type="pct"/>
            <w:shd w:val="clear" w:color="000000" w:fill="D9D9D9"/>
            <w:noWrap/>
            <w:vAlign w:val="bottom"/>
            <w:hideMark/>
          </w:tcPr>
          <w:p w:rsidR="00BB5FA8" w:rsidRPr="00C175B8" w:rsidRDefault="00BB5FA8" w:rsidP="00C175B8">
            <w:pPr>
              <w:rPr>
                <w:b/>
                <w:bCs/>
                <w:sz w:val="16"/>
                <w:szCs w:val="16"/>
              </w:rPr>
            </w:pPr>
            <w:r w:rsidRPr="00C175B8">
              <w:rPr>
                <w:b/>
                <w:bCs/>
                <w:sz w:val="16"/>
                <w:szCs w:val="16"/>
              </w:rPr>
              <w:t> </w:t>
            </w:r>
          </w:p>
        </w:tc>
        <w:tc>
          <w:tcPr>
            <w:tcW w:w="393" w:type="pct"/>
            <w:shd w:val="clear" w:color="000000" w:fill="D9D9D9"/>
            <w:noWrap/>
            <w:vAlign w:val="bottom"/>
            <w:hideMark/>
          </w:tcPr>
          <w:p w:rsidR="00BB5FA8" w:rsidRPr="00C175B8" w:rsidRDefault="00BB5FA8" w:rsidP="00C175B8">
            <w:pPr>
              <w:rPr>
                <w:b/>
                <w:bCs/>
                <w:sz w:val="16"/>
                <w:szCs w:val="16"/>
              </w:rPr>
            </w:pPr>
            <w:r w:rsidRPr="00C175B8">
              <w:rPr>
                <w:b/>
                <w:bCs/>
                <w:sz w:val="16"/>
                <w:szCs w:val="16"/>
              </w:rPr>
              <w:t> </w:t>
            </w:r>
          </w:p>
        </w:tc>
        <w:tc>
          <w:tcPr>
            <w:tcW w:w="542" w:type="pct"/>
            <w:shd w:val="clear" w:color="000000" w:fill="D9D9D9"/>
            <w:noWrap/>
            <w:vAlign w:val="center"/>
            <w:hideMark/>
          </w:tcPr>
          <w:p w:rsidR="00BB5FA8" w:rsidRPr="00C175B8" w:rsidRDefault="00BB5FA8" w:rsidP="002B3D10">
            <w:pPr>
              <w:jc w:val="center"/>
              <w:rPr>
                <w:b/>
                <w:bCs/>
                <w:sz w:val="16"/>
                <w:szCs w:val="16"/>
              </w:rPr>
            </w:pPr>
            <w:r w:rsidRPr="00C175B8">
              <w:rPr>
                <w:b/>
                <w:bCs/>
                <w:sz w:val="16"/>
                <w:szCs w:val="16"/>
              </w:rPr>
              <w:t>53 882 576</w:t>
            </w:r>
          </w:p>
        </w:tc>
        <w:tc>
          <w:tcPr>
            <w:tcW w:w="301" w:type="pct"/>
            <w:shd w:val="clear" w:color="000000" w:fill="D9D9D9"/>
            <w:noWrap/>
            <w:vAlign w:val="center"/>
            <w:hideMark/>
          </w:tcPr>
          <w:p w:rsidR="00BB5FA8" w:rsidRPr="00C175B8" w:rsidRDefault="00BB5FA8" w:rsidP="002B3D10">
            <w:pPr>
              <w:jc w:val="center"/>
              <w:rPr>
                <w:b/>
                <w:bCs/>
                <w:sz w:val="16"/>
                <w:szCs w:val="16"/>
              </w:rPr>
            </w:pPr>
            <w:r w:rsidRPr="00C175B8">
              <w:rPr>
                <w:b/>
                <w:bCs/>
                <w:sz w:val="16"/>
                <w:szCs w:val="16"/>
              </w:rPr>
              <w:t>40</w:t>
            </w:r>
          </w:p>
        </w:tc>
        <w:tc>
          <w:tcPr>
            <w:tcW w:w="543" w:type="pct"/>
            <w:shd w:val="clear" w:color="000000" w:fill="D9D9D9"/>
            <w:noWrap/>
            <w:vAlign w:val="center"/>
            <w:hideMark/>
          </w:tcPr>
          <w:p w:rsidR="00BB5FA8" w:rsidRPr="00C175B8" w:rsidRDefault="00BB5FA8" w:rsidP="002B3D10">
            <w:pPr>
              <w:jc w:val="center"/>
              <w:rPr>
                <w:b/>
                <w:bCs/>
                <w:sz w:val="16"/>
                <w:szCs w:val="16"/>
              </w:rPr>
            </w:pPr>
            <w:r w:rsidRPr="00C175B8">
              <w:rPr>
                <w:b/>
                <w:bCs/>
                <w:sz w:val="16"/>
                <w:szCs w:val="16"/>
              </w:rPr>
              <w:t>74 789 960</w:t>
            </w:r>
          </w:p>
        </w:tc>
        <w:tc>
          <w:tcPr>
            <w:tcW w:w="385" w:type="pct"/>
            <w:shd w:val="clear" w:color="000000" w:fill="D9D9D9"/>
            <w:noWrap/>
            <w:vAlign w:val="center"/>
            <w:hideMark/>
          </w:tcPr>
          <w:p w:rsidR="00BB5FA8" w:rsidRPr="00C175B8" w:rsidRDefault="00BB5FA8" w:rsidP="002B3D10">
            <w:pPr>
              <w:jc w:val="center"/>
              <w:rPr>
                <w:b/>
                <w:bCs/>
                <w:sz w:val="16"/>
                <w:szCs w:val="16"/>
              </w:rPr>
            </w:pPr>
            <w:r w:rsidRPr="00C175B8">
              <w:rPr>
                <w:b/>
                <w:bCs/>
                <w:sz w:val="16"/>
                <w:szCs w:val="16"/>
              </w:rPr>
              <w:t>14</w:t>
            </w:r>
          </w:p>
        </w:tc>
        <w:tc>
          <w:tcPr>
            <w:tcW w:w="567" w:type="pct"/>
            <w:shd w:val="clear" w:color="000000" w:fill="D9D9D9"/>
            <w:noWrap/>
            <w:vAlign w:val="center"/>
            <w:hideMark/>
          </w:tcPr>
          <w:p w:rsidR="00BB5FA8" w:rsidRPr="00C175B8" w:rsidRDefault="00BB5FA8" w:rsidP="002B3D10">
            <w:pPr>
              <w:jc w:val="center"/>
              <w:rPr>
                <w:b/>
                <w:bCs/>
                <w:sz w:val="16"/>
                <w:szCs w:val="16"/>
              </w:rPr>
            </w:pPr>
            <w:r w:rsidRPr="00C175B8">
              <w:rPr>
                <w:b/>
                <w:bCs/>
                <w:sz w:val="16"/>
                <w:szCs w:val="16"/>
              </w:rPr>
              <w:t>36 948 640</w:t>
            </w:r>
          </w:p>
        </w:tc>
      </w:tr>
    </w:tbl>
    <w:p w:rsidR="00A75862" w:rsidRPr="00F95A39" w:rsidRDefault="00A75862" w:rsidP="004F19F6">
      <w:pPr>
        <w:spacing w:before="60"/>
        <w:rPr>
          <w:i/>
          <w:sz w:val="18"/>
          <w:szCs w:val="18"/>
        </w:rPr>
      </w:pPr>
      <w:r w:rsidRPr="00F95A39">
        <w:rPr>
          <w:i/>
          <w:sz w:val="18"/>
          <w:szCs w:val="18"/>
        </w:rPr>
        <w:t xml:space="preserve">Zdroj: MSC2007 ke dni </w:t>
      </w:r>
      <w:r w:rsidR="00843D8E">
        <w:rPr>
          <w:i/>
          <w:sz w:val="18"/>
          <w:szCs w:val="18"/>
        </w:rPr>
        <w:t>31</w:t>
      </w:r>
      <w:r w:rsidR="00843D8E" w:rsidRPr="00F95A39">
        <w:rPr>
          <w:i/>
          <w:sz w:val="18"/>
          <w:szCs w:val="18"/>
        </w:rPr>
        <w:t>.</w:t>
      </w:r>
      <w:r w:rsidR="00843D8E">
        <w:rPr>
          <w:i/>
          <w:sz w:val="18"/>
          <w:szCs w:val="18"/>
        </w:rPr>
        <w:t xml:space="preserve"> 12. 2014</w:t>
      </w:r>
    </w:p>
    <w:p w:rsidR="00A75862" w:rsidRPr="00F95A39" w:rsidRDefault="00A75862" w:rsidP="004F19F6">
      <w:pPr>
        <w:rPr>
          <w:i/>
          <w:sz w:val="18"/>
          <w:szCs w:val="18"/>
        </w:rPr>
      </w:pPr>
      <w:r w:rsidRPr="00F95A39">
        <w:rPr>
          <w:i/>
          <w:sz w:val="18"/>
          <w:szCs w:val="18"/>
        </w:rPr>
        <w:t xml:space="preserve">Kurz CZK/EUR: </w:t>
      </w:r>
      <w:r>
        <w:rPr>
          <w:i/>
          <w:sz w:val="18"/>
          <w:szCs w:val="18"/>
        </w:rPr>
        <w:t>27,</w:t>
      </w:r>
      <w:r w:rsidR="00C07ED5">
        <w:rPr>
          <w:i/>
          <w:sz w:val="18"/>
          <w:szCs w:val="18"/>
        </w:rPr>
        <w:t>728</w:t>
      </w:r>
    </w:p>
    <w:p w:rsidR="00A75862" w:rsidRDefault="00A75862" w:rsidP="00AD54CA">
      <w:pPr>
        <w:spacing w:after="120" w:line="276" w:lineRule="auto"/>
        <w:jc w:val="both"/>
        <w:rPr>
          <w:color w:val="0070C0"/>
          <w:sz w:val="22"/>
          <w:szCs w:val="22"/>
        </w:rPr>
      </w:pPr>
      <w:r w:rsidRPr="00F95A39">
        <w:rPr>
          <w:i/>
          <w:sz w:val="18"/>
          <w:szCs w:val="18"/>
        </w:rPr>
        <w:t xml:space="preserve">Zdroj financování: </w:t>
      </w:r>
      <w:r w:rsidR="00C07ED5">
        <w:rPr>
          <w:i/>
          <w:sz w:val="18"/>
          <w:szCs w:val="18"/>
        </w:rPr>
        <w:t>podíl EU</w:t>
      </w:r>
    </w:p>
    <w:p w:rsidR="00444913" w:rsidRPr="00444913" w:rsidRDefault="00444913" w:rsidP="00444913">
      <w:pPr>
        <w:spacing w:after="120" w:line="276" w:lineRule="auto"/>
        <w:jc w:val="both"/>
        <w:rPr>
          <w:sz w:val="22"/>
          <w:szCs w:val="22"/>
        </w:rPr>
      </w:pPr>
      <w:r w:rsidRPr="00FC0BE8">
        <w:rPr>
          <w:sz w:val="18"/>
          <w:szCs w:val="18"/>
        </w:rPr>
        <w:t>Pozn.:</w:t>
      </w:r>
      <w:r w:rsidRPr="00444913">
        <w:rPr>
          <w:sz w:val="22"/>
          <w:szCs w:val="22"/>
        </w:rPr>
        <w:t xml:space="preserve"> </w:t>
      </w:r>
      <w:r w:rsidRPr="00444913">
        <w:rPr>
          <w:sz w:val="18"/>
          <w:szCs w:val="18"/>
        </w:rPr>
        <w:t xml:space="preserve">Počet podaných žádostí a Projektů s vydaným Rozhodnutím/podepsanou smlouvou je vzhledem k </w:t>
      </w:r>
      <w:proofErr w:type="spellStart"/>
      <w:r w:rsidRPr="00444913">
        <w:rPr>
          <w:sz w:val="18"/>
          <w:szCs w:val="18"/>
        </w:rPr>
        <w:t>vícecílovosti</w:t>
      </w:r>
      <w:proofErr w:type="spellEnd"/>
      <w:r w:rsidRPr="00444913">
        <w:rPr>
          <w:sz w:val="18"/>
          <w:szCs w:val="18"/>
        </w:rPr>
        <w:t xml:space="preserve"> prioritních os uveden pouze u oblastí podpory vztahující se k cíli Konvergence (a). V oblastech podpory, které spadají pod cíl Regionální konkurenceschopnost a zaměstnanost (b) je počet nulový. </w:t>
      </w:r>
    </w:p>
    <w:p w:rsidR="00CD186C" w:rsidRDefault="00CD186C" w:rsidP="00AD54CA">
      <w:pPr>
        <w:rPr>
          <w:color w:val="000000" w:themeColor="text1"/>
          <w:sz w:val="22"/>
          <w:szCs w:val="22"/>
          <w:u w:val="single"/>
        </w:rPr>
      </w:pPr>
    </w:p>
    <w:p w:rsidR="00A75862" w:rsidRPr="007C64C6" w:rsidRDefault="00A75862" w:rsidP="00AD54CA">
      <w:pPr>
        <w:rPr>
          <w:color w:val="000000" w:themeColor="text1"/>
          <w:sz w:val="22"/>
          <w:szCs w:val="22"/>
          <w:u w:val="single"/>
        </w:rPr>
      </w:pPr>
      <w:r w:rsidRPr="007C64C6">
        <w:rPr>
          <w:color w:val="000000" w:themeColor="text1"/>
          <w:sz w:val="22"/>
          <w:szCs w:val="22"/>
          <w:u w:val="single"/>
        </w:rPr>
        <w:lastRenderedPageBreak/>
        <w:t>Indikátory</w:t>
      </w:r>
    </w:p>
    <w:p w:rsidR="00A75862" w:rsidRPr="007C64C6" w:rsidRDefault="00A75862" w:rsidP="0097556A">
      <w:pPr>
        <w:jc w:val="both"/>
        <w:rPr>
          <w:color w:val="000000" w:themeColor="text1"/>
          <w:sz w:val="22"/>
          <w:szCs w:val="22"/>
        </w:rPr>
      </w:pPr>
      <w:r w:rsidRPr="007C64C6">
        <w:rPr>
          <w:color w:val="000000" w:themeColor="text1"/>
          <w:sz w:val="22"/>
          <w:szCs w:val="22"/>
        </w:rPr>
        <w:t xml:space="preserve">Ve výzvách MV ČR jsou data naplnění indikátorů stanovena k termínu ukončení projektu. Dosažená hodnota je průměr hodnot, které uvedli příjemci jako dosaženou v závěrečných monitorovacích zprávách. K průběžné změně plánované cílové hodnoty indikátoru v průběhu projektu až na výjimky nedochází. Dosažené hodnoty u podílových indikátorů se mění v závislosti na počtu ukončených projektů a jejich vykázaných cílových hodnot. </w:t>
      </w:r>
    </w:p>
    <w:p w:rsidR="00A75862" w:rsidRPr="007C64C6" w:rsidRDefault="00A75862" w:rsidP="0097556A">
      <w:pPr>
        <w:ind w:left="708"/>
        <w:jc w:val="both"/>
        <w:rPr>
          <w:b/>
          <w:i/>
          <w:color w:val="000000" w:themeColor="text1"/>
          <w:sz w:val="22"/>
          <w:szCs w:val="22"/>
        </w:rPr>
      </w:pPr>
    </w:p>
    <w:p w:rsidR="00A75862" w:rsidRPr="00906865" w:rsidRDefault="00172D48" w:rsidP="00906865">
      <w:pPr>
        <w:jc w:val="both"/>
        <w:rPr>
          <w:b/>
          <w:color w:val="000000" w:themeColor="text1"/>
          <w:sz w:val="22"/>
          <w:szCs w:val="22"/>
        </w:rPr>
      </w:pPr>
      <w:r w:rsidRPr="007C64C6">
        <w:rPr>
          <w:b/>
          <w:color w:val="000000" w:themeColor="text1"/>
          <w:sz w:val="22"/>
          <w:szCs w:val="22"/>
        </w:rPr>
        <w:t xml:space="preserve">Indikátor </w:t>
      </w:r>
      <w:r w:rsidR="00A75862" w:rsidRPr="007C64C6">
        <w:rPr>
          <w:b/>
          <w:color w:val="000000" w:themeColor="text1"/>
          <w:sz w:val="22"/>
          <w:szCs w:val="22"/>
        </w:rPr>
        <w:t xml:space="preserve">150109 </w:t>
      </w:r>
      <w:r w:rsidR="00A75862" w:rsidRPr="00906865">
        <w:rPr>
          <w:b/>
          <w:color w:val="000000" w:themeColor="text1"/>
          <w:sz w:val="22"/>
          <w:szCs w:val="22"/>
        </w:rPr>
        <w:t>Podíl registrů napojených na centrální registry</w:t>
      </w:r>
    </w:p>
    <w:p w:rsidR="00172D48" w:rsidRPr="007C64C6" w:rsidRDefault="00172D48" w:rsidP="00906865">
      <w:pPr>
        <w:jc w:val="both"/>
        <w:rPr>
          <w:color w:val="000000" w:themeColor="text1"/>
          <w:sz w:val="22"/>
          <w:szCs w:val="22"/>
        </w:rPr>
      </w:pPr>
      <w:r w:rsidRPr="007C64C6">
        <w:rPr>
          <w:color w:val="000000" w:themeColor="text1"/>
          <w:sz w:val="22"/>
          <w:szCs w:val="22"/>
        </w:rPr>
        <w:t xml:space="preserve">Dosažená hodnota ke dni 31. 12. 2014 je 96,52 %. U tohoto MI došlo ke zvýšení závazku ze schválených projektů z důvodu nových projektů ve výzvě 17, </w:t>
      </w:r>
      <w:r w:rsidR="00906865">
        <w:rPr>
          <w:color w:val="000000" w:themeColor="text1"/>
          <w:sz w:val="22"/>
          <w:szCs w:val="22"/>
        </w:rPr>
        <w:t xml:space="preserve">kde si příjemci zvolili tento indikátor. </w:t>
      </w:r>
      <w:r w:rsidR="00843D8E">
        <w:rPr>
          <w:color w:val="000000" w:themeColor="text1"/>
          <w:sz w:val="22"/>
          <w:szCs w:val="22"/>
        </w:rPr>
        <w:br/>
      </w:r>
      <w:r w:rsidRPr="007C64C6">
        <w:rPr>
          <w:color w:val="000000" w:themeColor="text1"/>
          <w:sz w:val="22"/>
          <w:szCs w:val="22"/>
        </w:rPr>
        <w:t xml:space="preserve">K navýšení podílu dosažené hodnoty k 31. 12. 2014 došlo proto, že se jedná o podílový indikátor </w:t>
      </w:r>
      <w:r w:rsidR="00CD186C">
        <w:rPr>
          <w:color w:val="000000" w:themeColor="text1"/>
          <w:sz w:val="22"/>
          <w:szCs w:val="22"/>
        </w:rPr>
        <w:br/>
      </w:r>
      <w:r w:rsidRPr="007C64C6">
        <w:rPr>
          <w:color w:val="000000" w:themeColor="text1"/>
          <w:sz w:val="22"/>
          <w:szCs w:val="22"/>
        </w:rPr>
        <w:t xml:space="preserve">a byly ukončeny projekty s vysokým podílem na napojení. Po ukončení zbylých projektů dojde ke snížení podílu na úroveň závazku. Plánovaná hodnota v Programovém dokumentu IOP je 75 %. V oblasti intervence 1.1 indikátor vykazuje celkem 14 projektů. </w:t>
      </w:r>
    </w:p>
    <w:p w:rsidR="008D3F0C" w:rsidRPr="007C64C6" w:rsidRDefault="008D3F0C" w:rsidP="00906865">
      <w:pPr>
        <w:jc w:val="both"/>
        <w:rPr>
          <w:color w:val="000000" w:themeColor="text1"/>
          <w:sz w:val="22"/>
          <w:szCs w:val="22"/>
        </w:rPr>
      </w:pPr>
    </w:p>
    <w:p w:rsidR="00A75862" w:rsidRPr="00906865" w:rsidRDefault="00172D48" w:rsidP="00906865">
      <w:pPr>
        <w:jc w:val="both"/>
        <w:rPr>
          <w:b/>
          <w:color w:val="000000" w:themeColor="text1"/>
          <w:sz w:val="22"/>
          <w:szCs w:val="22"/>
        </w:rPr>
      </w:pPr>
      <w:r w:rsidRPr="007C64C6">
        <w:rPr>
          <w:b/>
          <w:color w:val="000000" w:themeColor="text1"/>
          <w:sz w:val="22"/>
          <w:szCs w:val="22"/>
        </w:rPr>
        <w:t xml:space="preserve">Indikátor </w:t>
      </w:r>
      <w:r w:rsidR="00A75862" w:rsidRPr="007C64C6">
        <w:rPr>
          <w:b/>
          <w:color w:val="000000" w:themeColor="text1"/>
          <w:sz w:val="22"/>
          <w:szCs w:val="22"/>
        </w:rPr>
        <w:t xml:space="preserve">150110 </w:t>
      </w:r>
      <w:r w:rsidR="00A75862" w:rsidRPr="00906865">
        <w:rPr>
          <w:b/>
          <w:color w:val="000000" w:themeColor="text1"/>
          <w:sz w:val="22"/>
          <w:szCs w:val="22"/>
        </w:rPr>
        <w:t>Podíl úřadů státní správy využívajících sdílenou KIVS</w:t>
      </w:r>
    </w:p>
    <w:p w:rsidR="00172D48" w:rsidRPr="007C64C6" w:rsidRDefault="00172D48" w:rsidP="00906865">
      <w:pPr>
        <w:jc w:val="both"/>
        <w:rPr>
          <w:color w:val="000000" w:themeColor="text1"/>
          <w:sz w:val="22"/>
          <w:szCs w:val="22"/>
        </w:rPr>
      </w:pPr>
      <w:r w:rsidRPr="007C64C6">
        <w:rPr>
          <w:color w:val="000000" w:themeColor="text1"/>
          <w:sz w:val="22"/>
          <w:szCs w:val="22"/>
        </w:rPr>
        <w:t>Dosažená hodnota ke dni 31. 12. 2014 je 88,8 %, kterou vykázalo 14 ukončených projektů. Ke snížení dosažené hodnoty k 31. 12. 2014 došlo z důvodu, že se jedná o podílový indikátor a byly ukončeny projekty s nízkým podílem. Po ukončení zbylých projektů dojede ke zvýšení podílu na úroveň závazku.</w:t>
      </w:r>
    </w:p>
    <w:p w:rsidR="00172D48" w:rsidRPr="007C64C6" w:rsidRDefault="00172D48" w:rsidP="00906865">
      <w:pPr>
        <w:jc w:val="both"/>
        <w:rPr>
          <w:color w:val="000000" w:themeColor="text1"/>
          <w:sz w:val="22"/>
          <w:szCs w:val="22"/>
        </w:rPr>
      </w:pPr>
      <w:r w:rsidRPr="007C64C6">
        <w:rPr>
          <w:color w:val="000000" w:themeColor="text1"/>
          <w:sz w:val="22"/>
          <w:szCs w:val="22"/>
        </w:rPr>
        <w:t xml:space="preserve">Plánovaná hodnota v Programovém dokumentu IOP je 80 %. Tento indikátor vykazuje celkem </w:t>
      </w:r>
      <w:r w:rsidR="00843D8E">
        <w:rPr>
          <w:color w:val="000000" w:themeColor="text1"/>
          <w:sz w:val="22"/>
          <w:szCs w:val="22"/>
        </w:rPr>
        <w:br/>
      </w:r>
      <w:r w:rsidRPr="007C64C6">
        <w:rPr>
          <w:color w:val="000000" w:themeColor="text1"/>
          <w:sz w:val="22"/>
          <w:szCs w:val="22"/>
        </w:rPr>
        <w:t>17 projektů.</w:t>
      </w:r>
    </w:p>
    <w:p w:rsidR="008D3F0C" w:rsidRPr="007C64C6" w:rsidRDefault="008D3F0C" w:rsidP="00906865">
      <w:pPr>
        <w:jc w:val="both"/>
        <w:rPr>
          <w:color w:val="000000" w:themeColor="text1"/>
          <w:sz w:val="22"/>
          <w:szCs w:val="22"/>
        </w:rPr>
      </w:pPr>
    </w:p>
    <w:p w:rsidR="00A75862" w:rsidRPr="007C64C6" w:rsidRDefault="002450C0" w:rsidP="00906865">
      <w:pPr>
        <w:jc w:val="both"/>
        <w:rPr>
          <w:color w:val="000000" w:themeColor="text1"/>
          <w:sz w:val="22"/>
          <w:szCs w:val="22"/>
        </w:rPr>
      </w:pPr>
      <w:r w:rsidRPr="007C64C6">
        <w:rPr>
          <w:b/>
          <w:color w:val="000000" w:themeColor="text1"/>
          <w:sz w:val="22"/>
          <w:szCs w:val="22"/>
        </w:rPr>
        <w:t xml:space="preserve">Indikátor </w:t>
      </w:r>
      <w:r w:rsidR="00A75862" w:rsidRPr="007C64C6">
        <w:rPr>
          <w:b/>
          <w:color w:val="000000" w:themeColor="text1"/>
          <w:sz w:val="22"/>
          <w:szCs w:val="22"/>
        </w:rPr>
        <w:t xml:space="preserve">150111 </w:t>
      </w:r>
      <w:r w:rsidR="00A75862" w:rsidRPr="00906865">
        <w:rPr>
          <w:b/>
          <w:color w:val="000000" w:themeColor="text1"/>
          <w:sz w:val="22"/>
          <w:szCs w:val="22"/>
        </w:rPr>
        <w:t xml:space="preserve">Podíl resortních a </w:t>
      </w:r>
      <w:proofErr w:type="spellStart"/>
      <w:r w:rsidR="00A75862" w:rsidRPr="00906865">
        <w:rPr>
          <w:b/>
          <w:color w:val="000000" w:themeColor="text1"/>
          <w:sz w:val="22"/>
          <w:szCs w:val="22"/>
        </w:rPr>
        <w:t>agendových</w:t>
      </w:r>
      <w:proofErr w:type="spellEnd"/>
      <w:r w:rsidR="00A75862" w:rsidRPr="00906865">
        <w:rPr>
          <w:b/>
          <w:color w:val="000000" w:themeColor="text1"/>
          <w:sz w:val="22"/>
          <w:szCs w:val="22"/>
        </w:rPr>
        <w:t xml:space="preserve"> portálů provázaných na Portál veřejné správy</w:t>
      </w:r>
    </w:p>
    <w:p w:rsidR="002450C0" w:rsidRPr="007C64C6" w:rsidRDefault="002450C0" w:rsidP="00906865">
      <w:pPr>
        <w:jc w:val="both"/>
        <w:rPr>
          <w:b/>
          <w:i/>
          <w:color w:val="000000" w:themeColor="text1"/>
          <w:sz w:val="22"/>
          <w:szCs w:val="22"/>
        </w:rPr>
      </w:pPr>
      <w:r w:rsidRPr="007C64C6">
        <w:rPr>
          <w:color w:val="000000" w:themeColor="text1"/>
          <w:sz w:val="22"/>
          <w:szCs w:val="22"/>
        </w:rPr>
        <w:t>Dosažená hodnota ke dni 31. 12. 2014 je 78,16 %, která vychází z hodnot uvedených u 5 ukončených projektů. Plánovaná hodnota v Programovém dokumentu IOP je 75 %. V oblasti intervence 1.1 indikátor naplňuje 5 příjemců ústředních orgánů státní správy. Hodnoty uvedeného MI jsou konečné, všechny projekty, které si MI zvolily, byly ukončeny.</w:t>
      </w:r>
    </w:p>
    <w:p w:rsidR="008D3F0C" w:rsidRPr="007C64C6" w:rsidRDefault="008D3F0C" w:rsidP="00906865">
      <w:pPr>
        <w:jc w:val="both"/>
        <w:rPr>
          <w:color w:val="000000" w:themeColor="text1"/>
          <w:sz w:val="22"/>
          <w:szCs w:val="22"/>
        </w:rPr>
      </w:pPr>
    </w:p>
    <w:p w:rsidR="00A75862" w:rsidRPr="007C64C6" w:rsidRDefault="002450C0" w:rsidP="00906865">
      <w:pPr>
        <w:jc w:val="both"/>
        <w:rPr>
          <w:color w:val="000000" w:themeColor="text1"/>
          <w:sz w:val="22"/>
          <w:szCs w:val="22"/>
        </w:rPr>
      </w:pPr>
      <w:r w:rsidRPr="007C64C6">
        <w:rPr>
          <w:b/>
          <w:color w:val="000000" w:themeColor="text1"/>
          <w:sz w:val="22"/>
          <w:szCs w:val="22"/>
        </w:rPr>
        <w:t xml:space="preserve">Indikátor </w:t>
      </w:r>
      <w:r w:rsidR="00A75862" w:rsidRPr="007C64C6">
        <w:rPr>
          <w:b/>
          <w:color w:val="000000" w:themeColor="text1"/>
          <w:sz w:val="22"/>
          <w:szCs w:val="22"/>
        </w:rPr>
        <w:t xml:space="preserve">150112 </w:t>
      </w:r>
      <w:r w:rsidR="00A75862" w:rsidRPr="00906865">
        <w:rPr>
          <w:b/>
          <w:color w:val="000000" w:themeColor="text1"/>
          <w:sz w:val="22"/>
          <w:szCs w:val="22"/>
        </w:rPr>
        <w:t>Podíl digitalizovaných dokumentů</w:t>
      </w:r>
    </w:p>
    <w:p w:rsidR="008D3F0C" w:rsidRPr="007C64C6" w:rsidRDefault="007C64C6" w:rsidP="00906865">
      <w:pPr>
        <w:jc w:val="both"/>
        <w:rPr>
          <w:color w:val="000000" w:themeColor="text1"/>
          <w:sz w:val="22"/>
          <w:szCs w:val="22"/>
        </w:rPr>
      </w:pPr>
      <w:r w:rsidRPr="007C64C6">
        <w:rPr>
          <w:color w:val="000000" w:themeColor="text1"/>
          <w:sz w:val="22"/>
          <w:szCs w:val="22"/>
        </w:rPr>
        <w:t xml:space="preserve">Dosažená hodnota ke dni 31. 12. 2014 je 23, 35 %, kterou vykázalo 6 ukončených projektů. Plánovaná hodnota v Programovém dokumentu IOP je 20 %. Zde došlo ke zvýšení závazku ze schválených projektů, protože si MI zvolily nové projekty ve výzvě 17. Oproti roku 2013 došlo ke snížení dosažené hodnoty, neboť se jedná o podílový indikátor a byly ukončeny projekty s nízkým podílem. Po ukončení zbylých projektů dojde ke zvýšení podílu na úroveň závazku. V oblasti intervence 1.1 indikátor vykázalo celkem 11 příjemců ústředních orgánů státní správy. </w:t>
      </w:r>
    </w:p>
    <w:p w:rsidR="008D3F0C" w:rsidRPr="007C64C6" w:rsidRDefault="008D3F0C" w:rsidP="00906865">
      <w:pPr>
        <w:jc w:val="both"/>
        <w:rPr>
          <w:color w:val="000000" w:themeColor="text1"/>
          <w:sz w:val="22"/>
          <w:szCs w:val="22"/>
        </w:rPr>
      </w:pPr>
    </w:p>
    <w:p w:rsidR="00781319" w:rsidRPr="007C64C6" w:rsidRDefault="002450C0" w:rsidP="00906865">
      <w:pPr>
        <w:jc w:val="both"/>
        <w:rPr>
          <w:color w:val="000000" w:themeColor="text1"/>
          <w:sz w:val="22"/>
          <w:szCs w:val="22"/>
        </w:rPr>
      </w:pPr>
      <w:r w:rsidRPr="007C64C6">
        <w:rPr>
          <w:b/>
          <w:color w:val="000000" w:themeColor="text1"/>
          <w:sz w:val="22"/>
          <w:szCs w:val="22"/>
        </w:rPr>
        <w:t xml:space="preserve">Indikátor </w:t>
      </w:r>
      <w:r w:rsidR="00781319" w:rsidRPr="007C64C6">
        <w:rPr>
          <w:b/>
          <w:color w:val="000000" w:themeColor="text1"/>
          <w:sz w:val="22"/>
          <w:szCs w:val="22"/>
        </w:rPr>
        <w:t xml:space="preserve">150113 </w:t>
      </w:r>
      <w:r w:rsidR="00781319" w:rsidRPr="00906865">
        <w:rPr>
          <w:b/>
          <w:color w:val="000000" w:themeColor="text1"/>
          <w:sz w:val="22"/>
          <w:szCs w:val="22"/>
        </w:rPr>
        <w:t>Podíl úřadů s elektronickou spisovou službou a elektronicky řízeným oběhem dokumentů</w:t>
      </w:r>
    </w:p>
    <w:p w:rsidR="007C64C6" w:rsidRPr="007C64C6" w:rsidRDefault="007C64C6" w:rsidP="00906865">
      <w:pPr>
        <w:jc w:val="both"/>
        <w:rPr>
          <w:color w:val="000000" w:themeColor="text1"/>
          <w:sz w:val="22"/>
          <w:szCs w:val="22"/>
        </w:rPr>
      </w:pPr>
      <w:r w:rsidRPr="007C64C6">
        <w:rPr>
          <w:color w:val="000000" w:themeColor="text1"/>
          <w:sz w:val="22"/>
          <w:szCs w:val="22"/>
        </w:rPr>
        <w:t xml:space="preserve">Dosažená hodnota ke dni 31. 12. 2014 je 100%. Plánovaná hodnota v Programovém dokumentu IOP je 100 %. </w:t>
      </w:r>
      <w:proofErr w:type="gramStart"/>
      <w:r w:rsidRPr="007C64C6">
        <w:rPr>
          <w:color w:val="000000" w:themeColor="text1"/>
          <w:sz w:val="22"/>
          <w:szCs w:val="22"/>
        </w:rPr>
        <w:t>MI</w:t>
      </w:r>
      <w:proofErr w:type="gramEnd"/>
      <w:r w:rsidRPr="007C64C6">
        <w:rPr>
          <w:color w:val="000000" w:themeColor="text1"/>
          <w:sz w:val="22"/>
          <w:szCs w:val="22"/>
        </w:rPr>
        <w:t xml:space="preserve"> po přepočtu vykazuje uvedenou hodnotu, která je konečná.</w:t>
      </w:r>
    </w:p>
    <w:p w:rsidR="003F6E11" w:rsidRPr="007C64C6" w:rsidRDefault="003F6E11" w:rsidP="00906865">
      <w:pPr>
        <w:rPr>
          <w:color w:val="000000" w:themeColor="text1"/>
          <w:sz w:val="22"/>
          <w:szCs w:val="22"/>
        </w:rPr>
      </w:pPr>
    </w:p>
    <w:p w:rsidR="00A75862" w:rsidRPr="007C64C6" w:rsidRDefault="002450C0" w:rsidP="00906865">
      <w:pPr>
        <w:jc w:val="both"/>
        <w:rPr>
          <w:color w:val="000000" w:themeColor="text1"/>
          <w:sz w:val="22"/>
          <w:szCs w:val="22"/>
        </w:rPr>
      </w:pPr>
      <w:r w:rsidRPr="007C64C6">
        <w:rPr>
          <w:b/>
          <w:color w:val="000000" w:themeColor="text1"/>
          <w:sz w:val="22"/>
          <w:szCs w:val="22"/>
        </w:rPr>
        <w:t xml:space="preserve">Indikátor </w:t>
      </w:r>
      <w:r w:rsidR="00A75862" w:rsidRPr="007C64C6">
        <w:rPr>
          <w:b/>
          <w:color w:val="000000" w:themeColor="text1"/>
          <w:sz w:val="22"/>
          <w:szCs w:val="22"/>
        </w:rPr>
        <w:t xml:space="preserve">152105 </w:t>
      </w:r>
      <w:r w:rsidR="00A75862" w:rsidRPr="00906865">
        <w:rPr>
          <w:b/>
          <w:color w:val="000000" w:themeColor="text1"/>
          <w:sz w:val="22"/>
          <w:szCs w:val="22"/>
        </w:rPr>
        <w:t>Snížení administrativního zatížení občanů, podnikatelů a veřejného sektoru</w:t>
      </w:r>
    </w:p>
    <w:p w:rsidR="00B266A0" w:rsidRDefault="007C64C6" w:rsidP="00DB3E3D">
      <w:pPr>
        <w:jc w:val="both"/>
        <w:rPr>
          <w:color w:val="000000" w:themeColor="text1"/>
          <w:sz w:val="22"/>
          <w:szCs w:val="22"/>
        </w:rPr>
      </w:pPr>
      <w:r w:rsidRPr="007C64C6">
        <w:rPr>
          <w:color w:val="000000" w:themeColor="text1"/>
          <w:sz w:val="22"/>
          <w:szCs w:val="22"/>
        </w:rPr>
        <w:t xml:space="preserve">Dosažená hodnota ke dni 31. 12. 2014 je 75 %. Plánovaná hodnota v Programovém dokumentu IOP je 75 %.  </w:t>
      </w:r>
      <w:proofErr w:type="gramStart"/>
      <w:r w:rsidRPr="007C64C6">
        <w:rPr>
          <w:color w:val="000000" w:themeColor="text1"/>
          <w:sz w:val="22"/>
          <w:szCs w:val="22"/>
        </w:rPr>
        <w:t>MI</w:t>
      </w:r>
      <w:proofErr w:type="gramEnd"/>
      <w:r w:rsidRPr="007C64C6">
        <w:rPr>
          <w:color w:val="000000" w:themeColor="text1"/>
          <w:sz w:val="22"/>
          <w:szCs w:val="22"/>
        </w:rPr>
        <w:t xml:space="preserve"> po přepočtu vykazuje uvedenou hodnotu, která je konečná.</w:t>
      </w:r>
    </w:p>
    <w:p w:rsidR="00B266A0" w:rsidRDefault="00B266A0" w:rsidP="00DB3E3D">
      <w:pPr>
        <w:jc w:val="both"/>
        <w:rPr>
          <w:color w:val="000000" w:themeColor="text1"/>
          <w:sz w:val="22"/>
          <w:szCs w:val="22"/>
        </w:rPr>
        <w:sectPr w:rsidR="00B266A0" w:rsidSect="00B266A0">
          <w:pgSz w:w="11906" w:h="16838"/>
          <w:pgMar w:top="1417" w:right="1417" w:bottom="1417" w:left="1417" w:header="708" w:footer="708" w:gutter="0"/>
          <w:pgNumType w:chapStyle="1"/>
          <w:cols w:space="708"/>
          <w:docGrid w:linePitch="272"/>
        </w:sectPr>
      </w:pPr>
    </w:p>
    <w:p w:rsidR="007E7029" w:rsidRPr="00DB3E3D" w:rsidRDefault="007E7029" w:rsidP="00DB3E3D">
      <w:pPr>
        <w:jc w:val="both"/>
        <w:rPr>
          <w:color w:val="000000" w:themeColor="text1"/>
          <w:sz w:val="22"/>
          <w:szCs w:val="22"/>
        </w:rPr>
      </w:pPr>
    </w:p>
    <w:p w:rsidR="00A75862" w:rsidRPr="00DF1073" w:rsidRDefault="00696463" w:rsidP="00FC7D7C">
      <w:pPr>
        <w:pStyle w:val="Tabulkanzev"/>
      </w:pPr>
      <w:bookmarkStart w:id="148" w:name="_Toc416431820"/>
      <w:r w:rsidRPr="00DF1073">
        <w:t xml:space="preserve">Indikátory </w:t>
      </w:r>
      <w:r w:rsidR="00DF1073">
        <w:t>výstupu</w:t>
      </w:r>
      <w:r w:rsidR="008877D9">
        <w:t xml:space="preserve"> v PO 1</w:t>
      </w:r>
      <w:bookmarkEnd w:id="148"/>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82"/>
        <w:gridCol w:w="2829"/>
        <w:gridCol w:w="973"/>
        <w:gridCol w:w="973"/>
        <w:gridCol w:w="973"/>
        <w:gridCol w:w="707"/>
        <w:gridCol w:w="707"/>
        <w:gridCol w:w="710"/>
        <w:gridCol w:w="710"/>
        <w:gridCol w:w="710"/>
        <w:gridCol w:w="710"/>
        <w:gridCol w:w="710"/>
        <w:gridCol w:w="710"/>
        <w:gridCol w:w="894"/>
        <w:gridCol w:w="846"/>
      </w:tblGrid>
      <w:tr w:rsidR="00FF27E9" w:rsidRPr="00DF1073" w:rsidTr="00FF27E9">
        <w:trPr>
          <w:trHeight w:val="1023"/>
        </w:trPr>
        <w:tc>
          <w:tcPr>
            <w:tcW w:w="347"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Kód NČI</w:t>
            </w:r>
          </w:p>
        </w:tc>
        <w:tc>
          <w:tcPr>
            <w:tcW w:w="1000" w:type="pct"/>
            <w:shd w:val="clear" w:color="000000" w:fill="C4D79B"/>
            <w:vAlign w:val="center"/>
            <w:hideMark/>
          </w:tcPr>
          <w:p w:rsidR="00FF27E9" w:rsidRPr="00DF1073" w:rsidRDefault="00FF27E9" w:rsidP="00DF1073">
            <w:pPr>
              <w:jc w:val="center"/>
              <w:rPr>
                <w:b/>
                <w:bCs/>
                <w:color w:val="000000"/>
              </w:rPr>
            </w:pPr>
            <w:r w:rsidRPr="00DF1073">
              <w:rPr>
                <w:b/>
                <w:bCs/>
                <w:color w:val="000000"/>
              </w:rPr>
              <w:t>Název indikátoru</w:t>
            </w:r>
          </w:p>
        </w:tc>
        <w:tc>
          <w:tcPr>
            <w:tcW w:w="344" w:type="pct"/>
            <w:shd w:val="clear" w:color="000000" w:fill="C4D79B"/>
            <w:vAlign w:val="center"/>
            <w:hideMark/>
          </w:tcPr>
          <w:p w:rsidR="00FF27E9" w:rsidRPr="00DF1073" w:rsidRDefault="00FF27E9" w:rsidP="00DF1073">
            <w:pPr>
              <w:jc w:val="center"/>
              <w:rPr>
                <w:b/>
                <w:bCs/>
                <w:color w:val="000000"/>
              </w:rPr>
            </w:pPr>
            <w:r w:rsidRPr="00DF1073">
              <w:rPr>
                <w:b/>
                <w:bCs/>
                <w:color w:val="000000"/>
              </w:rPr>
              <w:t>Měrná jednotka</w:t>
            </w:r>
          </w:p>
        </w:tc>
        <w:tc>
          <w:tcPr>
            <w:tcW w:w="344"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 xml:space="preserve">Zdroj </w:t>
            </w:r>
          </w:p>
        </w:tc>
        <w:tc>
          <w:tcPr>
            <w:tcW w:w="344"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 xml:space="preserve">Hodnota </w:t>
            </w:r>
          </w:p>
        </w:tc>
        <w:tc>
          <w:tcPr>
            <w:tcW w:w="250"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2007</w:t>
            </w:r>
          </w:p>
        </w:tc>
        <w:tc>
          <w:tcPr>
            <w:tcW w:w="250"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2008</w:t>
            </w:r>
          </w:p>
        </w:tc>
        <w:tc>
          <w:tcPr>
            <w:tcW w:w="251"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2009</w:t>
            </w:r>
          </w:p>
        </w:tc>
        <w:tc>
          <w:tcPr>
            <w:tcW w:w="251"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2010</w:t>
            </w:r>
          </w:p>
        </w:tc>
        <w:tc>
          <w:tcPr>
            <w:tcW w:w="251"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2011</w:t>
            </w:r>
          </w:p>
        </w:tc>
        <w:tc>
          <w:tcPr>
            <w:tcW w:w="251"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2012</w:t>
            </w:r>
          </w:p>
        </w:tc>
        <w:tc>
          <w:tcPr>
            <w:tcW w:w="251"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2013</w:t>
            </w:r>
          </w:p>
        </w:tc>
        <w:tc>
          <w:tcPr>
            <w:tcW w:w="251" w:type="pct"/>
            <w:shd w:val="clear" w:color="000000" w:fill="C4D79B"/>
            <w:noWrap/>
            <w:vAlign w:val="center"/>
            <w:hideMark/>
          </w:tcPr>
          <w:p w:rsidR="00FF27E9" w:rsidRPr="00DF1073" w:rsidRDefault="00FF27E9" w:rsidP="00DF1073">
            <w:pPr>
              <w:jc w:val="center"/>
              <w:rPr>
                <w:b/>
                <w:bCs/>
                <w:color w:val="000000"/>
              </w:rPr>
            </w:pPr>
            <w:r w:rsidRPr="00DF1073">
              <w:rPr>
                <w:b/>
                <w:bCs/>
                <w:color w:val="000000"/>
              </w:rPr>
              <w:t>2014</w:t>
            </w:r>
          </w:p>
        </w:tc>
        <w:tc>
          <w:tcPr>
            <w:tcW w:w="316" w:type="pct"/>
            <w:shd w:val="clear" w:color="000000" w:fill="C4D79B"/>
            <w:vAlign w:val="center"/>
            <w:hideMark/>
          </w:tcPr>
          <w:p w:rsidR="00FF27E9" w:rsidRPr="00DF1073" w:rsidRDefault="00FF27E9" w:rsidP="00FF27E9">
            <w:pPr>
              <w:jc w:val="center"/>
              <w:rPr>
                <w:b/>
                <w:bCs/>
                <w:color w:val="000000"/>
              </w:rPr>
            </w:pPr>
            <w:r w:rsidRPr="00DF1073">
              <w:rPr>
                <w:b/>
                <w:bCs/>
                <w:color w:val="000000"/>
              </w:rPr>
              <w:t xml:space="preserve">Cílová hodnota 2015 </w:t>
            </w:r>
          </w:p>
        </w:tc>
        <w:tc>
          <w:tcPr>
            <w:tcW w:w="299" w:type="pct"/>
            <w:shd w:val="clear" w:color="000000" w:fill="C4D79B"/>
            <w:vAlign w:val="center"/>
            <w:hideMark/>
          </w:tcPr>
          <w:p w:rsidR="00FF27E9" w:rsidRPr="00DF1073" w:rsidRDefault="00FF27E9" w:rsidP="00FF27E9">
            <w:pPr>
              <w:jc w:val="center"/>
              <w:rPr>
                <w:b/>
                <w:bCs/>
                <w:color w:val="000000"/>
              </w:rPr>
            </w:pPr>
            <w:r w:rsidRPr="00DF1073">
              <w:rPr>
                <w:b/>
                <w:bCs/>
                <w:color w:val="000000"/>
              </w:rPr>
              <w:t xml:space="preserve">Celkem </w:t>
            </w:r>
          </w:p>
        </w:tc>
      </w:tr>
      <w:tr w:rsidR="00FF27E9" w:rsidRPr="00DF1073" w:rsidTr="005B486B">
        <w:trPr>
          <w:trHeight w:val="361"/>
        </w:trPr>
        <w:tc>
          <w:tcPr>
            <w:tcW w:w="347"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150108</w:t>
            </w:r>
          </w:p>
        </w:tc>
        <w:tc>
          <w:tcPr>
            <w:tcW w:w="1000" w:type="pct"/>
            <w:vMerge w:val="restart"/>
            <w:shd w:val="clear" w:color="000000" w:fill="FFFFFF"/>
            <w:vAlign w:val="center"/>
            <w:hideMark/>
          </w:tcPr>
          <w:p w:rsidR="00FF27E9" w:rsidRPr="00DF1073" w:rsidRDefault="00FF27E9" w:rsidP="005B486B">
            <w:pPr>
              <w:rPr>
                <w:color w:val="000000"/>
                <w:sz w:val="18"/>
                <w:szCs w:val="18"/>
              </w:rPr>
            </w:pPr>
            <w:r w:rsidRPr="00DF1073">
              <w:rPr>
                <w:color w:val="000000"/>
                <w:sz w:val="18"/>
                <w:szCs w:val="18"/>
              </w:rPr>
              <w:t>Nárůst nových plně elektronizovaných agend veřejné správy, metodika EU</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Počet</w:t>
            </w:r>
          </w:p>
        </w:tc>
        <w:tc>
          <w:tcPr>
            <w:tcW w:w="344" w:type="pct"/>
            <w:vMerge w:val="restart"/>
            <w:shd w:val="clear" w:color="auto" w:fill="auto"/>
            <w:vAlign w:val="center"/>
            <w:hideMark/>
          </w:tcPr>
          <w:p w:rsidR="00FF27E9" w:rsidRPr="00DF1073" w:rsidRDefault="00FF27E9" w:rsidP="005B486B">
            <w:pPr>
              <w:rPr>
                <w:color w:val="000000"/>
                <w:sz w:val="18"/>
                <w:szCs w:val="18"/>
              </w:rPr>
            </w:pPr>
            <w:proofErr w:type="spellStart"/>
            <w:r w:rsidRPr="00DF1073">
              <w:rPr>
                <w:color w:val="000000"/>
                <w:sz w:val="18"/>
                <w:szCs w:val="18"/>
              </w:rPr>
              <w:t>Eurostat</w:t>
            </w:r>
            <w:proofErr w:type="spellEnd"/>
          </w:p>
        </w:tc>
        <w:tc>
          <w:tcPr>
            <w:tcW w:w="344" w:type="pct"/>
            <w:shd w:val="clear" w:color="000000" w:fill="FFFFFF"/>
            <w:noWrap/>
            <w:vAlign w:val="bottom"/>
            <w:hideMark/>
          </w:tcPr>
          <w:p w:rsidR="00FF27E9" w:rsidRPr="00DF1073" w:rsidRDefault="00FF27E9" w:rsidP="00DF1073">
            <w:pPr>
              <w:jc w:val="center"/>
              <w:rPr>
                <w:color w:val="000000"/>
                <w:sz w:val="18"/>
                <w:szCs w:val="18"/>
              </w:rPr>
            </w:pPr>
            <w:r w:rsidRPr="00DF1073">
              <w:rPr>
                <w:color w:val="000000"/>
                <w:sz w:val="18"/>
                <w:szCs w:val="18"/>
              </w:rPr>
              <w:t>Dosažená</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6</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6</w:t>
            </w:r>
          </w:p>
        </w:tc>
        <w:tc>
          <w:tcPr>
            <w:tcW w:w="251" w:type="pct"/>
            <w:shd w:val="clear" w:color="000000" w:fill="FFFFFF"/>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FFFFFF"/>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FFFFFF"/>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FFFFFF"/>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FFFFFF"/>
            <w:vAlign w:val="bottom"/>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FFFFFF"/>
            <w:vAlign w:val="bottom"/>
          </w:tcPr>
          <w:p w:rsidR="00FF27E9" w:rsidRPr="00DF1073" w:rsidRDefault="00083273" w:rsidP="00DF1073">
            <w:pPr>
              <w:jc w:val="right"/>
              <w:rPr>
                <w:color w:val="000000"/>
                <w:sz w:val="18"/>
                <w:szCs w:val="18"/>
              </w:rPr>
            </w:pPr>
            <w:r>
              <w:rPr>
                <w:color w:val="000000"/>
                <w:sz w:val="18"/>
                <w:szCs w:val="18"/>
              </w:rPr>
              <w:t>6</w:t>
            </w:r>
          </w:p>
        </w:tc>
        <w:tc>
          <w:tcPr>
            <w:tcW w:w="316"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000000" w:fill="D8E4BC"/>
            <w:noWrap/>
            <w:vAlign w:val="bottom"/>
            <w:hideMark/>
          </w:tcPr>
          <w:p w:rsidR="00FF27E9" w:rsidRPr="00DF1073" w:rsidRDefault="00FF27E9" w:rsidP="00DF1073">
            <w:pPr>
              <w:jc w:val="center"/>
              <w:rPr>
                <w:color w:val="000000"/>
                <w:sz w:val="18"/>
                <w:szCs w:val="18"/>
              </w:rPr>
            </w:pPr>
            <w:r w:rsidRPr="00DF1073">
              <w:rPr>
                <w:color w:val="000000"/>
                <w:sz w:val="18"/>
                <w:szCs w:val="18"/>
              </w:rPr>
              <w:t>Výchozí</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6</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6</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6</w:t>
            </w:r>
          </w:p>
        </w:tc>
        <w:tc>
          <w:tcPr>
            <w:tcW w:w="251" w:type="pct"/>
            <w:shd w:val="clear" w:color="000000" w:fill="D8E4BC"/>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D8E4BC"/>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D8E4BC"/>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D8E4BC"/>
            <w:vAlign w:val="bottom"/>
            <w:hideMark/>
          </w:tcPr>
          <w:p w:rsidR="00FF27E9" w:rsidRPr="00DF1073" w:rsidRDefault="00083273" w:rsidP="00DF1073">
            <w:pPr>
              <w:jc w:val="right"/>
              <w:rPr>
                <w:color w:val="000000"/>
                <w:sz w:val="18"/>
                <w:szCs w:val="18"/>
              </w:rPr>
            </w:pPr>
            <w:r>
              <w:rPr>
                <w:color w:val="000000"/>
                <w:sz w:val="18"/>
                <w:szCs w:val="18"/>
              </w:rPr>
              <w:t>6</w:t>
            </w:r>
          </w:p>
        </w:tc>
        <w:tc>
          <w:tcPr>
            <w:tcW w:w="251" w:type="pct"/>
            <w:shd w:val="clear" w:color="000000" w:fill="D8E4BC"/>
            <w:vAlign w:val="bottom"/>
            <w:hideMark/>
          </w:tcPr>
          <w:p w:rsidR="00FF27E9" w:rsidRPr="00DF1073" w:rsidRDefault="00083273" w:rsidP="00DF1073">
            <w:pPr>
              <w:jc w:val="right"/>
              <w:rPr>
                <w:color w:val="000000"/>
                <w:sz w:val="18"/>
                <w:szCs w:val="18"/>
              </w:rPr>
            </w:pPr>
            <w:r>
              <w:rPr>
                <w:color w:val="000000"/>
                <w:sz w:val="18"/>
                <w:szCs w:val="18"/>
              </w:rPr>
              <w:t>6</w:t>
            </w:r>
          </w:p>
        </w:tc>
        <w:tc>
          <w:tcPr>
            <w:tcW w:w="316"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6</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Plánovaná</w:t>
            </w:r>
          </w:p>
        </w:tc>
        <w:tc>
          <w:tcPr>
            <w:tcW w:w="2006" w:type="pct"/>
            <w:gridSpan w:val="8"/>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 xml:space="preserve">  N/A</w:t>
            </w:r>
          </w:p>
        </w:tc>
        <w:tc>
          <w:tcPr>
            <w:tcW w:w="316"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15</w:t>
            </w:r>
          </w:p>
        </w:tc>
        <w:tc>
          <w:tcPr>
            <w:tcW w:w="299"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15</w:t>
            </w:r>
          </w:p>
        </w:tc>
      </w:tr>
      <w:tr w:rsidR="00FF27E9" w:rsidRPr="00DF1073" w:rsidTr="005B486B">
        <w:trPr>
          <w:trHeight w:val="361"/>
        </w:trPr>
        <w:tc>
          <w:tcPr>
            <w:tcW w:w="347"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150106</w:t>
            </w:r>
          </w:p>
        </w:tc>
        <w:tc>
          <w:tcPr>
            <w:tcW w:w="1000" w:type="pct"/>
            <w:vMerge w:val="restart"/>
            <w:shd w:val="clear" w:color="000000" w:fill="FFFFFF"/>
            <w:vAlign w:val="center"/>
            <w:hideMark/>
          </w:tcPr>
          <w:p w:rsidR="00FF27E9" w:rsidRPr="00DF1073" w:rsidRDefault="00FF27E9" w:rsidP="005B486B">
            <w:pPr>
              <w:rPr>
                <w:color w:val="000000"/>
                <w:sz w:val="18"/>
                <w:szCs w:val="18"/>
              </w:rPr>
            </w:pPr>
            <w:r w:rsidRPr="00DF1073">
              <w:rPr>
                <w:color w:val="000000"/>
                <w:sz w:val="18"/>
                <w:szCs w:val="18"/>
              </w:rPr>
              <w:t>Počet vybudovaných základních registrů veřejné správy</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Počet</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ŘO IOP</w:t>
            </w:r>
          </w:p>
        </w:tc>
        <w:tc>
          <w:tcPr>
            <w:tcW w:w="344" w:type="pct"/>
            <w:shd w:val="clear" w:color="000000" w:fill="FFFFFF"/>
            <w:noWrap/>
            <w:vAlign w:val="bottom"/>
            <w:hideMark/>
          </w:tcPr>
          <w:p w:rsidR="00FF27E9" w:rsidRPr="00DF1073" w:rsidRDefault="00FF27E9" w:rsidP="00DF1073">
            <w:pPr>
              <w:jc w:val="center"/>
              <w:rPr>
                <w:color w:val="000000"/>
                <w:sz w:val="18"/>
                <w:szCs w:val="18"/>
              </w:rPr>
            </w:pPr>
            <w:r w:rsidRPr="00DF1073">
              <w:rPr>
                <w:color w:val="000000"/>
                <w:sz w:val="18"/>
                <w:szCs w:val="18"/>
              </w:rPr>
              <w:t>Dosažená</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5</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5</w:t>
            </w:r>
          </w:p>
        </w:tc>
        <w:tc>
          <w:tcPr>
            <w:tcW w:w="316"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5</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000000" w:fill="D8E4BC"/>
            <w:noWrap/>
            <w:vAlign w:val="bottom"/>
            <w:hideMark/>
          </w:tcPr>
          <w:p w:rsidR="00FF27E9" w:rsidRPr="00DF1073" w:rsidRDefault="00FF27E9" w:rsidP="00DF1073">
            <w:pPr>
              <w:jc w:val="center"/>
              <w:rPr>
                <w:color w:val="000000"/>
                <w:sz w:val="18"/>
                <w:szCs w:val="18"/>
              </w:rPr>
            </w:pPr>
            <w:r w:rsidRPr="00DF1073">
              <w:rPr>
                <w:color w:val="000000"/>
                <w:sz w:val="18"/>
                <w:szCs w:val="18"/>
              </w:rPr>
              <w:t>Výchozí</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5</w:t>
            </w:r>
          </w:p>
        </w:tc>
        <w:tc>
          <w:tcPr>
            <w:tcW w:w="316"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D8E4BC"/>
            <w:noWrap/>
            <w:vAlign w:val="bottom"/>
            <w:hideMark/>
          </w:tcPr>
          <w:p w:rsidR="00FF27E9" w:rsidRPr="00DF1073" w:rsidRDefault="00083273" w:rsidP="00DF1073">
            <w:pPr>
              <w:jc w:val="right"/>
              <w:rPr>
                <w:color w:val="000000"/>
                <w:sz w:val="18"/>
                <w:szCs w:val="18"/>
              </w:rPr>
            </w:pPr>
            <w:r>
              <w:rPr>
                <w:color w:val="000000"/>
                <w:sz w:val="18"/>
                <w:szCs w:val="18"/>
              </w:rPr>
              <w:t>0</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Plánovaná</w:t>
            </w:r>
          </w:p>
        </w:tc>
        <w:tc>
          <w:tcPr>
            <w:tcW w:w="2006" w:type="pct"/>
            <w:gridSpan w:val="8"/>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 xml:space="preserve"> N/A</w:t>
            </w:r>
          </w:p>
        </w:tc>
        <w:tc>
          <w:tcPr>
            <w:tcW w:w="316" w:type="pct"/>
            <w:shd w:val="clear" w:color="auto" w:fill="auto"/>
            <w:noWrap/>
            <w:vAlign w:val="bottom"/>
            <w:hideMark/>
          </w:tcPr>
          <w:p w:rsidR="00FF27E9" w:rsidRPr="00DF1073" w:rsidRDefault="00FF27E9" w:rsidP="00FF27E9">
            <w:pPr>
              <w:jc w:val="right"/>
              <w:rPr>
                <w:color w:val="000000"/>
                <w:sz w:val="18"/>
                <w:szCs w:val="18"/>
              </w:rPr>
            </w:pPr>
            <w:r w:rsidRPr="00DF1073">
              <w:rPr>
                <w:color w:val="000000"/>
                <w:sz w:val="18"/>
                <w:szCs w:val="18"/>
              </w:rPr>
              <w:t> </w:t>
            </w:r>
            <w:r>
              <w:rPr>
                <w:color w:val="000000"/>
                <w:sz w:val="18"/>
                <w:szCs w:val="18"/>
              </w:rPr>
              <w:t>4</w:t>
            </w:r>
          </w:p>
        </w:tc>
        <w:tc>
          <w:tcPr>
            <w:tcW w:w="299" w:type="pct"/>
            <w:shd w:val="clear" w:color="auto" w:fill="auto"/>
            <w:noWrap/>
            <w:vAlign w:val="bottom"/>
            <w:hideMark/>
          </w:tcPr>
          <w:p w:rsidR="00FF27E9" w:rsidRPr="00DF1073" w:rsidRDefault="00FF27E9" w:rsidP="00DF1073">
            <w:pPr>
              <w:jc w:val="right"/>
              <w:rPr>
                <w:color w:val="000000"/>
                <w:sz w:val="18"/>
                <w:szCs w:val="18"/>
              </w:rPr>
            </w:pPr>
            <w:r>
              <w:rPr>
                <w:color w:val="000000"/>
                <w:sz w:val="18"/>
                <w:szCs w:val="18"/>
              </w:rPr>
              <w:t>4</w:t>
            </w:r>
          </w:p>
        </w:tc>
      </w:tr>
      <w:tr w:rsidR="00FF27E9" w:rsidRPr="00DF1073" w:rsidTr="005B486B">
        <w:trPr>
          <w:trHeight w:val="361"/>
        </w:trPr>
        <w:tc>
          <w:tcPr>
            <w:tcW w:w="347"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150109</w:t>
            </w:r>
          </w:p>
        </w:tc>
        <w:tc>
          <w:tcPr>
            <w:tcW w:w="1000" w:type="pct"/>
            <w:vMerge w:val="restart"/>
            <w:shd w:val="clear" w:color="000000" w:fill="FFFFFF"/>
            <w:vAlign w:val="center"/>
            <w:hideMark/>
          </w:tcPr>
          <w:p w:rsidR="00FF27E9" w:rsidRPr="00DF1073" w:rsidRDefault="00FF27E9" w:rsidP="005B486B">
            <w:pPr>
              <w:rPr>
                <w:color w:val="000000"/>
                <w:sz w:val="18"/>
                <w:szCs w:val="18"/>
              </w:rPr>
            </w:pPr>
            <w:r w:rsidRPr="00DF1073">
              <w:rPr>
                <w:color w:val="000000"/>
                <w:sz w:val="18"/>
                <w:szCs w:val="18"/>
              </w:rPr>
              <w:t>Podíl registrů napojených na centrální registry</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ŘO IOP</w:t>
            </w:r>
          </w:p>
        </w:tc>
        <w:tc>
          <w:tcPr>
            <w:tcW w:w="344" w:type="pct"/>
            <w:shd w:val="clear" w:color="000000" w:fill="FFFFFF"/>
            <w:noWrap/>
            <w:vAlign w:val="bottom"/>
            <w:hideMark/>
          </w:tcPr>
          <w:p w:rsidR="00FF27E9" w:rsidRPr="00DF1073" w:rsidRDefault="00FF27E9" w:rsidP="00DF1073">
            <w:pPr>
              <w:jc w:val="center"/>
              <w:rPr>
                <w:color w:val="000000"/>
                <w:sz w:val="18"/>
                <w:szCs w:val="18"/>
              </w:rPr>
            </w:pPr>
            <w:r w:rsidRPr="00DF1073">
              <w:rPr>
                <w:color w:val="000000"/>
                <w:sz w:val="18"/>
                <w:szCs w:val="18"/>
              </w:rPr>
              <w:t>Dosažená</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14,3</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11,63</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96,52</w:t>
            </w:r>
          </w:p>
        </w:tc>
        <w:tc>
          <w:tcPr>
            <w:tcW w:w="316"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96,52</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000000" w:fill="D8E4BC"/>
            <w:noWrap/>
            <w:vAlign w:val="bottom"/>
            <w:hideMark/>
          </w:tcPr>
          <w:p w:rsidR="00FF27E9" w:rsidRPr="00DF1073" w:rsidRDefault="00FF27E9" w:rsidP="00DF1073">
            <w:pPr>
              <w:jc w:val="center"/>
              <w:rPr>
                <w:color w:val="000000"/>
                <w:sz w:val="18"/>
                <w:szCs w:val="18"/>
              </w:rPr>
            </w:pPr>
            <w:r w:rsidRPr="00DF1073">
              <w:rPr>
                <w:color w:val="000000"/>
                <w:sz w:val="18"/>
                <w:szCs w:val="18"/>
              </w:rPr>
              <w:t>Výchozí</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14,30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11,63</w:t>
            </w:r>
          </w:p>
        </w:tc>
        <w:tc>
          <w:tcPr>
            <w:tcW w:w="316"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Plánovaná</w:t>
            </w:r>
          </w:p>
        </w:tc>
        <w:tc>
          <w:tcPr>
            <w:tcW w:w="2006" w:type="pct"/>
            <w:gridSpan w:val="8"/>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 xml:space="preserve"> N/A</w:t>
            </w:r>
          </w:p>
        </w:tc>
        <w:tc>
          <w:tcPr>
            <w:tcW w:w="316"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75</w:t>
            </w:r>
          </w:p>
        </w:tc>
        <w:tc>
          <w:tcPr>
            <w:tcW w:w="299"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75</w:t>
            </w:r>
          </w:p>
        </w:tc>
      </w:tr>
      <w:tr w:rsidR="00FF27E9" w:rsidRPr="00DF1073" w:rsidTr="005B486B">
        <w:trPr>
          <w:trHeight w:val="361"/>
        </w:trPr>
        <w:tc>
          <w:tcPr>
            <w:tcW w:w="347"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150110</w:t>
            </w:r>
          </w:p>
        </w:tc>
        <w:tc>
          <w:tcPr>
            <w:tcW w:w="1000" w:type="pct"/>
            <w:vMerge w:val="restart"/>
            <w:shd w:val="clear" w:color="000000" w:fill="FFFFFF"/>
            <w:vAlign w:val="center"/>
            <w:hideMark/>
          </w:tcPr>
          <w:p w:rsidR="00FF27E9" w:rsidRPr="00DF1073" w:rsidRDefault="00FF27E9" w:rsidP="005B486B">
            <w:pPr>
              <w:rPr>
                <w:color w:val="000000"/>
                <w:sz w:val="18"/>
                <w:szCs w:val="18"/>
              </w:rPr>
            </w:pPr>
            <w:r w:rsidRPr="00DF1073">
              <w:rPr>
                <w:color w:val="000000"/>
                <w:sz w:val="18"/>
                <w:szCs w:val="18"/>
              </w:rPr>
              <w:t>Podíl úřadů státní správy využívajících sdílenou KIVS</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ŘO IOP</w:t>
            </w:r>
          </w:p>
        </w:tc>
        <w:tc>
          <w:tcPr>
            <w:tcW w:w="344" w:type="pct"/>
            <w:shd w:val="clear" w:color="000000" w:fill="FFFFFF"/>
            <w:noWrap/>
            <w:vAlign w:val="bottom"/>
            <w:hideMark/>
          </w:tcPr>
          <w:p w:rsidR="00FF27E9" w:rsidRPr="00DF1073" w:rsidRDefault="00FF27E9" w:rsidP="00DF1073">
            <w:pPr>
              <w:jc w:val="center"/>
              <w:rPr>
                <w:color w:val="000000"/>
                <w:sz w:val="18"/>
                <w:szCs w:val="18"/>
              </w:rPr>
            </w:pPr>
            <w:r w:rsidRPr="00DF1073">
              <w:rPr>
                <w:color w:val="000000"/>
                <w:sz w:val="18"/>
                <w:szCs w:val="18"/>
              </w:rPr>
              <w:t>Dosažená</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10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64,21</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28,00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13,90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25,78</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88,80</w:t>
            </w:r>
          </w:p>
        </w:tc>
        <w:tc>
          <w:tcPr>
            <w:tcW w:w="316"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88,8</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000000" w:fill="D8E4BC"/>
            <w:noWrap/>
            <w:vAlign w:val="bottom"/>
            <w:hideMark/>
          </w:tcPr>
          <w:p w:rsidR="00FF27E9" w:rsidRPr="00DF1073" w:rsidRDefault="00FF27E9" w:rsidP="00DF1073">
            <w:pPr>
              <w:jc w:val="center"/>
              <w:rPr>
                <w:color w:val="000000"/>
                <w:sz w:val="18"/>
                <w:szCs w:val="18"/>
              </w:rPr>
            </w:pPr>
            <w:r w:rsidRPr="00DF1073">
              <w:rPr>
                <w:color w:val="000000"/>
                <w:sz w:val="18"/>
                <w:szCs w:val="18"/>
              </w:rPr>
              <w:t>Výchozí</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10,00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64,21</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28,00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13,90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25,78</w:t>
            </w:r>
          </w:p>
        </w:tc>
        <w:tc>
          <w:tcPr>
            <w:tcW w:w="316"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Plánovaná</w:t>
            </w:r>
          </w:p>
        </w:tc>
        <w:tc>
          <w:tcPr>
            <w:tcW w:w="2006" w:type="pct"/>
            <w:gridSpan w:val="8"/>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N/A </w:t>
            </w:r>
          </w:p>
        </w:tc>
        <w:tc>
          <w:tcPr>
            <w:tcW w:w="316"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80</w:t>
            </w:r>
          </w:p>
        </w:tc>
        <w:tc>
          <w:tcPr>
            <w:tcW w:w="299"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80</w:t>
            </w:r>
          </w:p>
        </w:tc>
      </w:tr>
      <w:tr w:rsidR="00FF27E9" w:rsidRPr="00DF1073" w:rsidTr="005B486B">
        <w:trPr>
          <w:trHeight w:val="361"/>
        </w:trPr>
        <w:tc>
          <w:tcPr>
            <w:tcW w:w="347"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150111</w:t>
            </w:r>
          </w:p>
        </w:tc>
        <w:tc>
          <w:tcPr>
            <w:tcW w:w="1000" w:type="pct"/>
            <w:vMerge w:val="restart"/>
            <w:shd w:val="clear" w:color="000000" w:fill="FFFFFF"/>
            <w:vAlign w:val="center"/>
            <w:hideMark/>
          </w:tcPr>
          <w:p w:rsidR="00FF27E9" w:rsidRPr="00DF1073" w:rsidRDefault="00FF27E9" w:rsidP="005B486B">
            <w:pPr>
              <w:rPr>
                <w:color w:val="000000"/>
                <w:sz w:val="18"/>
                <w:szCs w:val="18"/>
              </w:rPr>
            </w:pPr>
            <w:r w:rsidRPr="00DF1073">
              <w:rPr>
                <w:color w:val="000000"/>
                <w:sz w:val="18"/>
                <w:szCs w:val="18"/>
              </w:rPr>
              <w:t xml:space="preserve">Podíl resortních a </w:t>
            </w:r>
            <w:proofErr w:type="spellStart"/>
            <w:r w:rsidRPr="00DF1073">
              <w:rPr>
                <w:color w:val="000000"/>
                <w:sz w:val="18"/>
                <w:szCs w:val="18"/>
              </w:rPr>
              <w:t>agendových</w:t>
            </w:r>
            <w:proofErr w:type="spellEnd"/>
            <w:r w:rsidRPr="00DF1073">
              <w:rPr>
                <w:color w:val="000000"/>
                <w:sz w:val="18"/>
                <w:szCs w:val="18"/>
              </w:rPr>
              <w:t xml:space="preserve"> portálů provázaných na Portál veřejné správy</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ŘO IOP</w:t>
            </w:r>
          </w:p>
        </w:tc>
        <w:tc>
          <w:tcPr>
            <w:tcW w:w="344" w:type="pct"/>
            <w:shd w:val="clear" w:color="000000" w:fill="FFFFFF"/>
            <w:noWrap/>
            <w:vAlign w:val="bottom"/>
            <w:hideMark/>
          </w:tcPr>
          <w:p w:rsidR="00FF27E9" w:rsidRPr="00DF1073" w:rsidRDefault="00FF27E9" w:rsidP="00DF1073">
            <w:pPr>
              <w:jc w:val="center"/>
              <w:rPr>
                <w:color w:val="000000"/>
                <w:sz w:val="18"/>
                <w:szCs w:val="18"/>
              </w:rPr>
            </w:pPr>
            <w:r w:rsidRPr="00DF1073">
              <w:rPr>
                <w:color w:val="000000"/>
                <w:sz w:val="18"/>
                <w:szCs w:val="18"/>
              </w:rPr>
              <w:t>Dosažená</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19</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19</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34,5</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23,38</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34,50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37,70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75,00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78,16</w:t>
            </w:r>
          </w:p>
        </w:tc>
        <w:tc>
          <w:tcPr>
            <w:tcW w:w="316"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78,16</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000000" w:fill="D8E4BC"/>
            <w:noWrap/>
            <w:vAlign w:val="bottom"/>
            <w:hideMark/>
          </w:tcPr>
          <w:p w:rsidR="00FF27E9" w:rsidRPr="00DF1073" w:rsidRDefault="00FF27E9" w:rsidP="00DF1073">
            <w:pPr>
              <w:jc w:val="center"/>
              <w:rPr>
                <w:color w:val="000000"/>
                <w:sz w:val="18"/>
                <w:szCs w:val="18"/>
              </w:rPr>
            </w:pPr>
            <w:r w:rsidRPr="00DF1073">
              <w:rPr>
                <w:color w:val="000000"/>
                <w:sz w:val="18"/>
                <w:szCs w:val="18"/>
              </w:rPr>
              <w:t>Výchozí</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19</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19</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19</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34,5</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23,38</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34,5</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37,7</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75,00</w:t>
            </w:r>
          </w:p>
        </w:tc>
        <w:tc>
          <w:tcPr>
            <w:tcW w:w="316"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19</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Plánovaná</w:t>
            </w:r>
          </w:p>
        </w:tc>
        <w:tc>
          <w:tcPr>
            <w:tcW w:w="2006" w:type="pct"/>
            <w:gridSpan w:val="8"/>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 xml:space="preserve"> N/A</w:t>
            </w:r>
          </w:p>
        </w:tc>
        <w:tc>
          <w:tcPr>
            <w:tcW w:w="316"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75</w:t>
            </w:r>
          </w:p>
        </w:tc>
        <w:tc>
          <w:tcPr>
            <w:tcW w:w="299"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75</w:t>
            </w:r>
          </w:p>
        </w:tc>
      </w:tr>
      <w:tr w:rsidR="00FF27E9" w:rsidRPr="00DF1073" w:rsidTr="005B486B">
        <w:trPr>
          <w:trHeight w:val="361"/>
        </w:trPr>
        <w:tc>
          <w:tcPr>
            <w:tcW w:w="347"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150112</w:t>
            </w:r>
          </w:p>
        </w:tc>
        <w:tc>
          <w:tcPr>
            <w:tcW w:w="1000" w:type="pct"/>
            <w:vMerge w:val="restart"/>
            <w:shd w:val="clear" w:color="000000" w:fill="FFFFFF"/>
            <w:vAlign w:val="center"/>
            <w:hideMark/>
          </w:tcPr>
          <w:p w:rsidR="00FF27E9" w:rsidRPr="00DF1073" w:rsidRDefault="00FF27E9" w:rsidP="005B486B">
            <w:pPr>
              <w:rPr>
                <w:color w:val="000000"/>
                <w:sz w:val="18"/>
                <w:szCs w:val="18"/>
              </w:rPr>
            </w:pPr>
            <w:r w:rsidRPr="00DF1073">
              <w:rPr>
                <w:color w:val="000000"/>
                <w:sz w:val="18"/>
                <w:szCs w:val="18"/>
              </w:rPr>
              <w:t>Podíl digitalizovaných dokumentů</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ŘO IOP</w:t>
            </w:r>
          </w:p>
        </w:tc>
        <w:tc>
          <w:tcPr>
            <w:tcW w:w="344" w:type="pct"/>
            <w:shd w:val="clear" w:color="000000" w:fill="FFFFFF"/>
            <w:noWrap/>
            <w:vAlign w:val="bottom"/>
            <w:hideMark/>
          </w:tcPr>
          <w:p w:rsidR="00FF27E9" w:rsidRPr="00DF1073" w:rsidRDefault="00FF27E9" w:rsidP="00DF1073">
            <w:pPr>
              <w:jc w:val="center"/>
              <w:rPr>
                <w:color w:val="000000"/>
                <w:sz w:val="18"/>
                <w:szCs w:val="18"/>
              </w:rPr>
            </w:pPr>
            <w:r w:rsidRPr="00DF1073">
              <w:rPr>
                <w:color w:val="000000"/>
                <w:sz w:val="18"/>
                <w:szCs w:val="18"/>
              </w:rPr>
              <w:t>Dosažená</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Pr>
                <w:color w:val="000000"/>
                <w:sz w:val="18"/>
                <w:szCs w:val="18"/>
              </w:rPr>
              <w:t>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2,26</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1,57</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16</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48,67</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23,35</w:t>
            </w:r>
          </w:p>
        </w:tc>
        <w:tc>
          <w:tcPr>
            <w:tcW w:w="316"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23,35</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000000" w:fill="D8E4BC"/>
            <w:noWrap/>
            <w:vAlign w:val="bottom"/>
            <w:hideMark/>
          </w:tcPr>
          <w:p w:rsidR="00FF27E9" w:rsidRPr="00DF1073" w:rsidRDefault="00FF27E9" w:rsidP="00DF1073">
            <w:pPr>
              <w:jc w:val="center"/>
              <w:rPr>
                <w:color w:val="000000"/>
                <w:sz w:val="18"/>
                <w:szCs w:val="18"/>
              </w:rPr>
            </w:pPr>
            <w:r w:rsidRPr="00DF1073">
              <w:rPr>
                <w:color w:val="000000"/>
                <w:sz w:val="18"/>
                <w:szCs w:val="18"/>
              </w:rPr>
              <w:t>Výchozí</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2,26</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1,57</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16</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48,67</w:t>
            </w:r>
          </w:p>
        </w:tc>
        <w:tc>
          <w:tcPr>
            <w:tcW w:w="316"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0</w:t>
            </w:r>
          </w:p>
        </w:tc>
      </w:tr>
      <w:tr w:rsidR="00FF27E9" w:rsidRPr="00DF1073" w:rsidTr="005B486B">
        <w:trPr>
          <w:trHeight w:val="316"/>
        </w:trPr>
        <w:tc>
          <w:tcPr>
            <w:tcW w:w="347" w:type="pct"/>
            <w:vMerge/>
            <w:vAlign w:val="center"/>
            <w:hideMark/>
          </w:tcPr>
          <w:p w:rsidR="00FF27E9" w:rsidRPr="00DF1073" w:rsidRDefault="00FF27E9" w:rsidP="005B486B">
            <w:pPr>
              <w:rPr>
                <w:color w:val="000000"/>
                <w:sz w:val="18"/>
                <w:szCs w:val="18"/>
              </w:rPr>
            </w:pPr>
          </w:p>
        </w:tc>
        <w:tc>
          <w:tcPr>
            <w:tcW w:w="1000"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vMerge/>
            <w:vAlign w:val="center"/>
            <w:hideMark/>
          </w:tcPr>
          <w:p w:rsidR="00FF27E9" w:rsidRPr="00DF1073" w:rsidRDefault="00FF27E9" w:rsidP="005B486B">
            <w:pPr>
              <w:rPr>
                <w:color w:val="000000"/>
                <w:sz w:val="18"/>
                <w:szCs w:val="18"/>
              </w:rPr>
            </w:pPr>
          </w:p>
        </w:tc>
        <w:tc>
          <w:tcPr>
            <w:tcW w:w="344" w:type="pct"/>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Plánovaná</w:t>
            </w:r>
          </w:p>
        </w:tc>
        <w:tc>
          <w:tcPr>
            <w:tcW w:w="2006" w:type="pct"/>
            <w:gridSpan w:val="8"/>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N/A </w:t>
            </w:r>
          </w:p>
        </w:tc>
        <w:tc>
          <w:tcPr>
            <w:tcW w:w="316"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99"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20</w:t>
            </w:r>
          </w:p>
        </w:tc>
      </w:tr>
      <w:tr w:rsidR="00FF27E9" w:rsidRPr="00DF1073" w:rsidTr="005B486B">
        <w:trPr>
          <w:trHeight w:val="361"/>
        </w:trPr>
        <w:tc>
          <w:tcPr>
            <w:tcW w:w="347"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150113</w:t>
            </w:r>
          </w:p>
        </w:tc>
        <w:tc>
          <w:tcPr>
            <w:tcW w:w="1000" w:type="pct"/>
            <w:vMerge w:val="restart"/>
            <w:shd w:val="clear" w:color="000000" w:fill="FFFFFF"/>
            <w:vAlign w:val="center"/>
            <w:hideMark/>
          </w:tcPr>
          <w:p w:rsidR="00FF27E9" w:rsidRPr="00DF1073" w:rsidRDefault="00FF27E9" w:rsidP="005B486B">
            <w:pPr>
              <w:rPr>
                <w:color w:val="000000"/>
                <w:sz w:val="18"/>
                <w:szCs w:val="18"/>
              </w:rPr>
            </w:pPr>
            <w:r w:rsidRPr="00DF1073">
              <w:rPr>
                <w:color w:val="000000"/>
                <w:sz w:val="18"/>
                <w:szCs w:val="18"/>
              </w:rPr>
              <w:t>Podíl úřadů s elektronickou spisovou službou a elektronicky řízeným oběhem dokumentů</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w:t>
            </w:r>
          </w:p>
        </w:tc>
        <w:tc>
          <w:tcPr>
            <w:tcW w:w="344" w:type="pct"/>
            <w:vMerge w:val="restart"/>
            <w:shd w:val="clear" w:color="auto" w:fill="auto"/>
            <w:noWrap/>
            <w:vAlign w:val="center"/>
            <w:hideMark/>
          </w:tcPr>
          <w:p w:rsidR="00FF27E9" w:rsidRPr="00DF1073" w:rsidRDefault="00FF27E9" w:rsidP="005B486B">
            <w:pPr>
              <w:rPr>
                <w:color w:val="000000"/>
                <w:sz w:val="18"/>
                <w:szCs w:val="18"/>
              </w:rPr>
            </w:pPr>
            <w:r w:rsidRPr="00DF1073">
              <w:rPr>
                <w:color w:val="000000"/>
                <w:sz w:val="18"/>
                <w:szCs w:val="18"/>
              </w:rPr>
              <w:t>ŘO IOP</w:t>
            </w:r>
          </w:p>
        </w:tc>
        <w:tc>
          <w:tcPr>
            <w:tcW w:w="344" w:type="pct"/>
            <w:shd w:val="clear" w:color="000000" w:fill="FFFFFF"/>
            <w:noWrap/>
            <w:vAlign w:val="bottom"/>
            <w:hideMark/>
          </w:tcPr>
          <w:p w:rsidR="00FF27E9" w:rsidRPr="00DF1073" w:rsidRDefault="00FF27E9" w:rsidP="00DF1073">
            <w:pPr>
              <w:jc w:val="center"/>
              <w:rPr>
                <w:color w:val="000000"/>
                <w:sz w:val="18"/>
                <w:szCs w:val="18"/>
              </w:rPr>
            </w:pPr>
            <w:r w:rsidRPr="00DF1073">
              <w:rPr>
                <w:color w:val="000000"/>
                <w:sz w:val="18"/>
                <w:szCs w:val="18"/>
              </w:rPr>
              <w:t>Dosažená</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0"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51</w:t>
            </w:r>
          </w:p>
        </w:tc>
        <w:tc>
          <w:tcPr>
            <w:tcW w:w="251" w:type="pct"/>
            <w:shd w:val="clear" w:color="000000" w:fill="FFFFFF"/>
            <w:vAlign w:val="bottom"/>
            <w:hideMark/>
          </w:tcPr>
          <w:p w:rsidR="00FF27E9" w:rsidRPr="00DF1073" w:rsidRDefault="00FF27E9" w:rsidP="00DF1073">
            <w:pPr>
              <w:jc w:val="right"/>
              <w:rPr>
                <w:color w:val="000000"/>
                <w:sz w:val="18"/>
                <w:szCs w:val="18"/>
              </w:rPr>
            </w:pPr>
            <w:r w:rsidRPr="00DF1073">
              <w:rPr>
                <w:color w:val="000000"/>
                <w:sz w:val="18"/>
                <w:szCs w:val="18"/>
              </w:rPr>
              <w:t>100</w:t>
            </w:r>
          </w:p>
        </w:tc>
        <w:tc>
          <w:tcPr>
            <w:tcW w:w="316"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FFFFFF"/>
            <w:noWrap/>
            <w:vAlign w:val="bottom"/>
            <w:hideMark/>
          </w:tcPr>
          <w:p w:rsidR="00FF27E9" w:rsidRPr="00DF1073" w:rsidRDefault="00FF27E9" w:rsidP="00DF1073">
            <w:pPr>
              <w:jc w:val="right"/>
              <w:rPr>
                <w:color w:val="000000"/>
                <w:sz w:val="18"/>
                <w:szCs w:val="18"/>
              </w:rPr>
            </w:pPr>
            <w:r w:rsidRPr="00DF1073">
              <w:rPr>
                <w:color w:val="000000"/>
                <w:sz w:val="18"/>
                <w:szCs w:val="18"/>
              </w:rPr>
              <w:t>100</w:t>
            </w:r>
          </w:p>
        </w:tc>
      </w:tr>
      <w:tr w:rsidR="00FF27E9" w:rsidRPr="00DF1073" w:rsidTr="00FF27E9">
        <w:trPr>
          <w:trHeight w:val="316"/>
        </w:trPr>
        <w:tc>
          <w:tcPr>
            <w:tcW w:w="347" w:type="pct"/>
            <w:vMerge/>
            <w:vAlign w:val="center"/>
            <w:hideMark/>
          </w:tcPr>
          <w:p w:rsidR="00FF27E9" w:rsidRPr="00DF1073" w:rsidRDefault="00FF27E9" w:rsidP="00DF1073">
            <w:pPr>
              <w:rPr>
                <w:color w:val="000000"/>
                <w:sz w:val="18"/>
                <w:szCs w:val="18"/>
              </w:rPr>
            </w:pPr>
          </w:p>
        </w:tc>
        <w:tc>
          <w:tcPr>
            <w:tcW w:w="1000" w:type="pct"/>
            <w:vMerge/>
            <w:vAlign w:val="center"/>
            <w:hideMark/>
          </w:tcPr>
          <w:p w:rsidR="00FF27E9" w:rsidRPr="00DF1073" w:rsidRDefault="00FF27E9" w:rsidP="00DF1073">
            <w:pPr>
              <w:rPr>
                <w:color w:val="000000"/>
                <w:sz w:val="18"/>
                <w:szCs w:val="18"/>
              </w:rPr>
            </w:pPr>
          </w:p>
        </w:tc>
        <w:tc>
          <w:tcPr>
            <w:tcW w:w="344" w:type="pct"/>
            <w:vMerge/>
            <w:vAlign w:val="center"/>
            <w:hideMark/>
          </w:tcPr>
          <w:p w:rsidR="00FF27E9" w:rsidRPr="00DF1073" w:rsidRDefault="00FF27E9" w:rsidP="00DF1073">
            <w:pPr>
              <w:rPr>
                <w:color w:val="000000"/>
                <w:sz w:val="18"/>
                <w:szCs w:val="18"/>
              </w:rPr>
            </w:pPr>
          </w:p>
        </w:tc>
        <w:tc>
          <w:tcPr>
            <w:tcW w:w="344" w:type="pct"/>
            <w:vMerge/>
            <w:vAlign w:val="center"/>
            <w:hideMark/>
          </w:tcPr>
          <w:p w:rsidR="00FF27E9" w:rsidRPr="00DF1073" w:rsidRDefault="00FF27E9" w:rsidP="00DF1073">
            <w:pPr>
              <w:rPr>
                <w:color w:val="000000"/>
                <w:sz w:val="18"/>
                <w:szCs w:val="18"/>
              </w:rPr>
            </w:pPr>
          </w:p>
        </w:tc>
        <w:tc>
          <w:tcPr>
            <w:tcW w:w="344" w:type="pct"/>
            <w:shd w:val="clear" w:color="000000" w:fill="D8E4BC"/>
            <w:noWrap/>
            <w:vAlign w:val="bottom"/>
            <w:hideMark/>
          </w:tcPr>
          <w:p w:rsidR="00FF27E9" w:rsidRPr="00DF1073" w:rsidRDefault="00FF27E9" w:rsidP="00DF1073">
            <w:pPr>
              <w:jc w:val="center"/>
              <w:rPr>
                <w:color w:val="000000"/>
                <w:sz w:val="18"/>
                <w:szCs w:val="18"/>
              </w:rPr>
            </w:pPr>
            <w:r w:rsidRPr="00DF1073">
              <w:rPr>
                <w:color w:val="000000"/>
                <w:sz w:val="18"/>
                <w:szCs w:val="18"/>
              </w:rPr>
              <w:t>Výchozí</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0"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20</w:t>
            </w:r>
          </w:p>
        </w:tc>
        <w:tc>
          <w:tcPr>
            <w:tcW w:w="251" w:type="pct"/>
            <w:shd w:val="clear" w:color="000000" w:fill="D8E4BC"/>
            <w:vAlign w:val="bottom"/>
            <w:hideMark/>
          </w:tcPr>
          <w:p w:rsidR="00FF27E9" w:rsidRPr="00DF1073" w:rsidRDefault="00FF27E9" w:rsidP="00DF1073">
            <w:pPr>
              <w:jc w:val="right"/>
              <w:rPr>
                <w:color w:val="000000"/>
                <w:sz w:val="18"/>
                <w:szCs w:val="18"/>
              </w:rPr>
            </w:pPr>
            <w:r w:rsidRPr="00DF1073">
              <w:rPr>
                <w:color w:val="000000"/>
                <w:sz w:val="18"/>
                <w:szCs w:val="18"/>
              </w:rPr>
              <w:t>51</w:t>
            </w:r>
          </w:p>
        </w:tc>
        <w:tc>
          <w:tcPr>
            <w:tcW w:w="316"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N/A</w:t>
            </w:r>
          </w:p>
        </w:tc>
        <w:tc>
          <w:tcPr>
            <w:tcW w:w="299" w:type="pct"/>
            <w:shd w:val="clear" w:color="000000" w:fill="D8E4BC"/>
            <w:noWrap/>
            <w:vAlign w:val="bottom"/>
            <w:hideMark/>
          </w:tcPr>
          <w:p w:rsidR="00FF27E9" w:rsidRPr="00DF1073" w:rsidRDefault="00FF27E9" w:rsidP="00DF1073">
            <w:pPr>
              <w:jc w:val="right"/>
              <w:rPr>
                <w:color w:val="000000"/>
                <w:sz w:val="18"/>
                <w:szCs w:val="18"/>
              </w:rPr>
            </w:pPr>
            <w:r w:rsidRPr="00DF1073">
              <w:rPr>
                <w:color w:val="000000"/>
                <w:sz w:val="18"/>
                <w:szCs w:val="18"/>
              </w:rPr>
              <w:t>20</w:t>
            </w:r>
          </w:p>
        </w:tc>
      </w:tr>
      <w:tr w:rsidR="00FF27E9" w:rsidRPr="00DF1073" w:rsidTr="00FF27E9">
        <w:trPr>
          <w:trHeight w:val="316"/>
        </w:trPr>
        <w:tc>
          <w:tcPr>
            <w:tcW w:w="347" w:type="pct"/>
            <w:vMerge/>
            <w:vAlign w:val="center"/>
            <w:hideMark/>
          </w:tcPr>
          <w:p w:rsidR="00FF27E9" w:rsidRPr="00DF1073" w:rsidRDefault="00FF27E9" w:rsidP="00DF1073">
            <w:pPr>
              <w:rPr>
                <w:color w:val="000000"/>
                <w:sz w:val="18"/>
                <w:szCs w:val="18"/>
              </w:rPr>
            </w:pPr>
          </w:p>
        </w:tc>
        <w:tc>
          <w:tcPr>
            <w:tcW w:w="1000" w:type="pct"/>
            <w:vMerge/>
            <w:vAlign w:val="center"/>
            <w:hideMark/>
          </w:tcPr>
          <w:p w:rsidR="00FF27E9" w:rsidRPr="00DF1073" w:rsidRDefault="00FF27E9" w:rsidP="00DF1073">
            <w:pPr>
              <w:rPr>
                <w:color w:val="000000"/>
                <w:sz w:val="18"/>
                <w:szCs w:val="18"/>
              </w:rPr>
            </w:pPr>
          </w:p>
        </w:tc>
        <w:tc>
          <w:tcPr>
            <w:tcW w:w="344" w:type="pct"/>
            <w:vMerge/>
            <w:vAlign w:val="center"/>
            <w:hideMark/>
          </w:tcPr>
          <w:p w:rsidR="00FF27E9" w:rsidRPr="00DF1073" w:rsidRDefault="00FF27E9" w:rsidP="00DF1073">
            <w:pPr>
              <w:rPr>
                <w:color w:val="000000"/>
                <w:sz w:val="18"/>
                <w:szCs w:val="18"/>
              </w:rPr>
            </w:pPr>
          </w:p>
        </w:tc>
        <w:tc>
          <w:tcPr>
            <w:tcW w:w="344" w:type="pct"/>
            <w:vMerge/>
            <w:vAlign w:val="center"/>
            <w:hideMark/>
          </w:tcPr>
          <w:p w:rsidR="00FF27E9" w:rsidRPr="00DF1073" w:rsidRDefault="00FF27E9" w:rsidP="00DF1073">
            <w:pPr>
              <w:rPr>
                <w:color w:val="000000"/>
                <w:sz w:val="18"/>
                <w:szCs w:val="18"/>
              </w:rPr>
            </w:pPr>
          </w:p>
        </w:tc>
        <w:tc>
          <w:tcPr>
            <w:tcW w:w="344" w:type="pct"/>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Plánovaná</w:t>
            </w:r>
          </w:p>
        </w:tc>
        <w:tc>
          <w:tcPr>
            <w:tcW w:w="2006" w:type="pct"/>
            <w:gridSpan w:val="8"/>
            <w:shd w:val="clear" w:color="auto" w:fill="auto"/>
            <w:noWrap/>
            <w:vAlign w:val="bottom"/>
            <w:hideMark/>
          </w:tcPr>
          <w:p w:rsidR="00FF27E9" w:rsidRPr="00DF1073" w:rsidRDefault="00FF27E9" w:rsidP="00DF1073">
            <w:pPr>
              <w:jc w:val="center"/>
              <w:rPr>
                <w:color w:val="000000"/>
                <w:sz w:val="18"/>
                <w:szCs w:val="18"/>
              </w:rPr>
            </w:pPr>
            <w:r w:rsidRPr="00DF1073">
              <w:rPr>
                <w:color w:val="000000"/>
                <w:sz w:val="18"/>
                <w:szCs w:val="18"/>
              </w:rPr>
              <w:t>N/A </w:t>
            </w:r>
          </w:p>
        </w:tc>
        <w:tc>
          <w:tcPr>
            <w:tcW w:w="316"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100</w:t>
            </w:r>
          </w:p>
        </w:tc>
        <w:tc>
          <w:tcPr>
            <w:tcW w:w="299" w:type="pct"/>
            <w:shd w:val="clear" w:color="auto" w:fill="auto"/>
            <w:noWrap/>
            <w:vAlign w:val="bottom"/>
            <w:hideMark/>
          </w:tcPr>
          <w:p w:rsidR="00FF27E9" w:rsidRPr="00DF1073" w:rsidRDefault="00FF27E9" w:rsidP="00DF1073">
            <w:pPr>
              <w:jc w:val="right"/>
              <w:rPr>
                <w:color w:val="000000"/>
                <w:sz w:val="18"/>
                <w:szCs w:val="18"/>
              </w:rPr>
            </w:pPr>
            <w:r w:rsidRPr="00DF1073">
              <w:rPr>
                <w:color w:val="000000"/>
                <w:sz w:val="18"/>
                <w:szCs w:val="18"/>
              </w:rPr>
              <w:t>100</w:t>
            </w:r>
          </w:p>
        </w:tc>
      </w:tr>
    </w:tbl>
    <w:p w:rsidR="002D6CF1" w:rsidRPr="00B266A0" w:rsidRDefault="00DF1073" w:rsidP="00AD54CA">
      <w:pPr>
        <w:spacing w:line="276" w:lineRule="auto"/>
        <w:jc w:val="both"/>
        <w:rPr>
          <w:b/>
          <w:i/>
          <w:color w:val="0070C0"/>
          <w:sz w:val="18"/>
          <w:szCs w:val="18"/>
        </w:rPr>
      </w:pPr>
      <w:r w:rsidRPr="00A646BF">
        <w:rPr>
          <w:i/>
          <w:sz w:val="18"/>
          <w:szCs w:val="18"/>
        </w:rPr>
        <w:t xml:space="preserve">Zdroj: MSC 2007 ke dni </w:t>
      </w:r>
      <w:r w:rsidR="00CD186C">
        <w:rPr>
          <w:i/>
          <w:sz w:val="18"/>
          <w:szCs w:val="18"/>
        </w:rPr>
        <w:t>2</w:t>
      </w:r>
      <w:r w:rsidR="00CD186C" w:rsidRPr="00453C61">
        <w:rPr>
          <w:i/>
          <w:sz w:val="18"/>
          <w:szCs w:val="18"/>
        </w:rPr>
        <w:t>. 3. 2015</w:t>
      </w:r>
    </w:p>
    <w:p w:rsidR="002D6CF1" w:rsidRDefault="00FF5869" w:rsidP="00FC7D7C">
      <w:pPr>
        <w:pStyle w:val="Tabulkanzev"/>
      </w:pPr>
      <w:bookmarkStart w:id="149" w:name="_Toc416431821"/>
      <w:r>
        <w:lastRenderedPageBreak/>
        <w:t>Indikátory výsledku</w:t>
      </w:r>
      <w:r w:rsidR="008877D9">
        <w:t xml:space="preserve"> v PO 1</w:t>
      </w:r>
      <w:bookmarkEnd w:id="149"/>
    </w:p>
    <w:tbl>
      <w:tblPr>
        <w:tblW w:w="4995"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82"/>
        <w:gridCol w:w="2826"/>
        <w:gridCol w:w="972"/>
        <w:gridCol w:w="972"/>
        <w:gridCol w:w="972"/>
        <w:gridCol w:w="707"/>
        <w:gridCol w:w="707"/>
        <w:gridCol w:w="709"/>
        <w:gridCol w:w="709"/>
        <w:gridCol w:w="709"/>
        <w:gridCol w:w="709"/>
        <w:gridCol w:w="709"/>
        <w:gridCol w:w="709"/>
        <w:gridCol w:w="893"/>
        <w:gridCol w:w="845"/>
      </w:tblGrid>
      <w:tr w:rsidR="00035173" w:rsidRPr="00FF5869" w:rsidTr="00035173">
        <w:trPr>
          <w:trHeight w:val="763"/>
        </w:trPr>
        <w:tc>
          <w:tcPr>
            <w:tcW w:w="347"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Kód NČI</w:t>
            </w:r>
          </w:p>
        </w:tc>
        <w:tc>
          <w:tcPr>
            <w:tcW w:w="1000" w:type="pct"/>
            <w:shd w:val="clear" w:color="000000" w:fill="C4D79B"/>
            <w:vAlign w:val="center"/>
            <w:hideMark/>
          </w:tcPr>
          <w:p w:rsidR="00035173" w:rsidRPr="00FF5869" w:rsidRDefault="00035173" w:rsidP="00FF5869">
            <w:pPr>
              <w:jc w:val="center"/>
              <w:rPr>
                <w:b/>
                <w:bCs/>
                <w:color w:val="000000"/>
              </w:rPr>
            </w:pPr>
            <w:r w:rsidRPr="00FF5869">
              <w:rPr>
                <w:b/>
                <w:bCs/>
                <w:color w:val="000000"/>
              </w:rPr>
              <w:t>Název indikátoru</w:t>
            </w:r>
          </w:p>
        </w:tc>
        <w:tc>
          <w:tcPr>
            <w:tcW w:w="344" w:type="pct"/>
            <w:shd w:val="clear" w:color="000000" w:fill="C4D79B"/>
            <w:vAlign w:val="center"/>
            <w:hideMark/>
          </w:tcPr>
          <w:p w:rsidR="00035173" w:rsidRPr="00FF5869" w:rsidRDefault="00035173" w:rsidP="00FF5869">
            <w:pPr>
              <w:jc w:val="center"/>
              <w:rPr>
                <w:b/>
                <w:bCs/>
                <w:color w:val="000000"/>
              </w:rPr>
            </w:pPr>
            <w:r w:rsidRPr="00FF5869">
              <w:rPr>
                <w:b/>
                <w:bCs/>
                <w:color w:val="000000"/>
              </w:rPr>
              <w:t>Měrná jednotka</w:t>
            </w:r>
          </w:p>
        </w:tc>
        <w:tc>
          <w:tcPr>
            <w:tcW w:w="344"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 xml:space="preserve">Zdroj </w:t>
            </w:r>
          </w:p>
        </w:tc>
        <w:tc>
          <w:tcPr>
            <w:tcW w:w="344"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 xml:space="preserve">Hodnota </w:t>
            </w:r>
          </w:p>
        </w:tc>
        <w:tc>
          <w:tcPr>
            <w:tcW w:w="250"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2007</w:t>
            </w:r>
          </w:p>
        </w:tc>
        <w:tc>
          <w:tcPr>
            <w:tcW w:w="250"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2008</w:t>
            </w:r>
          </w:p>
        </w:tc>
        <w:tc>
          <w:tcPr>
            <w:tcW w:w="251"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2009</w:t>
            </w:r>
          </w:p>
        </w:tc>
        <w:tc>
          <w:tcPr>
            <w:tcW w:w="251"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2010</w:t>
            </w:r>
          </w:p>
        </w:tc>
        <w:tc>
          <w:tcPr>
            <w:tcW w:w="251"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2011</w:t>
            </w:r>
          </w:p>
        </w:tc>
        <w:tc>
          <w:tcPr>
            <w:tcW w:w="251"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2012</w:t>
            </w:r>
          </w:p>
        </w:tc>
        <w:tc>
          <w:tcPr>
            <w:tcW w:w="251"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2013</w:t>
            </w:r>
          </w:p>
        </w:tc>
        <w:tc>
          <w:tcPr>
            <w:tcW w:w="251" w:type="pct"/>
            <w:shd w:val="clear" w:color="000000" w:fill="C4D79B"/>
            <w:noWrap/>
            <w:vAlign w:val="center"/>
            <w:hideMark/>
          </w:tcPr>
          <w:p w:rsidR="00035173" w:rsidRPr="00FF5869" w:rsidRDefault="00035173" w:rsidP="00FF5869">
            <w:pPr>
              <w:jc w:val="center"/>
              <w:rPr>
                <w:b/>
                <w:bCs/>
                <w:color w:val="000000"/>
              </w:rPr>
            </w:pPr>
            <w:r w:rsidRPr="00FF5869">
              <w:rPr>
                <w:b/>
                <w:bCs/>
                <w:color w:val="000000"/>
              </w:rPr>
              <w:t>2014</w:t>
            </w:r>
          </w:p>
        </w:tc>
        <w:tc>
          <w:tcPr>
            <w:tcW w:w="316" w:type="pct"/>
            <w:shd w:val="clear" w:color="000000" w:fill="C4D79B"/>
            <w:vAlign w:val="center"/>
            <w:hideMark/>
          </w:tcPr>
          <w:p w:rsidR="00035173" w:rsidRPr="00FF5869" w:rsidRDefault="00035173" w:rsidP="0071172C">
            <w:pPr>
              <w:jc w:val="center"/>
              <w:rPr>
                <w:b/>
                <w:bCs/>
                <w:color w:val="000000"/>
              </w:rPr>
            </w:pPr>
            <w:r w:rsidRPr="00FF5869">
              <w:rPr>
                <w:b/>
                <w:bCs/>
                <w:color w:val="000000"/>
              </w:rPr>
              <w:t xml:space="preserve">Cílová hodnota 2015 </w:t>
            </w:r>
          </w:p>
        </w:tc>
        <w:tc>
          <w:tcPr>
            <w:tcW w:w="299" w:type="pct"/>
            <w:shd w:val="clear" w:color="000000" w:fill="C4D79B"/>
            <w:vAlign w:val="center"/>
            <w:hideMark/>
          </w:tcPr>
          <w:p w:rsidR="00035173" w:rsidRPr="00FF5869" w:rsidRDefault="00035173" w:rsidP="0071172C">
            <w:pPr>
              <w:jc w:val="center"/>
              <w:rPr>
                <w:b/>
                <w:bCs/>
                <w:color w:val="000000"/>
              </w:rPr>
            </w:pPr>
            <w:r w:rsidRPr="00FF5869">
              <w:rPr>
                <w:b/>
                <w:bCs/>
                <w:color w:val="000000"/>
              </w:rPr>
              <w:t xml:space="preserve">Celkem </w:t>
            </w:r>
          </w:p>
        </w:tc>
      </w:tr>
      <w:tr w:rsidR="00035173" w:rsidRPr="00FF5869" w:rsidTr="005B486B">
        <w:trPr>
          <w:trHeight w:val="299"/>
        </w:trPr>
        <w:tc>
          <w:tcPr>
            <w:tcW w:w="347" w:type="pct"/>
            <w:vMerge w:val="restart"/>
            <w:shd w:val="clear" w:color="auto" w:fill="auto"/>
            <w:noWrap/>
            <w:vAlign w:val="center"/>
            <w:hideMark/>
          </w:tcPr>
          <w:p w:rsidR="00035173" w:rsidRPr="00FF5869" w:rsidRDefault="00035173" w:rsidP="005B486B">
            <w:pPr>
              <w:rPr>
                <w:color w:val="000000"/>
                <w:sz w:val="18"/>
                <w:szCs w:val="18"/>
              </w:rPr>
            </w:pPr>
            <w:r w:rsidRPr="00FF5869">
              <w:rPr>
                <w:color w:val="000000"/>
                <w:sz w:val="18"/>
                <w:szCs w:val="18"/>
              </w:rPr>
              <w:t>152000</w:t>
            </w:r>
          </w:p>
        </w:tc>
        <w:tc>
          <w:tcPr>
            <w:tcW w:w="1000" w:type="pct"/>
            <w:vMerge w:val="restart"/>
            <w:shd w:val="clear" w:color="000000" w:fill="FFFFFF"/>
            <w:vAlign w:val="center"/>
            <w:hideMark/>
          </w:tcPr>
          <w:p w:rsidR="00035173" w:rsidRPr="00FF5869" w:rsidRDefault="00035173" w:rsidP="005B486B">
            <w:pPr>
              <w:rPr>
                <w:sz w:val="18"/>
                <w:szCs w:val="18"/>
              </w:rPr>
            </w:pPr>
            <w:r w:rsidRPr="00FF5869">
              <w:rPr>
                <w:sz w:val="18"/>
                <w:szCs w:val="18"/>
              </w:rPr>
              <w:t>Dostupnost služeb E-</w:t>
            </w:r>
            <w:proofErr w:type="spellStart"/>
            <w:r w:rsidRPr="00FF5869">
              <w:rPr>
                <w:sz w:val="18"/>
                <w:szCs w:val="18"/>
              </w:rPr>
              <w:t>governmentu</w:t>
            </w:r>
            <w:proofErr w:type="spellEnd"/>
            <w:r w:rsidRPr="00FF5869">
              <w:rPr>
                <w:sz w:val="18"/>
                <w:szCs w:val="18"/>
              </w:rPr>
              <w:t xml:space="preserve"> on line</w:t>
            </w:r>
          </w:p>
        </w:tc>
        <w:tc>
          <w:tcPr>
            <w:tcW w:w="344" w:type="pct"/>
            <w:vMerge w:val="restart"/>
            <w:shd w:val="clear" w:color="auto" w:fill="auto"/>
            <w:noWrap/>
            <w:vAlign w:val="center"/>
            <w:hideMark/>
          </w:tcPr>
          <w:p w:rsidR="00035173" w:rsidRPr="00FF5869" w:rsidRDefault="00035173" w:rsidP="005B486B">
            <w:pPr>
              <w:rPr>
                <w:color w:val="000000"/>
                <w:sz w:val="18"/>
                <w:szCs w:val="18"/>
              </w:rPr>
            </w:pPr>
            <w:r w:rsidRPr="00FF5869">
              <w:rPr>
                <w:color w:val="000000"/>
                <w:sz w:val="18"/>
                <w:szCs w:val="18"/>
              </w:rPr>
              <w:t>%</w:t>
            </w:r>
          </w:p>
        </w:tc>
        <w:tc>
          <w:tcPr>
            <w:tcW w:w="344" w:type="pct"/>
            <w:vMerge w:val="restart"/>
            <w:shd w:val="clear" w:color="auto" w:fill="auto"/>
            <w:vAlign w:val="center"/>
            <w:hideMark/>
          </w:tcPr>
          <w:p w:rsidR="00035173" w:rsidRPr="00FF5869" w:rsidRDefault="00035173" w:rsidP="005B486B">
            <w:pPr>
              <w:rPr>
                <w:color w:val="000000"/>
                <w:sz w:val="18"/>
                <w:szCs w:val="18"/>
              </w:rPr>
            </w:pPr>
            <w:proofErr w:type="spellStart"/>
            <w:r w:rsidRPr="00FF5869">
              <w:rPr>
                <w:color w:val="000000"/>
                <w:sz w:val="18"/>
                <w:szCs w:val="18"/>
              </w:rPr>
              <w:t>Eurostat</w:t>
            </w:r>
            <w:proofErr w:type="spellEnd"/>
          </w:p>
        </w:tc>
        <w:tc>
          <w:tcPr>
            <w:tcW w:w="344" w:type="pct"/>
            <w:shd w:val="clear" w:color="000000" w:fill="FFFFFF"/>
            <w:noWrap/>
            <w:vAlign w:val="bottom"/>
            <w:hideMark/>
          </w:tcPr>
          <w:p w:rsidR="00035173" w:rsidRPr="00FF5869" w:rsidRDefault="00035173" w:rsidP="00FF5869">
            <w:pPr>
              <w:jc w:val="center"/>
              <w:rPr>
                <w:color w:val="000000"/>
                <w:sz w:val="18"/>
                <w:szCs w:val="18"/>
              </w:rPr>
            </w:pPr>
            <w:r w:rsidRPr="00FF5869">
              <w:rPr>
                <w:color w:val="000000"/>
                <w:sz w:val="18"/>
                <w:szCs w:val="18"/>
              </w:rPr>
              <w:t>Dosažená</w:t>
            </w:r>
          </w:p>
        </w:tc>
        <w:tc>
          <w:tcPr>
            <w:tcW w:w="250"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57,5</w:t>
            </w:r>
          </w:p>
        </w:tc>
        <w:tc>
          <w:tcPr>
            <w:tcW w:w="250"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57,5</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62,5</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73,75</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316"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99"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0</w:t>
            </w:r>
          </w:p>
        </w:tc>
      </w:tr>
      <w:tr w:rsidR="00035173" w:rsidRPr="00FF5869" w:rsidTr="005B486B">
        <w:trPr>
          <w:trHeight w:val="314"/>
        </w:trPr>
        <w:tc>
          <w:tcPr>
            <w:tcW w:w="347" w:type="pct"/>
            <w:vMerge/>
            <w:vAlign w:val="center"/>
            <w:hideMark/>
          </w:tcPr>
          <w:p w:rsidR="00035173" w:rsidRPr="00FF5869" w:rsidRDefault="00035173" w:rsidP="005B486B">
            <w:pPr>
              <w:rPr>
                <w:color w:val="000000"/>
                <w:sz w:val="18"/>
                <w:szCs w:val="18"/>
              </w:rPr>
            </w:pPr>
          </w:p>
        </w:tc>
        <w:tc>
          <w:tcPr>
            <w:tcW w:w="1000" w:type="pct"/>
            <w:vMerge/>
            <w:vAlign w:val="center"/>
            <w:hideMark/>
          </w:tcPr>
          <w:p w:rsidR="00035173" w:rsidRPr="00FF5869" w:rsidRDefault="00035173" w:rsidP="005B486B">
            <w:pPr>
              <w:rPr>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shd w:val="clear" w:color="000000" w:fill="D8E4BC"/>
            <w:noWrap/>
            <w:vAlign w:val="bottom"/>
            <w:hideMark/>
          </w:tcPr>
          <w:p w:rsidR="00035173" w:rsidRPr="00FF5869" w:rsidRDefault="00035173" w:rsidP="00FF5869">
            <w:pPr>
              <w:jc w:val="center"/>
              <w:rPr>
                <w:color w:val="000000"/>
                <w:sz w:val="18"/>
                <w:szCs w:val="18"/>
              </w:rPr>
            </w:pPr>
            <w:r w:rsidRPr="00FF5869">
              <w:rPr>
                <w:color w:val="000000"/>
                <w:sz w:val="18"/>
                <w:szCs w:val="18"/>
              </w:rPr>
              <w:t>Výchozí</w:t>
            </w:r>
          </w:p>
        </w:tc>
        <w:tc>
          <w:tcPr>
            <w:tcW w:w="250"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30</w:t>
            </w:r>
          </w:p>
        </w:tc>
        <w:tc>
          <w:tcPr>
            <w:tcW w:w="250" w:type="pct"/>
            <w:shd w:val="clear" w:color="000000" w:fill="D8E4BC"/>
            <w:noWrap/>
            <w:vAlign w:val="bottom"/>
            <w:hideMark/>
          </w:tcPr>
          <w:p w:rsidR="00035173" w:rsidRPr="00FF5869" w:rsidRDefault="00035173" w:rsidP="00FF5869">
            <w:pPr>
              <w:jc w:val="right"/>
              <w:rPr>
                <w:color w:val="000000"/>
                <w:sz w:val="18"/>
                <w:szCs w:val="18"/>
              </w:rPr>
            </w:pPr>
            <w:r>
              <w:rPr>
                <w:color w:val="000000"/>
                <w:sz w:val="18"/>
                <w:szCs w:val="18"/>
              </w:rPr>
              <w:t xml:space="preserve"> </w:t>
            </w:r>
            <w:r w:rsidRPr="00FF5869">
              <w:rPr>
                <w:color w:val="000000"/>
                <w:sz w:val="18"/>
                <w:szCs w:val="18"/>
              </w:rPr>
              <w:t>57,5</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57,5</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62,5</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73,75</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316"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99"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30</w:t>
            </w:r>
          </w:p>
        </w:tc>
      </w:tr>
      <w:tr w:rsidR="00035173" w:rsidRPr="00FF5869" w:rsidTr="005B486B">
        <w:trPr>
          <w:trHeight w:val="299"/>
        </w:trPr>
        <w:tc>
          <w:tcPr>
            <w:tcW w:w="347" w:type="pct"/>
            <w:vMerge/>
            <w:vAlign w:val="center"/>
            <w:hideMark/>
          </w:tcPr>
          <w:p w:rsidR="00035173" w:rsidRPr="00FF5869" w:rsidRDefault="00035173" w:rsidP="005B486B">
            <w:pPr>
              <w:rPr>
                <w:color w:val="000000"/>
                <w:sz w:val="18"/>
                <w:szCs w:val="18"/>
              </w:rPr>
            </w:pPr>
          </w:p>
        </w:tc>
        <w:tc>
          <w:tcPr>
            <w:tcW w:w="1000" w:type="pct"/>
            <w:vMerge/>
            <w:vAlign w:val="center"/>
            <w:hideMark/>
          </w:tcPr>
          <w:p w:rsidR="00035173" w:rsidRPr="00FF5869" w:rsidRDefault="00035173" w:rsidP="005B486B">
            <w:pPr>
              <w:rPr>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shd w:val="clear" w:color="auto" w:fill="auto"/>
            <w:noWrap/>
            <w:vAlign w:val="bottom"/>
            <w:hideMark/>
          </w:tcPr>
          <w:p w:rsidR="00035173" w:rsidRPr="00FF5869" w:rsidRDefault="00035173" w:rsidP="00FF5869">
            <w:pPr>
              <w:jc w:val="center"/>
              <w:rPr>
                <w:color w:val="000000"/>
                <w:sz w:val="18"/>
                <w:szCs w:val="18"/>
              </w:rPr>
            </w:pPr>
            <w:r w:rsidRPr="00FF5869">
              <w:rPr>
                <w:color w:val="000000"/>
                <w:sz w:val="18"/>
                <w:szCs w:val="18"/>
              </w:rPr>
              <w:t>Plánovaná</w:t>
            </w:r>
          </w:p>
        </w:tc>
        <w:tc>
          <w:tcPr>
            <w:tcW w:w="2006" w:type="pct"/>
            <w:gridSpan w:val="8"/>
            <w:shd w:val="clear" w:color="auto" w:fill="auto"/>
            <w:noWrap/>
            <w:vAlign w:val="bottom"/>
            <w:hideMark/>
          </w:tcPr>
          <w:p w:rsidR="00035173" w:rsidRPr="00FF5869" w:rsidRDefault="00035173" w:rsidP="00FF5869">
            <w:pPr>
              <w:jc w:val="center"/>
              <w:rPr>
                <w:color w:val="000000"/>
                <w:sz w:val="18"/>
                <w:szCs w:val="18"/>
              </w:rPr>
            </w:pPr>
            <w:r w:rsidRPr="00FF5869">
              <w:rPr>
                <w:color w:val="000000"/>
                <w:sz w:val="18"/>
                <w:szCs w:val="18"/>
              </w:rPr>
              <w:t>N/A</w:t>
            </w:r>
          </w:p>
        </w:tc>
        <w:tc>
          <w:tcPr>
            <w:tcW w:w="316" w:type="pct"/>
            <w:shd w:val="clear" w:color="auto" w:fill="auto"/>
            <w:noWrap/>
            <w:vAlign w:val="bottom"/>
            <w:hideMark/>
          </w:tcPr>
          <w:p w:rsidR="00035173" w:rsidRPr="00FF5869" w:rsidRDefault="00035173" w:rsidP="00FF5869">
            <w:pPr>
              <w:jc w:val="right"/>
              <w:rPr>
                <w:color w:val="000000"/>
                <w:sz w:val="18"/>
                <w:szCs w:val="18"/>
              </w:rPr>
            </w:pPr>
            <w:r w:rsidRPr="00FF5869">
              <w:rPr>
                <w:color w:val="000000"/>
                <w:sz w:val="18"/>
                <w:szCs w:val="18"/>
              </w:rPr>
              <w:t>75</w:t>
            </w:r>
          </w:p>
        </w:tc>
        <w:tc>
          <w:tcPr>
            <w:tcW w:w="299" w:type="pct"/>
            <w:shd w:val="clear" w:color="auto" w:fill="auto"/>
            <w:noWrap/>
            <w:vAlign w:val="bottom"/>
            <w:hideMark/>
          </w:tcPr>
          <w:p w:rsidR="00035173" w:rsidRPr="00FF5869" w:rsidRDefault="00035173" w:rsidP="00FF5869">
            <w:pPr>
              <w:jc w:val="right"/>
              <w:rPr>
                <w:color w:val="000000"/>
                <w:sz w:val="18"/>
                <w:szCs w:val="18"/>
              </w:rPr>
            </w:pPr>
            <w:r w:rsidRPr="00FF5869">
              <w:rPr>
                <w:color w:val="000000"/>
                <w:sz w:val="18"/>
                <w:szCs w:val="18"/>
              </w:rPr>
              <w:t>75</w:t>
            </w:r>
          </w:p>
        </w:tc>
      </w:tr>
      <w:tr w:rsidR="00035173" w:rsidRPr="00FF5869" w:rsidTr="005B486B">
        <w:trPr>
          <w:trHeight w:val="299"/>
        </w:trPr>
        <w:tc>
          <w:tcPr>
            <w:tcW w:w="347" w:type="pct"/>
            <w:vMerge w:val="restart"/>
            <w:shd w:val="clear" w:color="auto" w:fill="auto"/>
            <w:noWrap/>
            <w:vAlign w:val="center"/>
            <w:hideMark/>
          </w:tcPr>
          <w:p w:rsidR="00035173" w:rsidRPr="00FF5869" w:rsidRDefault="00035173" w:rsidP="005B486B">
            <w:pPr>
              <w:rPr>
                <w:color w:val="000000"/>
                <w:sz w:val="18"/>
                <w:szCs w:val="18"/>
              </w:rPr>
            </w:pPr>
            <w:r w:rsidRPr="00FF5869">
              <w:rPr>
                <w:color w:val="000000"/>
                <w:sz w:val="18"/>
                <w:szCs w:val="18"/>
              </w:rPr>
              <w:t>152001</w:t>
            </w:r>
          </w:p>
        </w:tc>
        <w:tc>
          <w:tcPr>
            <w:tcW w:w="1000" w:type="pct"/>
            <w:vMerge w:val="restart"/>
            <w:shd w:val="clear" w:color="000000" w:fill="FFFFFF"/>
            <w:vAlign w:val="center"/>
            <w:hideMark/>
          </w:tcPr>
          <w:p w:rsidR="00035173" w:rsidRPr="00FF5869" w:rsidRDefault="00035173" w:rsidP="005B486B">
            <w:pPr>
              <w:rPr>
                <w:sz w:val="18"/>
                <w:szCs w:val="18"/>
              </w:rPr>
            </w:pPr>
            <w:r w:rsidRPr="00FF5869">
              <w:rPr>
                <w:sz w:val="18"/>
                <w:szCs w:val="18"/>
              </w:rPr>
              <w:t xml:space="preserve">Občané využívající internet pro komunikaci s veřejnou správou </w:t>
            </w:r>
          </w:p>
        </w:tc>
        <w:tc>
          <w:tcPr>
            <w:tcW w:w="344" w:type="pct"/>
            <w:vMerge w:val="restart"/>
            <w:shd w:val="clear" w:color="auto" w:fill="auto"/>
            <w:noWrap/>
            <w:vAlign w:val="center"/>
            <w:hideMark/>
          </w:tcPr>
          <w:p w:rsidR="00035173" w:rsidRPr="00FF5869" w:rsidRDefault="00035173" w:rsidP="005B486B">
            <w:pPr>
              <w:rPr>
                <w:color w:val="000000"/>
                <w:sz w:val="18"/>
                <w:szCs w:val="18"/>
              </w:rPr>
            </w:pPr>
            <w:r w:rsidRPr="00FF5869">
              <w:rPr>
                <w:color w:val="000000"/>
                <w:sz w:val="18"/>
                <w:szCs w:val="18"/>
              </w:rPr>
              <w:t>%</w:t>
            </w:r>
          </w:p>
        </w:tc>
        <w:tc>
          <w:tcPr>
            <w:tcW w:w="344" w:type="pct"/>
            <w:vMerge w:val="restart"/>
            <w:shd w:val="clear" w:color="auto" w:fill="auto"/>
            <w:noWrap/>
            <w:vAlign w:val="center"/>
            <w:hideMark/>
          </w:tcPr>
          <w:p w:rsidR="00035173" w:rsidRPr="00FF5869" w:rsidRDefault="00035173" w:rsidP="005B486B">
            <w:pPr>
              <w:rPr>
                <w:color w:val="000000"/>
                <w:sz w:val="18"/>
                <w:szCs w:val="18"/>
              </w:rPr>
            </w:pPr>
            <w:proofErr w:type="spellStart"/>
            <w:r w:rsidRPr="00FF5869">
              <w:rPr>
                <w:color w:val="000000"/>
                <w:sz w:val="18"/>
                <w:szCs w:val="18"/>
              </w:rPr>
              <w:t>Eurostat</w:t>
            </w:r>
            <w:proofErr w:type="spellEnd"/>
          </w:p>
        </w:tc>
        <w:tc>
          <w:tcPr>
            <w:tcW w:w="344" w:type="pct"/>
            <w:shd w:val="clear" w:color="000000" w:fill="FFFFFF"/>
            <w:noWrap/>
            <w:vAlign w:val="bottom"/>
            <w:hideMark/>
          </w:tcPr>
          <w:p w:rsidR="00035173" w:rsidRPr="00FF5869" w:rsidRDefault="00035173" w:rsidP="00FF5869">
            <w:pPr>
              <w:jc w:val="center"/>
              <w:rPr>
                <w:color w:val="000000"/>
                <w:sz w:val="18"/>
                <w:szCs w:val="18"/>
              </w:rPr>
            </w:pPr>
            <w:r w:rsidRPr="00FF5869">
              <w:rPr>
                <w:color w:val="000000"/>
                <w:sz w:val="18"/>
                <w:szCs w:val="18"/>
              </w:rPr>
              <w:t>Dosažená</w:t>
            </w:r>
          </w:p>
        </w:tc>
        <w:tc>
          <w:tcPr>
            <w:tcW w:w="250"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15,46</w:t>
            </w:r>
          </w:p>
        </w:tc>
        <w:tc>
          <w:tcPr>
            <w:tcW w:w="250"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18,11</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25,33</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22,43</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39,8</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29,41</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28,4</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28,4</w:t>
            </w:r>
          </w:p>
        </w:tc>
        <w:tc>
          <w:tcPr>
            <w:tcW w:w="316"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99"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28,4</w:t>
            </w:r>
          </w:p>
        </w:tc>
      </w:tr>
      <w:tr w:rsidR="00035173" w:rsidRPr="00FF5869" w:rsidTr="005B486B">
        <w:trPr>
          <w:trHeight w:val="299"/>
        </w:trPr>
        <w:tc>
          <w:tcPr>
            <w:tcW w:w="347" w:type="pct"/>
            <w:vMerge/>
            <w:vAlign w:val="center"/>
            <w:hideMark/>
          </w:tcPr>
          <w:p w:rsidR="00035173" w:rsidRPr="00FF5869" w:rsidRDefault="00035173" w:rsidP="005B486B">
            <w:pPr>
              <w:rPr>
                <w:color w:val="000000"/>
                <w:sz w:val="18"/>
                <w:szCs w:val="18"/>
              </w:rPr>
            </w:pPr>
          </w:p>
        </w:tc>
        <w:tc>
          <w:tcPr>
            <w:tcW w:w="1000" w:type="pct"/>
            <w:vMerge/>
            <w:vAlign w:val="center"/>
            <w:hideMark/>
          </w:tcPr>
          <w:p w:rsidR="00035173" w:rsidRPr="00FF5869" w:rsidRDefault="00035173" w:rsidP="005B486B">
            <w:pPr>
              <w:rPr>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shd w:val="clear" w:color="000000" w:fill="D8E4BC"/>
            <w:noWrap/>
            <w:vAlign w:val="bottom"/>
            <w:hideMark/>
          </w:tcPr>
          <w:p w:rsidR="00035173" w:rsidRPr="00FF5869" w:rsidRDefault="00035173" w:rsidP="00FF5869">
            <w:pPr>
              <w:jc w:val="center"/>
              <w:rPr>
                <w:color w:val="000000"/>
                <w:sz w:val="18"/>
                <w:szCs w:val="18"/>
              </w:rPr>
            </w:pPr>
            <w:r w:rsidRPr="00FF5869">
              <w:rPr>
                <w:color w:val="000000"/>
                <w:sz w:val="18"/>
                <w:szCs w:val="18"/>
              </w:rPr>
              <w:t>Výchozí</w:t>
            </w:r>
          </w:p>
        </w:tc>
        <w:tc>
          <w:tcPr>
            <w:tcW w:w="250"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3,3</w:t>
            </w:r>
          </w:p>
        </w:tc>
        <w:tc>
          <w:tcPr>
            <w:tcW w:w="250"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15,46</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18,11</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25,33</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22,43</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39,8</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29,41</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28,4</w:t>
            </w:r>
          </w:p>
        </w:tc>
        <w:tc>
          <w:tcPr>
            <w:tcW w:w="316"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99"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3,3</w:t>
            </w:r>
          </w:p>
        </w:tc>
      </w:tr>
      <w:tr w:rsidR="00035173" w:rsidRPr="00FF5869" w:rsidTr="005B486B">
        <w:trPr>
          <w:trHeight w:val="299"/>
        </w:trPr>
        <w:tc>
          <w:tcPr>
            <w:tcW w:w="347" w:type="pct"/>
            <w:vMerge/>
            <w:vAlign w:val="center"/>
            <w:hideMark/>
          </w:tcPr>
          <w:p w:rsidR="00035173" w:rsidRPr="00FF5869" w:rsidRDefault="00035173" w:rsidP="005B486B">
            <w:pPr>
              <w:rPr>
                <w:color w:val="000000"/>
                <w:sz w:val="18"/>
                <w:szCs w:val="18"/>
              </w:rPr>
            </w:pPr>
          </w:p>
        </w:tc>
        <w:tc>
          <w:tcPr>
            <w:tcW w:w="1000" w:type="pct"/>
            <w:vMerge/>
            <w:vAlign w:val="center"/>
            <w:hideMark/>
          </w:tcPr>
          <w:p w:rsidR="00035173" w:rsidRPr="00FF5869" w:rsidRDefault="00035173" w:rsidP="005B486B">
            <w:pPr>
              <w:rPr>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vMerge/>
            <w:vAlign w:val="center"/>
            <w:hideMark/>
          </w:tcPr>
          <w:p w:rsidR="00035173" w:rsidRPr="00FF5869" w:rsidRDefault="00035173" w:rsidP="005B486B">
            <w:pPr>
              <w:rPr>
                <w:color w:val="000000"/>
                <w:sz w:val="18"/>
                <w:szCs w:val="18"/>
              </w:rPr>
            </w:pPr>
          </w:p>
        </w:tc>
        <w:tc>
          <w:tcPr>
            <w:tcW w:w="344" w:type="pct"/>
            <w:shd w:val="clear" w:color="auto" w:fill="auto"/>
            <w:noWrap/>
            <w:vAlign w:val="bottom"/>
            <w:hideMark/>
          </w:tcPr>
          <w:p w:rsidR="00035173" w:rsidRPr="00FF5869" w:rsidRDefault="00035173" w:rsidP="00FF5869">
            <w:pPr>
              <w:jc w:val="center"/>
              <w:rPr>
                <w:color w:val="000000"/>
                <w:sz w:val="18"/>
                <w:szCs w:val="18"/>
              </w:rPr>
            </w:pPr>
            <w:r w:rsidRPr="00FF5869">
              <w:rPr>
                <w:color w:val="000000"/>
                <w:sz w:val="18"/>
                <w:szCs w:val="18"/>
              </w:rPr>
              <w:t>Plánovaná</w:t>
            </w:r>
          </w:p>
        </w:tc>
        <w:tc>
          <w:tcPr>
            <w:tcW w:w="2006" w:type="pct"/>
            <w:gridSpan w:val="8"/>
            <w:shd w:val="clear" w:color="auto" w:fill="auto"/>
            <w:noWrap/>
            <w:vAlign w:val="bottom"/>
            <w:hideMark/>
          </w:tcPr>
          <w:p w:rsidR="00035173" w:rsidRPr="00FF5869" w:rsidRDefault="00035173" w:rsidP="00FF5869">
            <w:pPr>
              <w:jc w:val="center"/>
              <w:rPr>
                <w:color w:val="000000"/>
                <w:sz w:val="18"/>
                <w:szCs w:val="18"/>
              </w:rPr>
            </w:pPr>
            <w:r w:rsidRPr="00FF5869">
              <w:rPr>
                <w:color w:val="000000"/>
                <w:sz w:val="18"/>
                <w:szCs w:val="18"/>
              </w:rPr>
              <w:t>N/A</w:t>
            </w:r>
          </w:p>
        </w:tc>
        <w:tc>
          <w:tcPr>
            <w:tcW w:w="316" w:type="pct"/>
            <w:shd w:val="clear" w:color="auto" w:fill="auto"/>
            <w:noWrap/>
            <w:vAlign w:val="bottom"/>
            <w:hideMark/>
          </w:tcPr>
          <w:p w:rsidR="00035173" w:rsidRPr="00FF5869" w:rsidRDefault="00035173" w:rsidP="00FF5869">
            <w:pPr>
              <w:jc w:val="right"/>
              <w:rPr>
                <w:color w:val="000000"/>
                <w:sz w:val="18"/>
                <w:szCs w:val="18"/>
              </w:rPr>
            </w:pPr>
            <w:r w:rsidRPr="00FF5869">
              <w:rPr>
                <w:color w:val="000000"/>
                <w:sz w:val="18"/>
                <w:szCs w:val="18"/>
              </w:rPr>
              <w:t>35</w:t>
            </w:r>
          </w:p>
        </w:tc>
        <w:tc>
          <w:tcPr>
            <w:tcW w:w="299" w:type="pct"/>
            <w:shd w:val="clear" w:color="auto" w:fill="auto"/>
            <w:noWrap/>
            <w:vAlign w:val="bottom"/>
            <w:hideMark/>
          </w:tcPr>
          <w:p w:rsidR="00035173" w:rsidRPr="00FF5869" w:rsidRDefault="00035173" w:rsidP="00FF5869">
            <w:pPr>
              <w:jc w:val="right"/>
              <w:rPr>
                <w:color w:val="000000"/>
                <w:sz w:val="18"/>
                <w:szCs w:val="18"/>
              </w:rPr>
            </w:pPr>
            <w:r w:rsidRPr="00FF5869">
              <w:rPr>
                <w:color w:val="000000"/>
                <w:sz w:val="18"/>
                <w:szCs w:val="18"/>
              </w:rPr>
              <w:t>35</w:t>
            </w:r>
          </w:p>
        </w:tc>
      </w:tr>
      <w:tr w:rsidR="00035173" w:rsidRPr="00FF5869" w:rsidTr="005B486B">
        <w:trPr>
          <w:trHeight w:val="314"/>
        </w:trPr>
        <w:tc>
          <w:tcPr>
            <w:tcW w:w="347" w:type="pct"/>
            <w:vMerge w:val="restart"/>
            <w:shd w:val="clear" w:color="auto" w:fill="auto"/>
            <w:noWrap/>
            <w:vAlign w:val="center"/>
            <w:hideMark/>
          </w:tcPr>
          <w:p w:rsidR="00035173" w:rsidRPr="00FF5869" w:rsidRDefault="00035173" w:rsidP="005B486B">
            <w:pPr>
              <w:rPr>
                <w:color w:val="000000"/>
                <w:sz w:val="18"/>
                <w:szCs w:val="18"/>
              </w:rPr>
            </w:pPr>
            <w:r w:rsidRPr="00FF5869">
              <w:rPr>
                <w:color w:val="000000"/>
                <w:sz w:val="18"/>
                <w:szCs w:val="18"/>
              </w:rPr>
              <w:t>152105</w:t>
            </w:r>
          </w:p>
        </w:tc>
        <w:tc>
          <w:tcPr>
            <w:tcW w:w="1000" w:type="pct"/>
            <w:vMerge w:val="restart"/>
            <w:shd w:val="clear" w:color="000000" w:fill="FFFFFF"/>
            <w:vAlign w:val="center"/>
            <w:hideMark/>
          </w:tcPr>
          <w:p w:rsidR="00035173" w:rsidRPr="00FF5869" w:rsidRDefault="00035173" w:rsidP="005B486B">
            <w:pPr>
              <w:rPr>
                <w:sz w:val="18"/>
                <w:szCs w:val="18"/>
              </w:rPr>
            </w:pPr>
            <w:r w:rsidRPr="00FF5869">
              <w:rPr>
                <w:sz w:val="18"/>
                <w:szCs w:val="18"/>
              </w:rPr>
              <w:t>Snížení administrativního zatížení občanů, podnikatelů a veřejného sektoru</w:t>
            </w:r>
          </w:p>
        </w:tc>
        <w:tc>
          <w:tcPr>
            <w:tcW w:w="344" w:type="pct"/>
            <w:vMerge w:val="restart"/>
            <w:shd w:val="clear" w:color="auto" w:fill="auto"/>
            <w:noWrap/>
            <w:vAlign w:val="center"/>
            <w:hideMark/>
          </w:tcPr>
          <w:p w:rsidR="00035173" w:rsidRPr="00FF5869" w:rsidRDefault="00035173" w:rsidP="005B486B">
            <w:pPr>
              <w:rPr>
                <w:color w:val="000000"/>
                <w:sz w:val="18"/>
                <w:szCs w:val="18"/>
              </w:rPr>
            </w:pPr>
            <w:r w:rsidRPr="00FF5869">
              <w:rPr>
                <w:color w:val="000000"/>
                <w:sz w:val="18"/>
                <w:szCs w:val="18"/>
              </w:rPr>
              <w:t>%</w:t>
            </w:r>
          </w:p>
        </w:tc>
        <w:tc>
          <w:tcPr>
            <w:tcW w:w="344" w:type="pct"/>
            <w:vMerge w:val="restart"/>
            <w:shd w:val="clear" w:color="auto" w:fill="auto"/>
            <w:noWrap/>
            <w:vAlign w:val="center"/>
            <w:hideMark/>
          </w:tcPr>
          <w:p w:rsidR="00035173" w:rsidRPr="00FF5869" w:rsidRDefault="00035173" w:rsidP="005B486B">
            <w:pPr>
              <w:rPr>
                <w:color w:val="000000"/>
                <w:sz w:val="18"/>
                <w:szCs w:val="18"/>
              </w:rPr>
            </w:pPr>
            <w:r w:rsidRPr="00FF5869">
              <w:rPr>
                <w:color w:val="000000"/>
                <w:sz w:val="18"/>
                <w:szCs w:val="18"/>
              </w:rPr>
              <w:t>ŘO IOP</w:t>
            </w:r>
          </w:p>
        </w:tc>
        <w:tc>
          <w:tcPr>
            <w:tcW w:w="344" w:type="pct"/>
            <w:shd w:val="clear" w:color="000000" w:fill="FFFFFF"/>
            <w:noWrap/>
            <w:vAlign w:val="bottom"/>
            <w:hideMark/>
          </w:tcPr>
          <w:p w:rsidR="00035173" w:rsidRPr="00FF5869" w:rsidRDefault="00035173" w:rsidP="00FF5869">
            <w:pPr>
              <w:jc w:val="center"/>
              <w:rPr>
                <w:color w:val="000000"/>
                <w:sz w:val="18"/>
                <w:szCs w:val="18"/>
              </w:rPr>
            </w:pPr>
            <w:r w:rsidRPr="00FF5869">
              <w:rPr>
                <w:color w:val="000000"/>
                <w:sz w:val="18"/>
                <w:szCs w:val="18"/>
              </w:rPr>
              <w:t>Dosažená</w:t>
            </w:r>
          </w:p>
        </w:tc>
        <w:tc>
          <w:tcPr>
            <w:tcW w:w="250"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0"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95,65</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83,5</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92,67</w:t>
            </w:r>
          </w:p>
        </w:tc>
        <w:tc>
          <w:tcPr>
            <w:tcW w:w="251" w:type="pct"/>
            <w:shd w:val="clear" w:color="000000" w:fill="FFFFFF"/>
            <w:vAlign w:val="bottom"/>
            <w:hideMark/>
          </w:tcPr>
          <w:p w:rsidR="00035173" w:rsidRPr="00FF5869" w:rsidRDefault="00035173" w:rsidP="00FF5869">
            <w:pPr>
              <w:jc w:val="right"/>
              <w:rPr>
                <w:color w:val="000000"/>
                <w:sz w:val="18"/>
                <w:szCs w:val="18"/>
              </w:rPr>
            </w:pPr>
            <w:r w:rsidRPr="00FF5869">
              <w:rPr>
                <w:color w:val="000000"/>
                <w:sz w:val="18"/>
                <w:szCs w:val="18"/>
              </w:rPr>
              <w:t>75</w:t>
            </w:r>
          </w:p>
        </w:tc>
        <w:tc>
          <w:tcPr>
            <w:tcW w:w="316" w:type="pct"/>
            <w:shd w:val="clear" w:color="000000" w:fill="FFFFFF"/>
            <w:noWrap/>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99" w:type="pct"/>
            <w:shd w:val="clear" w:color="000000" w:fill="FFFFFF"/>
            <w:noWrap/>
            <w:vAlign w:val="bottom"/>
            <w:hideMark/>
          </w:tcPr>
          <w:p w:rsidR="00035173" w:rsidRPr="00FF5869" w:rsidRDefault="00035173" w:rsidP="00FF5869">
            <w:pPr>
              <w:jc w:val="right"/>
              <w:rPr>
                <w:color w:val="000000"/>
                <w:sz w:val="18"/>
                <w:szCs w:val="18"/>
              </w:rPr>
            </w:pPr>
            <w:r>
              <w:rPr>
                <w:color w:val="000000"/>
                <w:sz w:val="18"/>
                <w:szCs w:val="18"/>
              </w:rPr>
              <w:t>75</w:t>
            </w:r>
          </w:p>
        </w:tc>
      </w:tr>
      <w:tr w:rsidR="00035173" w:rsidRPr="00FF5869" w:rsidTr="00035173">
        <w:trPr>
          <w:trHeight w:val="299"/>
        </w:trPr>
        <w:tc>
          <w:tcPr>
            <w:tcW w:w="347" w:type="pct"/>
            <w:vMerge/>
            <w:vAlign w:val="center"/>
            <w:hideMark/>
          </w:tcPr>
          <w:p w:rsidR="00035173" w:rsidRPr="00FF5869" w:rsidRDefault="00035173" w:rsidP="00FF5869">
            <w:pPr>
              <w:rPr>
                <w:color w:val="000000"/>
                <w:sz w:val="18"/>
                <w:szCs w:val="18"/>
              </w:rPr>
            </w:pPr>
          </w:p>
        </w:tc>
        <w:tc>
          <w:tcPr>
            <w:tcW w:w="1000" w:type="pct"/>
            <w:vMerge/>
            <w:vAlign w:val="center"/>
            <w:hideMark/>
          </w:tcPr>
          <w:p w:rsidR="00035173" w:rsidRPr="00FF5869" w:rsidRDefault="00035173" w:rsidP="00FF5869">
            <w:pPr>
              <w:rPr>
                <w:sz w:val="18"/>
                <w:szCs w:val="18"/>
              </w:rPr>
            </w:pPr>
          </w:p>
        </w:tc>
        <w:tc>
          <w:tcPr>
            <w:tcW w:w="344" w:type="pct"/>
            <w:vMerge/>
            <w:vAlign w:val="center"/>
            <w:hideMark/>
          </w:tcPr>
          <w:p w:rsidR="00035173" w:rsidRPr="00FF5869" w:rsidRDefault="00035173" w:rsidP="00FF5869">
            <w:pPr>
              <w:rPr>
                <w:color w:val="000000"/>
                <w:sz w:val="18"/>
                <w:szCs w:val="18"/>
              </w:rPr>
            </w:pPr>
          </w:p>
        </w:tc>
        <w:tc>
          <w:tcPr>
            <w:tcW w:w="344" w:type="pct"/>
            <w:vMerge/>
            <w:vAlign w:val="center"/>
            <w:hideMark/>
          </w:tcPr>
          <w:p w:rsidR="00035173" w:rsidRPr="00FF5869" w:rsidRDefault="00035173" w:rsidP="00FF5869">
            <w:pPr>
              <w:rPr>
                <w:color w:val="000000"/>
                <w:sz w:val="18"/>
                <w:szCs w:val="18"/>
              </w:rPr>
            </w:pPr>
          </w:p>
        </w:tc>
        <w:tc>
          <w:tcPr>
            <w:tcW w:w="344" w:type="pct"/>
            <w:shd w:val="clear" w:color="000000" w:fill="D8E4BC"/>
            <w:noWrap/>
            <w:vAlign w:val="bottom"/>
            <w:hideMark/>
          </w:tcPr>
          <w:p w:rsidR="00035173" w:rsidRPr="00FF5869" w:rsidRDefault="00035173" w:rsidP="00FF5869">
            <w:pPr>
              <w:jc w:val="center"/>
              <w:rPr>
                <w:color w:val="000000"/>
                <w:sz w:val="18"/>
                <w:szCs w:val="18"/>
              </w:rPr>
            </w:pPr>
            <w:r w:rsidRPr="00FF5869">
              <w:rPr>
                <w:color w:val="000000"/>
                <w:sz w:val="18"/>
                <w:szCs w:val="18"/>
              </w:rPr>
              <w:t>Výchozí</w:t>
            </w:r>
          </w:p>
        </w:tc>
        <w:tc>
          <w:tcPr>
            <w:tcW w:w="250"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0"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100</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95,65</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83,5</w:t>
            </w:r>
          </w:p>
        </w:tc>
        <w:tc>
          <w:tcPr>
            <w:tcW w:w="251" w:type="pct"/>
            <w:shd w:val="clear" w:color="000000" w:fill="D8E4BC"/>
            <w:vAlign w:val="bottom"/>
            <w:hideMark/>
          </w:tcPr>
          <w:p w:rsidR="00035173" w:rsidRPr="00FF5869" w:rsidRDefault="00035173" w:rsidP="00FF5869">
            <w:pPr>
              <w:jc w:val="right"/>
              <w:rPr>
                <w:color w:val="000000"/>
                <w:sz w:val="18"/>
                <w:szCs w:val="18"/>
              </w:rPr>
            </w:pPr>
            <w:r w:rsidRPr="00FF5869">
              <w:rPr>
                <w:color w:val="000000"/>
                <w:sz w:val="18"/>
                <w:szCs w:val="18"/>
              </w:rPr>
              <w:t>92,67</w:t>
            </w:r>
          </w:p>
        </w:tc>
        <w:tc>
          <w:tcPr>
            <w:tcW w:w="316"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N/A</w:t>
            </w:r>
          </w:p>
        </w:tc>
        <w:tc>
          <w:tcPr>
            <w:tcW w:w="299" w:type="pct"/>
            <w:shd w:val="clear" w:color="000000" w:fill="D8E4BC"/>
            <w:noWrap/>
            <w:vAlign w:val="bottom"/>
            <w:hideMark/>
          </w:tcPr>
          <w:p w:rsidR="00035173" w:rsidRPr="00FF5869" w:rsidRDefault="00035173" w:rsidP="00FF5869">
            <w:pPr>
              <w:jc w:val="right"/>
              <w:rPr>
                <w:color w:val="000000"/>
                <w:sz w:val="18"/>
                <w:szCs w:val="18"/>
              </w:rPr>
            </w:pPr>
            <w:r w:rsidRPr="00FF5869">
              <w:rPr>
                <w:color w:val="000000"/>
                <w:sz w:val="18"/>
                <w:szCs w:val="18"/>
              </w:rPr>
              <w:t>100</w:t>
            </w:r>
          </w:p>
        </w:tc>
      </w:tr>
      <w:tr w:rsidR="00035173" w:rsidRPr="00FF5869" w:rsidTr="00035173">
        <w:trPr>
          <w:trHeight w:val="299"/>
        </w:trPr>
        <w:tc>
          <w:tcPr>
            <w:tcW w:w="347" w:type="pct"/>
            <w:vMerge/>
            <w:vAlign w:val="center"/>
            <w:hideMark/>
          </w:tcPr>
          <w:p w:rsidR="00035173" w:rsidRPr="00FF5869" w:rsidRDefault="00035173" w:rsidP="00FF5869">
            <w:pPr>
              <w:rPr>
                <w:color w:val="000000"/>
                <w:sz w:val="18"/>
                <w:szCs w:val="18"/>
              </w:rPr>
            </w:pPr>
          </w:p>
        </w:tc>
        <w:tc>
          <w:tcPr>
            <w:tcW w:w="1000" w:type="pct"/>
            <w:vMerge/>
            <w:vAlign w:val="center"/>
            <w:hideMark/>
          </w:tcPr>
          <w:p w:rsidR="00035173" w:rsidRPr="00FF5869" w:rsidRDefault="00035173" w:rsidP="00FF5869">
            <w:pPr>
              <w:rPr>
                <w:sz w:val="18"/>
                <w:szCs w:val="18"/>
              </w:rPr>
            </w:pPr>
          </w:p>
        </w:tc>
        <w:tc>
          <w:tcPr>
            <w:tcW w:w="344" w:type="pct"/>
            <w:vMerge/>
            <w:vAlign w:val="center"/>
            <w:hideMark/>
          </w:tcPr>
          <w:p w:rsidR="00035173" w:rsidRPr="00FF5869" w:rsidRDefault="00035173" w:rsidP="00FF5869">
            <w:pPr>
              <w:rPr>
                <w:color w:val="000000"/>
                <w:sz w:val="18"/>
                <w:szCs w:val="18"/>
              </w:rPr>
            </w:pPr>
          </w:p>
        </w:tc>
        <w:tc>
          <w:tcPr>
            <w:tcW w:w="344" w:type="pct"/>
            <w:vMerge/>
            <w:vAlign w:val="center"/>
            <w:hideMark/>
          </w:tcPr>
          <w:p w:rsidR="00035173" w:rsidRPr="00FF5869" w:rsidRDefault="00035173" w:rsidP="00FF5869">
            <w:pPr>
              <w:rPr>
                <w:color w:val="000000"/>
                <w:sz w:val="18"/>
                <w:szCs w:val="18"/>
              </w:rPr>
            </w:pPr>
          </w:p>
        </w:tc>
        <w:tc>
          <w:tcPr>
            <w:tcW w:w="344" w:type="pct"/>
            <w:shd w:val="clear" w:color="auto" w:fill="auto"/>
            <w:noWrap/>
            <w:vAlign w:val="bottom"/>
            <w:hideMark/>
          </w:tcPr>
          <w:p w:rsidR="00035173" w:rsidRPr="00FF5869" w:rsidRDefault="00035173" w:rsidP="00FF5869">
            <w:pPr>
              <w:jc w:val="center"/>
              <w:rPr>
                <w:color w:val="000000"/>
                <w:sz w:val="18"/>
                <w:szCs w:val="18"/>
              </w:rPr>
            </w:pPr>
            <w:r w:rsidRPr="00FF5869">
              <w:rPr>
                <w:color w:val="000000"/>
                <w:sz w:val="18"/>
                <w:szCs w:val="18"/>
              </w:rPr>
              <w:t>Plánovaná</w:t>
            </w:r>
          </w:p>
        </w:tc>
        <w:tc>
          <w:tcPr>
            <w:tcW w:w="2006" w:type="pct"/>
            <w:gridSpan w:val="8"/>
            <w:shd w:val="clear" w:color="auto" w:fill="auto"/>
            <w:noWrap/>
            <w:vAlign w:val="bottom"/>
            <w:hideMark/>
          </w:tcPr>
          <w:p w:rsidR="00035173" w:rsidRPr="00FF5869" w:rsidRDefault="00035173" w:rsidP="00FF5869">
            <w:pPr>
              <w:jc w:val="center"/>
              <w:rPr>
                <w:color w:val="000000"/>
                <w:sz w:val="18"/>
                <w:szCs w:val="18"/>
              </w:rPr>
            </w:pPr>
            <w:r w:rsidRPr="00FF5869">
              <w:rPr>
                <w:color w:val="000000"/>
                <w:sz w:val="18"/>
                <w:szCs w:val="18"/>
              </w:rPr>
              <w:t>N/A</w:t>
            </w:r>
          </w:p>
        </w:tc>
        <w:tc>
          <w:tcPr>
            <w:tcW w:w="316" w:type="pct"/>
            <w:shd w:val="clear" w:color="auto" w:fill="auto"/>
            <w:noWrap/>
            <w:vAlign w:val="bottom"/>
            <w:hideMark/>
          </w:tcPr>
          <w:p w:rsidR="00035173" w:rsidRPr="00FF5869" w:rsidRDefault="00035173" w:rsidP="00FF5869">
            <w:pPr>
              <w:jc w:val="right"/>
              <w:rPr>
                <w:color w:val="000000"/>
                <w:sz w:val="18"/>
                <w:szCs w:val="18"/>
              </w:rPr>
            </w:pPr>
            <w:r w:rsidRPr="00FF5869">
              <w:rPr>
                <w:color w:val="000000"/>
                <w:sz w:val="18"/>
                <w:szCs w:val="18"/>
              </w:rPr>
              <w:t>75</w:t>
            </w:r>
          </w:p>
        </w:tc>
        <w:tc>
          <w:tcPr>
            <w:tcW w:w="299" w:type="pct"/>
            <w:shd w:val="clear" w:color="auto" w:fill="auto"/>
            <w:noWrap/>
            <w:vAlign w:val="bottom"/>
            <w:hideMark/>
          </w:tcPr>
          <w:p w:rsidR="00035173" w:rsidRPr="00FF5869" w:rsidRDefault="00035173" w:rsidP="00FF5869">
            <w:pPr>
              <w:jc w:val="right"/>
              <w:rPr>
                <w:color w:val="000000"/>
                <w:sz w:val="18"/>
                <w:szCs w:val="18"/>
              </w:rPr>
            </w:pPr>
            <w:r w:rsidRPr="00FF5869">
              <w:rPr>
                <w:color w:val="000000"/>
                <w:sz w:val="18"/>
                <w:szCs w:val="18"/>
              </w:rPr>
              <w:t>75</w:t>
            </w:r>
          </w:p>
        </w:tc>
      </w:tr>
    </w:tbl>
    <w:p w:rsidR="00453C61" w:rsidRPr="009026D3" w:rsidRDefault="00453C61" w:rsidP="00453C61">
      <w:pPr>
        <w:spacing w:line="276" w:lineRule="auto"/>
        <w:jc w:val="both"/>
        <w:rPr>
          <w:b/>
          <w:i/>
          <w:color w:val="0070C0"/>
          <w:sz w:val="18"/>
          <w:szCs w:val="18"/>
        </w:rPr>
      </w:pPr>
      <w:r w:rsidRPr="00B00087">
        <w:rPr>
          <w:i/>
          <w:sz w:val="18"/>
          <w:szCs w:val="18"/>
        </w:rPr>
        <w:t xml:space="preserve">Zdroj: MSC 2007 ke dni </w:t>
      </w:r>
      <w:r w:rsidR="00843D8E">
        <w:rPr>
          <w:i/>
          <w:sz w:val="18"/>
          <w:szCs w:val="18"/>
        </w:rPr>
        <w:t>2</w:t>
      </w:r>
      <w:r w:rsidR="00843D8E" w:rsidRPr="00453C61">
        <w:rPr>
          <w:i/>
          <w:sz w:val="18"/>
          <w:szCs w:val="18"/>
        </w:rPr>
        <w:t>. 3. 2015</w:t>
      </w:r>
    </w:p>
    <w:p w:rsidR="00A75862" w:rsidRDefault="00A75862" w:rsidP="00AD54CA">
      <w:pPr>
        <w:spacing w:line="276" w:lineRule="auto"/>
        <w:jc w:val="both"/>
        <w:rPr>
          <w:b/>
          <w:i/>
          <w:color w:val="0070C0"/>
          <w:sz w:val="22"/>
          <w:szCs w:val="22"/>
        </w:rPr>
        <w:sectPr w:rsidR="00A75862" w:rsidSect="00B266A0">
          <w:pgSz w:w="16838" w:h="11906" w:orient="landscape"/>
          <w:pgMar w:top="1417" w:right="1417" w:bottom="1417" w:left="1417" w:header="708" w:footer="708" w:gutter="0"/>
          <w:pgNumType w:chapStyle="1"/>
          <w:cols w:space="708"/>
          <w:docGrid w:linePitch="272"/>
        </w:sectPr>
      </w:pPr>
    </w:p>
    <w:p w:rsidR="00A75862" w:rsidRDefault="00911229" w:rsidP="00FD402C">
      <w:pPr>
        <w:jc w:val="both"/>
        <w:rPr>
          <w:b/>
          <w:sz w:val="24"/>
          <w:szCs w:val="24"/>
        </w:rPr>
      </w:pPr>
      <w:r w:rsidRPr="00796E0A">
        <w:rPr>
          <w:b/>
          <w:sz w:val="24"/>
          <w:szCs w:val="24"/>
        </w:rPr>
        <w:lastRenderedPageBreak/>
        <w:t>3.1.1</w:t>
      </w:r>
      <w:r>
        <w:rPr>
          <w:b/>
          <w:sz w:val="24"/>
          <w:szCs w:val="24"/>
        </w:rPr>
        <w:t>.</w:t>
      </w:r>
      <w:r w:rsidRPr="00796E0A">
        <w:rPr>
          <w:b/>
          <w:sz w:val="24"/>
          <w:szCs w:val="24"/>
        </w:rPr>
        <w:t xml:space="preserve"> B Kvalitativní</w:t>
      </w:r>
      <w:r w:rsidR="00A75862" w:rsidRPr="00796E0A">
        <w:rPr>
          <w:b/>
          <w:sz w:val="24"/>
          <w:szCs w:val="24"/>
        </w:rPr>
        <w:t xml:space="preserve"> analýza</w:t>
      </w:r>
    </w:p>
    <w:p w:rsidR="00A75862" w:rsidRDefault="00A75862" w:rsidP="00AD54CA">
      <w:pPr>
        <w:jc w:val="both"/>
        <w:rPr>
          <w:b/>
          <w:sz w:val="22"/>
          <w:szCs w:val="22"/>
        </w:rPr>
      </w:pPr>
    </w:p>
    <w:p w:rsidR="00A75862" w:rsidRPr="002D6CF1" w:rsidRDefault="00A75862" w:rsidP="00FD402C">
      <w:pPr>
        <w:jc w:val="both"/>
        <w:rPr>
          <w:b/>
          <w:sz w:val="22"/>
          <w:szCs w:val="22"/>
        </w:rPr>
      </w:pPr>
      <w:r w:rsidRPr="00B52CF0">
        <w:rPr>
          <w:b/>
          <w:sz w:val="22"/>
          <w:szCs w:val="22"/>
        </w:rPr>
        <w:t>Finanční pokrok</w:t>
      </w:r>
    </w:p>
    <w:p w:rsidR="00240CC3" w:rsidRPr="00B82C34" w:rsidRDefault="00240CC3" w:rsidP="00240CC3">
      <w:pPr>
        <w:spacing w:after="120"/>
        <w:jc w:val="both"/>
        <w:rPr>
          <w:sz w:val="22"/>
          <w:szCs w:val="22"/>
        </w:rPr>
      </w:pPr>
      <w:r w:rsidRPr="00B82C34">
        <w:rPr>
          <w:sz w:val="22"/>
          <w:szCs w:val="22"/>
        </w:rPr>
        <w:t xml:space="preserve">V průběhu roku 2014 ZS MV předložil do </w:t>
      </w:r>
      <w:proofErr w:type="spellStart"/>
      <w:r w:rsidRPr="00B82C34">
        <w:rPr>
          <w:sz w:val="22"/>
          <w:szCs w:val="22"/>
        </w:rPr>
        <w:t>SŽoP</w:t>
      </w:r>
      <w:proofErr w:type="spellEnd"/>
      <w:r w:rsidRPr="00B82C34">
        <w:rPr>
          <w:sz w:val="22"/>
          <w:szCs w:val="22"/>
        </w:rPr>
        <w:t xml:space="preserve"> a následné certifikace žádosti v celkové hodnotě 1 132 988 108, 14 Kč (ERDF + SR), z čehož výrazná část byla administrována v průběhu října </w:t>
      </w:r>
      <w:r w:rsidRPr="00B82C34">
        <w:rPr>
          <w:sz w:val="22"/>
          <w:szCs w:val="22"/>
        </w:rPr>
        <w:br/>
        <w:t xml:space="preserve">a listopadu 2014 ve včasných termínech tak, aby mohly být veškeré předložené žádosti o platbu na ZS MV předloženy do prosincové certifikace. V tomto případě zafungovala opatření spočívající v etapizaci projektů pro zajištění maximálního čerpání do limitu n+2 pro rok 2014 a úzká spolupráce pracovníků ZS MV s příjemci v rámci realizace projektů i přípravy MZ a </w:t>
      </w:r>
      <w:proofErr w:type="spellStart"/>
      <w:r w:rsidRPr="00B82C34">
        <w:rPr>
          <w:sz w:val="22"/>
          <w:szCs w:val="22"/>
        </w:rPr>
        <w:t>ŽoP</w:t>
      </w:r>
      <w:proofErr w:type="spellEnd"/>
      <w:r w:rsidRPr="00B82C34">
        <w:rPr>
          <w:sz w:val="22"/>
          <w:szCs w:val="22"/>
        </w:rPr>
        <w:t xml:space="preserve">. V důsledku těchto snah se podařilo výrazně snížit předpokládanou ztrátu </w:t>
      </w:r>
      <w:r>
        <w:rPr>
          <w:sz w:val="22"/>
          <w:szCs w:val="22"/>
        </w:rPr>
        <w:t xml:space="preserve">alokace </w:t>
      </w:r>
      <w:r w:rsidRPr="00B82C34">
        <w:rPr>
          <w:sz w:val="22"/>
          <w:szCs w:val="22"/>
        </w:rPr>
        <w:t>IOP za rok 2014.</w:t>
      </w:r>
    </w:p>
    <w:p w:rsidR="00E43A8E" w:rsidRPr="00B82C34" w:rsidRDefault="00240CC3" w:rsidP="00CD186C">
      <w:pPr>
        <w:spacing w:after="120"/>
        <w:jc w:val="both"/>
        <w:rPr>
          <w:sz w:val="22"/>
          <w:szCs w:val="22"/>
        </w:rPr>
      </w:pPr>
      <w:r w:rsidRPr="00B82C34">
        <w:rPr>
          <w:sz w:val="22"/>
          <w:szCs w:val="22"/>
        </w:rPr>
        <w:t>Rizikem zůstávají, zejm. s ohledem na výhled pro rok 2015 a dočerpání prostředků, projekty se zpožděnými harmonogramy</w:t>
      </w:r>
      <w:r>
        <w:rPr>
          <w:sz w:val="22"/>
          <w:szCs w:val="22"/>
        </w:rPr>
        <w:t>, které</w:t>
      </w:r>
      <w:r w:rsidRPr="00B82C34">
        <w:rPr>
          <w:sz w:val="22"/>
          <w:szCs w:val="22"/>
        </w:rPr>
        <w:t xml:space="preserve"> neplní plány čerpání. V průběhu roku 2014 odstoupilo od realizace </w:t>
      </w:r>
      <w:r>
        <w:rPr>
          <w:sz w:val="22"/>
          <w:szCs w:val="22"/>
        </w:rPr>
        <w:br/>
      </w:r>
      <w:r w:rsidRPr="00B82C34">
        <w:rPr>
          <w:sz w:val="22"/>
          <w:szCs w:val="22"/>
        </w:rPr>
        <w:t>15 projektů</w:t>
      </w:r>
      <w:r>
        <w:rPr>
          <w:sz w:val="22"/>
          <w:szCs w:val="22"/>
        </w:rPr>
        <w:t>, z toho</w:t>
      </w:r>
      <w:r w:rsidRPr="00B82C34">
        <w:rPr>
          <w:sz w:val="22"/>
          <w:szCs w:val="22"/>
        </w:rPr>
        <w:t xml:space="preserve"> 4 dlouhodobě rizikov</w:t>
      </w:r>
      <w:r>
        <w:rPr>
          <w:sz w:val="22"/>
          <w:szCs w:val="22"/>
        </w:rPr>
        <w:t>é</w:t>
      </w:r>
      <w:r w:rsidRPr="00B82C34">
        <w:rPr>
          <w:sz w:val="22"/>
          <w:szCs w:val="22"/>
        </w:rPr>
        <w:t xml:space="preserve"> projekt</w:t>
      </w:r>
      <w:r>
        <w:rPr>
          <w:sz w:val="22"/>
          <w:szCs w:val="22"/>
        </w:rPr>
        <w:t>y</w:t>
      </w:r>
      <w:r w:rsidRPr="00B82C34">
        <w:rPr>
          <w:sz w:val="22"/>
          <w:szCs w:val="22"/>
        </w:rPr>
        <w:t xml:space="preserve"> ze starších výzev</w:t>
      </w:r>
      <w:r>
        <w:rPr>
          <w:sz w:val="22"/>
          <w:szCs w:val="22"/>
        </w:rPr>
        <w:t>,</w:t>
      </w:r>
      <w:r w:rsidRPr="00B82C34">
        <w:rPr>
          <w:sz w:val="22"/>
          <w:szCs w:val="22"/>
        </w:rPr>
        <w:t xml:space="preserve"> zejména z důvodu nedostatku času na realizaci projektu a z důvodu nízkého čerpání přidělených finančních prostředků. Mimo zvýšený monitoring a krizové řízení zbývajících rizikových projektů byla ve sledovaném období, jako jedno z opatření pro využití zbývajících volných prostředků v o. i. 1.1 IOP, rovněž vyhlášena </w:t>
      </w:r>
      <w:r>
        <w:rPr>
          <w:sz w:val="22"/>
          <w:szCs w:val="22"/>
        </w:rPr>
        <w:br/>
      </w:r>
      <w:r w:rsidRPr="00B82C34">
        <w:rPr>
          <w:sz w:val="22"/>
          <w:szCs w:val="22"/>
        </w:rPr>
        <w:t xml:space="preserve">a ukončena </w:t>
      </w:r>
      <w:r>
        <w:rPr>
          <w:sz w:val="22"/>
          <w:szCs w:val="22"/>
        </w:rPr>
        <w:t>v</w:t>
      </w:r>
      <w:r w:rsidRPr="00B82C34">
        <w:rPr>
          <w:sz w:val="22"/>
          <w:szCs w:val="22"/>
        </w:rPr>
        <w:t>ýzva č. 17 s</w:t>
      </w:r>
      <w:r>
        <w:rPr>
          <w:sz w:val="22"/>
          <w:szCs w:val="22"/>
        </w:rPr>
        <w:t>e</w:t>
      </w:r>
      <w:r w:rsidRPr="00B82C34">
        <w:rPr>
          <w:sz w:val="22"/>
          <w:szCs w:val="22"/>
        </w:rPr>
        <w:t> </w:t>
      </w:r>
      <w:r>
        <w:rPr>
          <w:sz w:val="22"/>
          <w:szCs w:val="22"/>
        </w:rPr>
        <w:t>z</w:t>
      </w:r>
      <w:r w:rsidRPr="00B82C34">
        <w:rPr>
          <w:sz w:val="22"/>
          <w:szCs w:val="22"/>
        </w:rPr>
        <w:t xml:space="preserve">výšenou alokací. </w:t>
      </w:r>
      <w:r>
        <w:rPr>
          <w:sz w:val="22"/>
          <w:szCs w:val="22"/>
        </w:rPr>
        <w:t>Schválené</w:t>
      </w:r>
      <w:r w:rsidRPr="00B82C34">
        <w:rPr>
          <w:sz w:val="22"/>
          <w:szCs w:val="22"/>
        </w:rPr>
        <w:t xml:space="preserve"> projekty vstoupily do fáze realizace a zahajují čerpání. V některých projekt</w:t>
      </w:r>
      <w:r>
        <w:rPr>
          <w:sz w:val="22"/>
          <w:szCs w:val="22"/>
        </w:rPr>
        <w:t>ech</w:t>
      </w:r>
      <w:r w:rsidRPr="00B82C34">
        <w:rPr>
          <w:sz w:val="22"/>
          <w:szCs w:val="22"/>
        </w:rPr>
        <w:t xml:space="preserve"> z </w:t>
      </w:r>
      <w:r>
        <w:rPr>
          <w:sz w:val="22"/>
          <w:szCs w:val="22"/>
        </w:rPr>
        <w:t>v</w:t>
      </w:r>
      <w:r w:rsidRPr="00B82C34">
        <w:rPr>
          <w:sz w:val="22"/>
          <w:szCs w:val="22"/>
        </w:rPr>
        <w:t xml:space="preserve">ýzvy č. 17 jsou indikovány problémy s realizací veřejných zakázek a posuny harmonogramů, které mohou ovlivnit úspěšné dokončení </w:t>
      </w:r>
      <w:r>
        <w:rPr>
          <w:sz w:val="22"/>
          <w:szCs w:val="22"/>
        </w:rPr>
        <w:t xml:space="preserve">realizace </w:t>
      </w:r>
      <w:r w:rsidRPr="00B82C34">
        <w:rPr>
          <w:sz w:val="22"/>
          <w:szCs w:val="22"/>
        </w:rPr>
        <w:t>projektů a proplacení výdajů.</w:t>
      </w:r>
    </w:p>
    <w:p w:rsidR="00A75862" w:rsidRPr="00630DF3" w:rsidRDefault="00A75862" w:rsidP="00E6269C">
      <w:pPr>
        <w:pStyle w:val="Tabulkanzev"/>
      </w:pPr>
      <w:bookmarkStart w:id="150" w:name="_Toc416431822"/>
      <w:r w:rsidRPr="009026D3">
        <w:t>Finan</w:t>
      </w:r>
      <w:r w:rsidR="00822D1A">
        <w:t>ční stav PO 1a a 1b k </w:t>
      </w:r>
      <w:bookmarkEnd w:id="150"/>
      <w:r w:rsidR="00E6269C">
        <w:t>31. 12. 2014</w:t>
      </w:r>
    </w:p>
    <w:tbl>
      <w:tblPr>
        <w:tblW w:w="8547"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7"/>
        <w:gridCol w:w="1371"/>
        <w:gridCol w:w="1280"/>
        <w:gridCol w:w="755"/>
        <w:gridCol w:w="1302"/>
        <w:gridCol w:w="709"/>
        <w:gridCol w:w="1302"/>
        <w:gridCol w:w="731"/>
      </w:tblGrid>
      <w:tr w:rsidR="004804DD" w:rsidRPr="00C81870" w:rsidTr="004804DD">
        <w:trPr>
          <w:trHeight w:val="821"/>
        </w:trPr>
        <w:tc>
          <w:tcPr>
            <w:tcW w:w="1097" w:type="dxa"/>
            <w:vMerge w:val="restart"/>
            <w:shd w:val="clear" w:color="000000" w:fill="C4D79B"/>
            <w:vAlign w:val="center"/>
            <w:hideMark/>
          </w:tcPr>
          <w:p w:rsidR="00C81870" w:rsidRPr="00C81870" w:rsidRDefault="00C81870" w:rsidP="00C81870">
            <w:pPr>
              <w:jc w:val="center"/>
              <w:rPr>
                <w:b/>
                <w:bCs/>
                <w:color w:val="000000"/>
                <w:sz w:val="16"/>
                <w:szCs w:val="16"/>
              </w:rPr>
            </w:pPr>
            <w:r w:rsidRPr="00C81870">
              <w:rPr>
                <w:b/>
                <w:bCs/>
                <w:color w:val="000000"/>
                <w:sz w:val="16"/>
                <w:szCs w:val="16"/>
              </w:rPr>
              <w:t>Oblast podpory</w:t>
            </w:r>
          </w:p>
        </w:tc>
        <w:tc>
          <w:tcPr>
            <w:tcW w:w="1371" w:type="dxa"/>
            <w:shd w:val="clear" w:color="000000" w:fill="C4D79B"/>
            <w:vAlign w:val="center"/>
            <w:hideMark/>
          </w:tcPr>
          <w:p w:rsidR="00C81870" w:rsidRPr="00C81870" w:rsidRDefault="00C81870" w:rsidP="00C81870">
            <w:pPr>
              <w:jc w:val="center"/>
              <w:rPr>
                <w:b/>
                <w:bCs/>
                <w:color w:val="000000"/>
                <w:sz w:val="16"/>
                <w:szCs w:val="16"/>
              </w:rPr>
            </w:pPr>
            <w:r w:rsidRPr="00C81870">
              <w:rPr>
                <w:b/>
                <w:bCs/>
                <w:color w:val="000000"/>
                <w:sz w:val="16"/>
                <w:szCs w:val="16"/>
              </w:rPr>
              <w:t>Alokace podpory 2007-2013</w:t>
            </w:r>
          </w:p>
        </w:tc>
        <w:tc>
          <w:tcPr>
            <w:tcW w:w="2034" w:type="dxa"/>
            <w:gridSpan w:val="2"/>
            <w:shd w:val="clear" w:color="000000" w:fill="C4D79B"/>
            <w:vAlign w:val="center"/>
            <w:hideMark/>
          </w:tcPr>
          <w:p w:rsidR="00C81870" w:rsidRPr="00C81870" w:rsidRDefault="00C81870" w:rsidP="00C81870">
            <w:pPr>
              <w:jc w:val="center"/>
              <w:rPr>
                <w:b/>
                <w:bCs/>
                <w:color w:val="000000"/>
                <w:sz w:val="16"/>
                <w:szCs w:val="16"/>
              </w:rPr>
            </w:pPr>
            <w:r w:rsidRPr="00C81870">
              <w:rPr>
                <w:b/>
                <w:bCs/>
                <w:color w:val="000000"/>
                <w:sz w:val="16"/>
                <w:szCs w:val="16"/>
              </w:rPr>
              <w:t>Prostředky kryté Rozhodnutím / Smlouvou (dodatkem)</w:t>
            </w:r>
          </w:p>
        </w:tc>
        <w:tc>
          <w:tcPr>
            <w:tcW w:w="2011" w:type="dxa"/>
            <w:gridSpan w:val="2"/>
            <w:shd w:val="clear" w:color="000000" w:fill="C4D79B"/>
            <w:vAlign w:val="center"/>
            <w:hideMark/>
          </w:tcPr>
          <w:p w:rsidR="00C81870" w:rsidRPr="00C81870" w:rsidRDefault="00C81870" w:rsidP="00C81870">
            <w:pPr>
              <w:jc w:val="center"/>
              <w:rPr>
                <w:b/>
                <w:bCs/>
                <w:color w:val="000000"/>
                <w:sz w:val="16"/>
                <w:szCs w:val="16"/>
              </w:rPr>
            </w:pPr>
            <w:r w:rsidRPr="00C81870">
              <w:rPr>
                <w:b/>
                <w:bCs/>
                <w:color w:val="000000"/>
                <w:sz w:val="16"/>
                <w:szCs w:val="16"/>
              </w:rPr>
              <w:t>Proplacené prostředky příjemcům (vyúčtované prostředky)</w:t>
            </w:r>
          </w:p>
        </w:tc>
        <w:tc>
          <w:tcPr>
            <w:tcW w:w="2033" w:type="dxa"/>
            <w:gridSpan w:val="2"/>
            <w:shd w:val="clear" w:color="000000" w:fill="C4D79B"/>
            <w:vAlign w:val="center"/>
            <w:hideMark/>
          </w:tcPr>
          <w:p w:rsidR="00C81870" w:rsidRPr="00C81870" w:rsidRDefault="00C81870" w:rsidP="00C81870">
            <w:pPr>
              <w:jc w:val="center"/>
              <w:rPr>
                <w:b/>
                <w:bCs/>
                <w:color w:val="000000"/>
                <w:sz w:val="16"/>
                <w:szCs w:val="16"/>
              </w:rPr>
            </w:pPr>
            <w:r w:rsidRPr="00C81870">
              <w:rPr>
                <w:b/>
                <w:bCs/>
                <w:color w:val="000000"/>
                <w:sz w:val="16"/>
                <w:szCs w:val="16"/>
              </w:rPr>
              <w:t>Certifikované prostředky (včetně vratek)</w:t>
            </w:r>
          </w:p>
        </w:tc>
      </w:tr>
      <w:tr w:rsidR="00C81870" w:rsidRPr="00C81870" w:rsidTr="004804DD">
        <w:trPr>
          <w:trHeight w:val="307"/>
        </w:trPr>
        <w:tc>
          <w:tcPr>
            <w:tcW w:w="1097" w:type="dxa"/>
            <w:vMerge/>
            <w:vAlign w:val="center"/>
            <w:hideMark/>
          </w:tcPr>
          <w:p w:rsidR="00C81870" w:rsidRPr="00C81870" w:rsidRDefault="00C81870" w:rsidP="00C81870">
            <w:pPr>
              <w:rPr>
                <w:b/>
                <w:bCs/>
                <w:color w:val="000000"/>
                <w:sz w:val="16"/>
                <w:szCs w:val="16"/>
              </w:rPr>
            </w:pPr>
          </w:p>
        </w:tc>
        <w:tc>
          <w:tcPr>
            <w:tcW w:w="1371" w:type="dxa"/>
            <w:shd w:val="clear" w:color="000000" w:fill="C4D79B"/>
            <w:vAlign w:val="bottom"/>
            <w:hideMark/>
          </w:tcPr>
          <w:p w:rsidR="00C81870" w:rsidRPr="00C81870" w:rsidRDefault="00C81870" w:rsidP="00C81870">
            <w:pPr>
              <w:jc w:val="center"/>
              <w:rPr>
                <w:color w:val="000000"/>
                <w:sz w:val="18"/>
                <w:szCs w:val="18"/>
              </w:rPr>
            </w:pPr>
            <w:r w:rsidRPr="00C81870">
              <w:rPr>
                <w:color w:val="000000"/>
                <w:sz w:val="18"/>
                <w:szCs w:val="18"/>
              </w:rPr>
              <w:t>EUR</w:t>
            </w:r>
          </w:p>
        </w:tc>
        <w:tc>
          <w:tcPr>
            <w:tcW w:w="1280" w:type="dxa"/>
            <w:shd w:val="clear" w:color="000000" w:fill="C4D79B"/>
            <w:vAlign w:val="bottom"/>
            <w:hideMark/>
          </w:tcPr>
          <w:p w:rsidR="00C81870" w:rsidRPr="00C81870" w:rsidRDefault="00C81870" w:rsidP="00C81870">
            <w:pPr>
              <w:jc w:val="center"/>
              <w:rPr>
                <w:color w:val="000000"/>
                <w:sz w:val="18"/>
                <w:szCs w:val="18"/>
              </w:rPr>
            </w:pPr>
            <w:r w:rsidRPr="00C81870">
              <w:rPr>
                <w:color w:val="000000"/>
                <w:sz w:val="18"/>
                <w:szCs w:val="18"/>
              </w:rPr>
              <w:t>EUR</w:t>
            </w:r>
          </w:p>
        </w:tc>
        <w:tc>
          <w:tcPr>
            <w:tcW w:w="755" w:type="dxa"/>
            <w:shd w:val="clear" w:color="000000" w:fill="C4D79B"/>
            <w:vAlign w:val="bottom"/>
            <w:hideMark/>
          </w:tcPr>
          <w:p w:rsidR="00C81870" w:rsidRPr="00C81870" w:rsidRDefault="00C81870" w:rsidP="00C81870">
            <w:pPr>
              <w:jc w:val="center"/>
              <w:rPr>
                <w:color w:val="000000"/>
                <w:sz w:val="18"/>
                <w:szCs w:val="18"/>
              </w:rPr>
            </w:pPr>
            <w:r w:rsidRPr="00C81870">
              <w:rPr>
                <w:color w:val="000000"/>
                <w:sz w:val="18"/>
                <w:szCs w:val="18"/>
              </w:rPr>
              <w:t>%</w:t>
            </w:r>
          </w:p>
        </w:tc>
        <w:tc>
          <w:tcPr>
            <w:tcW w:w="1302" w:type="dxa"/>
            <w:shd w:val="clear" w:color="000000" w:fill="C4D79B"/>
            <w:vAlign w:val="bottom"/>
            <w:hideMark/>
          </w:tcPr>
          <w:p w:rsidR="00C81870" w:rsidRPr="00C81870" w:rsidRDefault="00C81870" w:rsidP="00C81870">
            <w:pPr>
              <w:jc w:val="center"/>
              <w:rPr>
                <w:color w:val="000000"/>
                <w:sz w:val="18"/>
                <w:szCs w:val="18"/>
              </w:rPr>
            </w:pPr>
            <w:r w:rsidRPr="00C81870">
              <w:rPr>
                <w:color w:val="000000"/>
                <w:sz w:val="18"/>
                <w:szCs w:val="18"/>
              </w:rPr>
              <w:t>EUR</w:t>
            </w:r>
          </w:p>
        </w:tc>
        <w:tc>
          <w:tcPr>
            <w:tcW w:w="709" w:type="dxa"/>
            <w:shd w:val="clear" w:color="000000" w:fill="C4D79B"/>
            <w:vAlign w:val="bottom"/>
            <w:hideMark/>
          </w:tcPr>
          <w:p w:rsidR="00C81870" w:rsidRPr="00C81870" w:rsidRDefault="00C81870" w:rsidP="00C81870">
            <w:pPr>
              <w:jc w:val="center"/>
              <w:rPr>
                <w:color w:val="000000"/>
                <w:sz w:val="18"/>
                <w:szCs w:val="18"/>
              </w:rPr>
            </w:pPr>
            <w:r w:rsidRPr="00C81870">
              <w:rPr>
                <w:color w:val="000000"/>
                <w:sz w:val="18"/>
                <w:szCs w:val="18"/>
              </w:rPr>
              <w:t>%</w:t>
            </w:r>
          </w:p>
        </w:tc>
        <w:tc>
          <w:tcPr>
            <w:tcW w:w="1302" w:type="dxa"/>
            <w:shd w:val="clear" w:color="000000" w:fill="C4D79B"/>
            <w:vAlign w:val="bottom"/>
            <w:hideMark/>
          </w:tcPr>
          <w:p w:rsidR="00C81870" w:rsidRPr="00C81870" w:rsidRDefault="00C81870" w:rsidP="00C81870">
            <w:pPr>
              <w:jc w:val="center"/>
              <w:rPr>
                <w:color w:val="000000"/>
                <w:sz w:val="18"/>
                <w:szCs w:val="18"/>
              </w:rPr>
            </w:pPr>
            <w:r w:rsidRPr="00C81870">
              <w:rPr>
                <w:color w:val="000000"/>
                <w:sz w:val="18"/>
                <w:szCs w:val="18"/>
              </w:rPr>
              <w:t>EUR</w:t>
            </w:r>
          </w:p>
        </w:tc>
        <w:tc>
          <w:tcPr>
            <w:tcW w:w="731" w:type="dxa"/>
            <w:shd w:val="clear" w:color="000000" w:fill="C4D79B"/>
            <w:vAlign w:val="bottom"/>
            <w:hideMark/>
          </w:tcPr>
          <w:p w:rsidR="00C81870" w:rsidRPr="00C81870" w:rsidRDefault="00C81870" w:rsidP="00C81870">
            <w:pPr>
              <w:jc w:val="center"/>
              <w:rPr>
                <w:color w:val="000000"/>
                <w:sz w:val="18"/>
                <w:szCs w:val="18"/>
              </w:rPr>
            </w:pPr>
            <w:r w:rsidRPr="00C81870">
              <w:rPr>
                <w:color w:val="000000"/>
                <w:sz w:val="18"/>
                <w:szCs w:val="18"/>
              </w:rPr>
              <w:t>%</w:t>
            </w:r>
          </w:p>
        </w:tc>
      </w:tr>
      <w:tr w:rsidR="00C81870" w:rsidRPr="00C81870" w:rsidTr="004804DD">
        <w:trPr>
          <w:trHeight w:val="307"/>
        </w:trPr>
        <w:tc>
          <w:tcPr>
            <w:tcW w:w="1097" w:type="dxa"/>
            <w:vMerge/>
            <w:vAlign w:val="center"/>
            <w:hideMark/>
          </w:tcPr>
          <w:p w:rsidR="00C81870" w:rsidRPr="00C81870" w:rsidRDefault="00C81870" w:rsidP="00C81870">
            <w:pPr>
              <w:rPr>
                <w:b/>
                <w:bCs/>
                <w:color w:val="000000"/>
                <w:sz w:val="16"/>
                <w:szCs w:val="16"/>
              </w:rPr>
            </w:pPr>
          </w:p>
        </w:tc>
        <w:tc>
          <w:tcPr>
            <w:tcW w:w="1371" w:type="dxa"/>
            <w:shd w:val="clear" w:color="000000" w:fill="C4D79B"/>
            <w:vAlign w:val="bottom"/>
            <w:hideMark/>
          </w:tcPr>
          <w:p w:rsidR="00C81870" w:rsidRPr="00C81870" w:rsidRDefault="00C81870" w:rsidP="00C81870">
            <w:pPr>
              <w:jc w:val="center"/>
              <w:rPr>
                <w:b/>
                <w:bCs/>
                <w:color w:val="000000"/>
                <w:sz w:val="18"/>
                <w:szCs w:val="18"/>
              </w:rPr>
            </w:pPr>
            <w:r w:rsidRPr="00C81870">
              <w:rPr>
                <w:b/>
                <w:bCs/>
                <w:color w:val="000000"/>
                <w:sz w:val="18"/>
                <w:szCs w:val="18"/>
              </w:rPr>
              <w:t xml:space="preserve">a </w:t>
            </w:r>
          </w:p>
        </w:tc>
        <w:tc>
          <w:tcPr>
            <w:tcW w:w="1280" w:type="dxa"/>
            <w:shd w:val="clear" w:color="000000" w:fill="C4D79B"/>
            <w:vAlign w:val="bottom"/>
            <w:hideMark/>
          </w:tcPr>
          <w:p w:rsidR="00C81870" w:rsidRPr="00C81870" w:rsidRDefault="00C81870" w:rsidP="00C81870">
            <w:pPr>
              <w:jc w:val="center"/>
              <w:rPr>
                <w:b/>
                <w:bCs/>
                <w:color w:val="000000"/>
                <w:sz w:val="18"/>
                <w:szCs w:val="18"/>
              </w:rPr>
            </w:pPr>
            <w:r w:rsidRPr="00C81870">
              <w:rPr>
                <w:b/>
                <w:bCs/>
                <w:color w:val="000000"/>
                <w:sz w:val="18"/>
                <w:szCs w:val="18"/>
              </w:rPr>
              <w:t xml:space="preserve">b </w:t>
            </w:r>
          </w:p>
        </w:tc>
        <w:tc>
          <w:tcPr>
            <w:tcW w:w="755" w:type="dxa"/>
            <w:shd w:val="clear" w:color="000000" w:fill="C4D79B"/>
            <w:vAlign w:val="bottom"/>
            <w:hideMark/>
          </w:tcPr>
          <w:p w:rsidR="00C81870" w:rsidRPr="00C81870" w:rsidRDefault="00C81870" w:rsidP="00C81870">
            <w:pPr>
              <w:jc w:val="center"/>
              <w:rPr>
                <w:b/>
                <w:bCs/>
                <w:color w:val="000000"/>
                <w:sz w:val="18"/>
                <w:szCs w:val="18"/>
              </w:rPr>
            </w:pPr>
            <w:r w:rsidRPr="00C81870">
              <w:rPr>
                <w:b/>
                <w:bCs/>
                <w:color w:val="000000"/>
                <w:sz w:val="18"/>
                <w:szCs w:val="18"/>
              </w:rPr>
              <w:t xml:space="preserve">b/a </w:t>
            </w:r>
          </w:p>
        </w:tc>
        <w:tc>
          <w:tcPr>
            <w:tcW w:w="1302" w:type="dxa"/>
            <w:shd w:val="clear" w:color="000000" w:fill="C4D79B"/>
            <w:vAlign w:val="bottom"/>
            <w:hideMark/>
          </w:tcPr>
          <w:p w:rsidR="00C81870" w:rsidRPr="00C81870" w:rsidRDefault="00C81870" w:rsidP="00C81870">
            <w:pPr>
              <w:jc w:val="center"/>
              <w:rPr>
                <w:b/>
                <w:bCs/>
                <w:color w:val="000000"/>
                <w:sz w:val="18"/>
                <w:szCs w:val="18"/>
              </w:rPr>
            </w:pPr>
            <w:r w:rsidRPr="00C81870">
              <w:rPr>
                <w:b/>
                <w:bCs/>
                <w:color w:val="000000"/>
                <w:sz w:val="18"/>
                <w:szCs w:val="18"/>
              </w:rPr>
              <w:t xml:space="preserve">c </w:t>
            </w:r>
          </w:p>
        </w:tc>
        <w:tc>
          <w:tcPr>
            <w:tcW w:w="709" w:type="dxa"/>
            <w:shd w:val="clear" w:color="000000" w:fill="C4D79B"/>
            <w:vAlign w:val="bottom"/>
            <w:hideMark/>
          </w:tcPr>
          <w:p w:rsidR="00C81870" w:rsidRPr="00C81870" w:rsidRDefault="00C81870" w:rsidP="00C81870">
            <w:pPr>
              <w:jc w:val="center"/>
              <w:rPr>
                <w:b/>
                <w:bCs/>
                <w:color w:val="000000"/>
                <w:sz w:val="18"/>
                <w:szCs w:val="18"/>
              </w:rPr>
            </w:pPr>
            <w:r w:rsidRPr="00C81870">
              <w:rPr>
                <w:b/>
                <w:bCs/>
                <w:color w:val="000000"/>
                <w:sz w:val="18"/>
                <w:szCs w:val="18"/>
              </w:rPr>
              <w:t xml:space="preserve">c/a </w:t>
            </w:r>
          </w:p>
        </w:tc>
        <w:tc>
          <w:tcPr>
            <w:tcW w:w="1302" w:type="dxa"/>
            <w:shd w:val="clear" w:color="000000" w:fill="C4D79B"/>
            <w:vAlign w:val="bottom"/>
            <w:hideMark/>
          </w:tcPr>
          <w:p w:rsidR="00C81870" w:rsidRPr="00C81870" w:rsidRDefault="00C81870" w:rsidP="00C81870">
            <w:pPr>
              <w:jc w:val="center"/>
              <w:rPr>
                <w:b/>
                <w:bCs/>
                <w:color w:val="000000"/>
                <w:sz w:val="18"/>
                <w:szCs w:val="18"/>
              </w:rPr>
            </w:pPr>
            <w:r w:rsidRPr="00C81870">
              <w:rPr>
                <w:b/>
                <w:bCs/>
                <w:color w:val="000000"/>
                <w:sz w:val="18"/>
                <w:szCs w:val="18"/>
              </w:rPr>
              <w:t xml:space="preserve">d </w:t>
            </w:r>
          </w:p>
        </w:tc>
        <w:tc>
          <w:tcPr>
            <w:tcW w:w="731" w:type="dxa"/>
            <w:shd w:val="clear" w:color="000000" w:fill="C4D79B"/>
            <w:vAlign w:val="bottom"/>
            <w:hideMark/>
          </w:tcPr>
          <w:p w:rsidR="00C81870" w:rsidRPr="00C81870" w:rsidRDefault="00C81870" w:rsidP="00C81870">
            <w:pPr>
              <w:jc w:val="center"/>
              <w:rPr>
                <w:b/>
                <w:bCs/>
                <w:color w:val="000000"/>
                <w:sz w:val="18"/>
                <w:szCs w:val="18"/>
              </w:rPr>
            </w:pPr>
            <w:r w:rsidRPr="00C81870">
              <w:rPr>
                <w:b/>
                <w:bCs/>
                <w:color w:val="000000"/>
                <w:sz w:val="18"/>
                <w:szCs w:val="18"/>
              </w:rPr>
              <w:t xml:space="preserve">d/a </w:t>
            </w:r>
          </w:p>
        </w:tc>
      </w:tr>
      <w:tr w:rsidR="00C81870" w:rsidRPr="00C81870" w:rsidTr="004804DD">
        <w:trPr>
          <w:trHeight w:val="307"/>
        </w:trPr>
        <w:tc>
          <w:tcPr>
            <w:tcW w:w="1097" w:type="dxa"/>
            <w:shd w:val="clear" w:color="000000" w:fill="FFFFFF"/>
            <w:vAlign w:val="center"/>
            <w:hideMark/>
          </w:tcPr>
          <w:p w:rsidR="00C81870" w:rsidRPr="00C81870" w:rsidRDefault="00C81870" w:rsidP="00C81870">
            <w:pPr>
              <w:jc w:val="center"/>
              <w:rPr>
                <w:color w:val="000000"/>
                <w:sz w:val="18"/>
                <w:szCs w:val="18"/>
              </w:rPr>
            </w:pPr>
            <w:r w:rsidRPr="00C81870">
              <w:rPr>
                <w:color w:val="000000"/>
                <w:sz w:val="18"/>
                <w:szCs w:val="18"/>
              </w:rPr>
              <w:t>1.1a</w:t>
            </w:r>
          </w:p>
        </w:tc>
        <w:tc>
          <w:tcPr>
            <w:tcW w:w="1371"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342 284 804</w:t>
            </w:r>
          </w:p>
        </w:tc>
        <w:tc>
          <w:tcPr>
            <w:tcW w:w="1280"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292 853 447</w:t>
            </w:r>
          </w:p>
        </w:tc>
        <w:tc>
          <w:tcPr>
            <w:tcW w:w="755"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85,6%</w:t>
            </w:r>
          </w:p>
        </w:tc>
        <w:tc>
          <w:tcPr>
            <w:tcW w:w="1302"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223 937 475</w:t>
            </w:r>
          </w:p>
        </w:tc>
        <w:tc>
          <w:tcPr>
            <w:tcW w:w="709"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65,4%</w:t>
            </w:r>
          </w:p>
        </w:tc>
        <w:tc>
          <w:tcPr>
            <w:tcW w:w="1302"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218 761 323</w:t>
            </w:r>
          </w:p>
        </w:tc>
        <w:tc>
          <w:tcPr>
            <w:tcW w:w="731"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63,9%</w:t>
            </w:r>
          </w:p>
        </w:tc>
      </w:tr>
      <w:tr w:rsidR="00C81870" w:rsidRPr="00C81870" w:rsidTr="004804DD">
        <w:trPr>
          <w:trHeight w:val="307"/>
        </w:trPr>
        <w:tc>
          <w:tcPr>
            <w:tcW w:w="1097" w:type="dxa"/>
            <w:shd w:val="clear" w:color="000000" w:fill="FFFFFF"/>
            <w:vAlign w:val="center"/>
            <w:hideMark/>
          </w:tcPr>
          <w:p w:rsidR="00C81870" w:rsidRPr="00C81870" w:rsidRDefault="00C81870" w:rsidP="00C81870">
            <w:pPr>
              <w:jc w:val="center"/>
              <w:rPr>
                <w:color w:val="000000"/>
                <w:sz w:val="18"/>
                <w:szCs w:val="18"/>
              </w:rPr>
            </w:pPr>
            <w:r w:rsidRPr="00C81870">
              <w:rPr>
                <w:color w:val="000000"/>
                <w:sz w:val="18"/>
                <w:szCs w:val="18"/>
              </w:rPr>
              <w:t>1.1b</w:t>
            </w:r>
          </w:p>
        </w:tc>
        <w:tc>
          <w:tcPr>
            <w:tcW w:w="1371"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26 329 602</w:t>
            </w:r>
          </w:p>
        </w:tc>
        <w:tc>
          <w:tcPr>
            <w:tcW w:w="1280"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22 527 189</w:t>
            </w:r>
          </w:p>
        </w:tc>
        <w:tc>
          <w:tcPr>
            <w:tcW w:w="755"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85,6%</w:t>
            </w:r>
          </w:p>
        </w:tc>
        <w:tc>
          <w:tcPr>
            <w:tcW w:w="1302"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17 225 858</w:t>
            </w:r>
          </w:p>
        </w:tc>
        <w:tc>
          <w:tcPr>
            <w:tcW w:w="709"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65,4%</w:t>
            </w:r>
          </w:p>
        </w:tc>
        <w:tc>
          <w:tcPr>
            <w:tcW w:w="1302"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16 827 795</w:t>
            </w:r>
          </w:p>
        </w:tc>
        <w:tc>
          <w:tcPr>
            <w:tcW w:w="731" w:type="dxa"/>
            <w:shd w:val="clear" w:color="000000" w:fill="FFFFFF"/>
            <w:noWrap/>
            <w:vAlign w:val="center"/>
            <w:hideMark/>
          </w:tcPr>
          <w:p w:rsidR="00C81870" w:rsidRPr="00C81870" w:rsidRDefault="00C81870" w:rsidP="00C81870">
            <w:pPr>
              <w:jc w:val="center"/>
              <w:rPr>
                <w:color w:val="000000"/>
                <w:sz w:val="18"/>
                <w:szCs w:val="18"/>
              </w:rPr>
            </w:pPr>
            <w:r w:rsidRPr="00C81870">
              <w:rPr>
                <w:color w:val="000000"/>
                <w:sz w:val="18"/>
                <w:szCs w:val="18"/>
              </w:rPr>
              <w:t>63,9%</w:t>
            </w:r>
          </w:p>
        </w:tc>
      </w:tr>
      <w:tr w:rsidR="00C81870" w:rsidRPr="00C81870" w:rsidTr="004804DD">
        <w:trPr>
          <w:trHeight w:val="323"/>
        </w:trPr>
        <w:tc>
          <w:tcPr>
            <w:tcW w:w="1097" w:type="dxa"/>
            <w:shd w:val="clear" w:color="000000" w:fill="D9D9D9"/>
            <w:vAlign w:val="center"/>
            <w:hideMark/>
          </w:tcPr>
          <w:p w:rsidR="00C81870" w:rsidRPr="00C81870" w:rsidRDefault="00C81870" w:rsidP="00C81870">
            <w:pPr>
              <w:jc w:val="center"/>
              <w:rPr>
                <w:b/>
                <w:bCs/>
                <w:color w:val="000000"/>
                <w:sz w:val="18"/>
                <w:szCs w:val="18"/>
              </w:rPr>
            </w:pPr>
            <w:r w:rsidRPr="00C81870">
              <w:rPr>
                <w:b/>
                <w:bCs/>
                <w:color w:val="000000"/>
                <w:sz w:val="18"/>
                <w:szCs w:val="18"/>
              </w:rPr>
              <w:t>PO 1</w:t>
            </w:r>
          </w:p>
        </w:tc>
        <w:tc>
          <w:tcPr>
            <w:tcW w:w="1371" w:type="dxa"/>
            <w:shd w:val="clear" w:color="000000" w:fill="D9D9D9"/>
            <w:noWrap/>
            <w:vAlign w:val="center"/>
            <w:hideMark/>
          </w:tcPr>
          <w:p w:rsidR="00C81870" w:rsidRPr="00C81870" w:rsidRDefault="00C81870" w:rsidP="00C81870">
            <w:pPr>
              <w:jc w:val="center"/>
              <w:rPr>
                <w:b/>
                <w:bCs/>
                <w:color w:val="000000"/>
                <w:sz w:val="18"/>
                <w:szCs w:val="18"/>
              </w:rPr>
            </w:pPr>
            <w:r w:rsidRPr="00C81870">
              <w:rPr>
                <w:b/>
                <w:bCs/>
                <w:color w:val="000000"/>
                <w:sz w:val="18"/>
                <w:szCs w:val="18"/>
              </w:rPr>
              <w:t>368 614 406</w:t>
            </w:r>
          </w:p>
        </w:tc>
        <w:tc>
          <w:tcPr>
            <w:tcW w:w="1280" w:type="dxa"/>
            <w:shd w:val="clear" w:color="000000" w:fill="D9D9D9"/>
            <w:noWrap/>
            <w:vAlign w:val="center"/>
            <w:hideMark/>
          </w:tcPr>
          <w:p w:rsidR="00C81870" w:rsidRPr="00C81870" w:rsidRDefault="00C81870" w:rsidP="00C81870">
            <w:pPr>
              <w:jc w:val="center"/>
              <w:rPr>
                <w:b/>
                <w:bCs/>
                <w:color w:val="000000"/>
                <w:sz w:val="18"/>
                <w:szCs w:val="18"/>
              </w:rPr>
            </w:pPr>
            <w:r w:rsidRPr="00C81870">
              <w:rPr>
                <w:b/>
                <w:bCs/>
                <w:color w:val="000000"/>
                <w:sz w:val="18"/>
                <w:szCs w:val="18"/>
              </w:rPr>
              <w:t>315 380 636</w:t>
            </w:r>
          </w:p>
        </w:tc>
        <w:tc>
          <w:tcPr>
            <w:tcW w:w="755" w:type="dxa"/>
            <w:shd w:val="clear" w:color="000000" w:fill="D9D9D9"/>
            <w:noWrap/>
            <w:vAlign w:val="center"/>
            <w:hideMark/>
          </w:tcPr>
          <w:p w:rsidR="00C81870" w:rsidRPr="00C81870" w:rsidRDefault="00C81870" w:rsidP="00C81870">
            <w:pPr>
              <w:jc w:val="center"/>
              <w:rPr>
                <w:b/>
                <w:color w:val="000000"/>
                <w:sz w:val="18"/>
                <w:szCs w:val="18"/>
              </w:rPr>
            </w:pPr>
            <w:r w:rsidRPr="00C81870">
              <w:rPr>
                <w:b/>
                <w:color w:val="000000"/>
                <w:sz w:val="18"/>
                <w:szCs w:val="18"/>
              </w:rPr>
              <w:t>85,6%</w:t>
            </w:r>
          </w:p>
        </w:tc>
        <w:tc>
          <w:tcPr>
            <w:tcW w:w="1302" w:type="dxa"/>
            <w:shd w:val="clear" w:color="000000" w:fill="D9D9D9"/>
            <w:noWrap/>
            <w:vAlign w:val="center"/>
            <w:hideMark/>
          </w:tcPr>
          <w:p w:rsidR="00C81870" w:rsidRPr="00C81870" w:rsidRDefault="00C81870" w:rsidP="00C81870">
            <w:pPr>
              <w:jc w:val="center"/>
              <w:rPr>
                <w:b/>
                <w:bCs/>
                <w:color w:val="000000"/>
                <w:sz w:val="18"/>
                <w:szCs w:val="18"/>
              </w:rPr>
            </w:pPr>
            <w:r w:rsidRPr="00C81870">
              <w:rPr>
                <w:b/>
                <w:bCs/>
                <w:color w:val="000000"/>
                <w:sz w:val="18"/>
                <w:szCs w:val="18"/>
              </w:rPr>
              <w:t>241 163 333</w:t>
            </w:r>
          </w:p>
        </w:tc>
        <w:tc>
          <w:tcPr>
            <w:tcW w:w="709" w:type="dxa"/>
            <w:shd w:val="clear" w:color="000000" w:fill="D9D9D9"/>
            <w:noWrap/>
            <w:vAlign w:val="center"/>
            <w:hideMark/>
          </w:tcPr>
          <w:p w:rsidR="00C81870" w:rsidRPr="00C81870" w:rsidRDefault="00C81870" w:rsidP="00C81870">
            <w:pPr>
              <w:jc w:val="center"/>
              <w:rPr>
                <w:b/>
                <w:color w:val="000000"/>
                <w:sz w:val="18"/>
                <w:szCs w:val="18"/>
              </w:rPr>
            </w:pPr>
            <w:r w:rsidRPr="00C81870">
              <w:rPr>
                <w:b/>
                <w:color w:val="000000"/>
                <w:sz w:val="18"/>
                <w:szCs w:val="18"/>
              </w:rPr>
              <w:t>65,4%</w:t>
            </w:r>
          </w:p>
        </w:tc>
        <w:tc>
          <w:tcPr>
            <w:tcW w:w="1302" w:type="dxa"/>
            <w:shd w:val="clear" w:color="000000" w:fill="D9D9D9"/>
            <w:noWrap/>
            <w:vAlign w:val="center"/>
            <w:hideMark/>
          </w:tcPr>
          <w:p w:rsidR="00C81870" w:rsidRPr="00C81870" w:rsidRDefault="00C81870" w:rsidP="00C81870">
            <w:pPr>
              <w:jc w:val="center"/>
              <w:rPr>
                <w:b/>
                <w:bCs/>
                <w:color w:val="000000"/>
                <w:sz w:val="18"/>
                <w:szCs w:val="18"/>
              </w:rPr>
            </w:pPr>
            <w:r w:rsidRPr="00C81870">
              <w:rPr>
                <w:b/>
                <w:bCs/>
                <w:color w:val="000000"/>
                <w:sz w:val="18"/>
                <w:szCs w:val="18"/>
              </w:rPr>
              <w:t>235 589 118</w:t>
            </w:r>
          </w:p>
        </w:tc>
        <w:tc>
          <w:tcPr>
            <w:tcW w:w="731" w:type="dxa"/>
            <w:shd w:val="clear" w:color="000000" w:fill="D9D9D9"/>
            <w:noWrap/>
            <w:vAlign w:val="center"/>
            <w:hideMark/>
          </w:tcPr>
          <w:p w:rsidR="00C81870" w:rsidRPr="00C81870" w:rsidRDefault="00C81870" w:rsidP="00C81870">
            <w:pPr>
              <w:jc w:val="center"/>
              <w:rPr>
                <w:b/>
                <w:color w:val="000000"/>
                <w:sz w:val="18"/>
                <w:szCs w:val="18"/>
              </w:rPr>
            </w:pPr>
            <w:r w:rsidRPr="00C81870">
              <w:rPr>
                <w:b/>
                <w:color w:val="000000"/>
                <w:sz w:val="18"/>
                <w:szCs w:val="18"/>
              </w:rPr>
              <w:t>63,9%</w:t>
            </w:r>
          </w:p>
        </w:tc>
      </w:tr>
    </w:tbl>
    <w:p w:rsidR="00A75862" w:rsidRPr="00D95A18" w:rsidRDefault="00A75862" w:rsidP="00795439">
      <w:pPr>
        <w:spacing w:before="60"/>
        <w:rPr>
          <w:i/>
          <w:sz w:val="18"/>
          <w:szCs w:val="18"/>
        </w:rPr>
      </w:pPr>
      <w:r w:rsidRPr="00D95A18">
        <w:rPr>
          <w:i/>
          <w:sz w:val="18"/>
          <w:szCs w:val="18"/>
        </w:rPr>
        <w:t xml:space="preserve">Zdroj: MSC2007 ke dni </w:t>
      </w:r>
      <w:r w:rsidR="00843D8E">
        <w:rPr>
          <w:i/>
          <w:sz w:val="18"/>
          <w:szCs w:val="18"/>
        </w:rPr>
        <w:t>31</w:t>
      </w:r>
      <w:r w:rsidR="00843D8E" w:rsidRPr="00D95A18">
        <w:rPr>
          <w:i/>
          <w:sz w:val="18"/>
          <w:szCs w:val="18"/>
        </w:rPr>
        <w:t>. 12. 2014</w:t>
      </w:r>
    </w:p>
    <w:p w:rsidR="00A75862" w:rsidRPr="00D95A18" w:rsidRDefault="00A75862" w:rsidP="00795439">
      <w:pPr>
        <w:rPr>
          <w:i/>
          <w:sz w:val="18"/>
          <w:szCs w:val="18"/>
        </w:rPr>
      </w:pPr>
      <w:r w:rsidRPr="00D95A18">
        <w:rPr>
          <w:i/>
          <w:sz w:val="18"/>
          <w:szCs w:val="18"/>
        </w:rPr>
        <w:t xml:space="preserve">Kurz CZK/EUR: </w:t>
      </w:r>
      <w:r w:rsidR="0096360A">
        <w:rPr>
          <w:i/>
          <w:sz w:val="18"/>
          <w:szCs w:val="18"/>
        </w:rPr>
        <w:t>27,728</w:t>
      </w:r>
    </w:p>
    <w:p w:rsidR="00A7557F" w:rsidRDefault="007C58F6" w:rsidP="00795439">
      <w:pPr>
        <w:jc w:val="both"/>
        <w:rPr>
          <w:i/>
          <w:color w:val="000000"/>
          <w:sz w:val="18"/>
          <w:szCs w:val="18"/>
        </w:rPr>
      </w:pPr>
      <w:r>
        <w:rPr>
          <w:i/>
          <w:color w:val="000000"/>
          <w:sz w:val="18"/>
          <w:szCs w:val="18"/>
        </w:rPr>
        <w:t>Zdroj financování: p</w:t>
      </w:r>
      <w:r w:rsidR="00A7557F" w:rsidRPr="000435AC">
        <w:rPr>
          <w:i/>
          <w:color w:val="000000"/>
          <w:sz w:val="18"/>
          <w:szCs w:val="18"/>
        </w:rPr>
        <w:t>odíl EU</w:t>
      </w:r>
      <w:r w:rsidR="00CD186C">
        <w:rPr>
          <w:i/>
          <w:color w:val="000000"/>
          <w:sz w:val="18"/>
          <w:szCs w:val="18"/>
        </w:rPr>
        <w:t xml:space="preserve"> </w:t>
      </w:r>
      <w:r w:rsidR="00A7557F">
        <w:rPr>
          <w:i/>
          <w:color w:val="000000"/>
          <w:sz w:val="18"/>
          <w:szCs w:val="18"/>
        </w:rPr>
        <w:t>+</w:t>
      </w:r>
      <w:r w:rsidR="00CD186C">
        <w:rPr>
          <w:i/>
          <w:color w:val="000000"/>
          <w:sz w:val="18"/>
          <w:szCs w:val="18"/>
        </w:rPr>
        <w:t xml:space="preserve"> </w:t>
      </w:r>
      <w:r>
        <w:rPr>
          <w:i/>
          <w:color w:val="000000"/>
          <w:sz w:val="18"/>
          <w:szCs w:val="18"/>
        </w:rPr>
        <w:t>národní veřejné zdroje</w:t>
      </w:r>
      <w:r w:rsidR="00CD186C">
        <w:rPr>
          <w:i/>
          <w:color w:val="000000"/>
          <w:sz w:val="18"/>
          <w:szCs w:val="18"/>
        </w:rPr>
        <w:t xml:space="preserve"> </w:t>
      </w:r>
      <w:r>
        <w:rPr>
          <w:i/>
          <w:color w:val="000000"/>
          <w:sz w:val="18"/>
          <w:szCs w:val="18"/>
        </w:rPr>
        <w:t>+</w:t>
      </w:r>
      <w:r w:rsidR="00CD186C">
        <w:rPr>
          <w:i/>
          <w:color w:val="000000"/>
          <w:sz w:val="18"/>
          <w:szCs w:val="18"/>
        </w:rPr>
        <w:t xml:space="preserve"> </w:t>
      </w:r>
      <w:r>
        <w:rPr>
          <w:i/>
          <w:color w:val="000000"/>
          <w:sz w:val="18"/>
          <w:szCs w:val="18"/>
        </w:rPr>
        <w:t>s</w:t>
      </w:r>
      <w:r w:rsidR="00A7557F">
        <w:rPr>
          <w:i/>
          <w:color w:val="000000"/>
          <w:sz w:val="18"/>
          <w:szCs w:val="18"/>
        </w:rPr>
        <w:t>oukromé výdaje</w:t>
      </w:r>
      <w:r w:rsidR="00A7557F" w:rsidRPr="000435AC">
        <w:rPr>
          <w:i/>
          <w:color w:val="000000"/>
          <w:sz w:val="18"/>
          <w:szCs w:val="18"/>
        </w:rPr>
        <w:t xml:space="preserve">  </w:t>
      </w:r>
    </w:p>
    <w:p w:rsidR="00A75862" w:rsidRDefault="00A75862" w:rsidP="001126DC">
      <w:pPr>
        <w:spacing w:after="120" w:line="276" w:lineRule="auto"/>
        <w:rPr>
          <w:color w:val="0070C0"/>
          <w:sz w:val="22"/>
          <w:szCs w:val="22"/>
        </w:rPr>
      </w:pPr>
    </w:p>
    <w:p w:rsidR="00A75862" w:rsidRDefault="00A75862" w:rsidP="00E6269C">
      <w:pPr>
        <w:pStyle w:val="Tabulkanzev"/>
      </w:pPr>
      <w:bookmarkStart w:id="151" w:name="_Toc416431823"/>
      <w:r w:rsidRPr="009026D3">
        <w:t>Finančn</w:t>
      </w:r>
      <w:r w:rsidR="00822D1A">
        <w:t>í pokrok PO 1a a 1b k </w:t>
      </w:r>
      <w:bookmarkEnd w:id="151"/>
      <w:r w:rsidR="00E6269C">
        <w:t>31. 12. 2014</w:t>
      </w:r>
    </w:p>
    <w:tbl>
      <w:tblPr>
        <w:tblW w:w="858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1483"/>
        <w:gridCol w:w="1261"/>
        <w:gridCol w:w="753"/>
        <w:gridCol w:w="1438"/>
        <w:gridCol w:w="841"/>
        <w:gridCol w:w="1261"/>
        <w:gridCol w:w="703"/>
      </w:tblGrid>
      <w:tr w:rsidR="00822D1A" w:rsidRPr="00822D1A" w:rsidTr="00822D1A">
        <w:trPr>
          <w:trHeight w:val="613"/>
        </w:trPr>
        <w:tc>
          <w:tcPr>
            <w:tcW w:w="846" w:type="dxa"/>
            <w:vMerge w:val="restart"/>
            <w:shd w:val="clear" w:color="000000" w:fill="C4D79B"/>
            <w:vAlign w:val="center"/>
            <w:hideMark/>
          </w:tcPr>
          <w:p w:rsidR="00822D1A" w:rsidRPr="00822D1A" w:rsidRDefault="00822D1A" w:rsidP="00822D1A">
            <w:pPr>
              <w:jc w:val="center"/>
              <w:rPr>
                <w:b/>
                <w:bCs/>
                <w:color w:val="000000"/>
                <w:sz w:val="16"/>
                <w:szCs w:val="16"/>
              </w:rPr>
            </w:pPr>
            <w:r w:rsidRPr="00822D1A">
              <w:rPr>
                <w:b/>
                <w:bCs/>
                <w:color w:val="000000"/>
                <w:sz w:val="16"/>
                <w:szCs w:val="16"/>
              </w:rPr>
              <w:t>Oblast podpory</w:t>
            </w:r>
          </w:p>
        </w:tc>
        <w:tc>
          <w:tcPr>
            <w:tcW w:w="1483" w:type="dxa"/>
            <w:shd w:val="clear" w:color="000000" w:fill="C4D79B"/>
            <w:vAlign w:val="center"/>
            <w:hideMark/>
          </w:tcPr>
          <w:p w:rsidR="00822D1A" w:rsidRPr="00822D1A" w:rsidRDefault="00822D1A" w:rsidP="00822D1A">
            <w:pPr>
              <w:jc w:val="center"/>
              <w:rPr>
                <w:b/>
                <w:bCs/>
                <w:color w:val="000000"/>
                <w:sz w:val="16"/>
                <w:szCs w:val="16"/>
              </w:rPr>
            </w:pPr>
            <w:r w:rsidRPr="00822D1A">
              <w:rPr>
                <w:b/>
                <w:bCs/>
                <w:color w:val="000000"/>
                <w:sz w:val="16"/>
                <w:szCs w:val="16"/>
              </w:rPr>
              <w:t>Alokace podpory 2007-2013</w:t>
            </w:r>
          </w:p>
        </w:tc>
        <w:tc>
          <w:tcPr>
            <w:tcW w:w="2014" w:type="dxa"/>
            <w:gridSpan w:val="2"/>
            <w:shd w:val="clear" w:color="000000" w:fill="C4D79B"/>
            <w:vAlign w:val="center"/>
            <w:hideMark/>
          </w:tcPr>
          <w:p w:rsidR="00822D1A" w:rsidRPr="00822D1A" w:rsidRDefault="00822D1A" w:rsidP="00822D1A">
            <w:pPr>
              <w:jc w:val="center"/>
              <w:rPr>
                <w:b/>
                <w:bCs/>
                <w:color w:val="000000"/>
                <w:sz w:val="16"/>
                <w:szCs w:val="16"/>
              </w:rPr>
            </w:pPr>
            <w:r w:rsidRPr="00822D1A">
              <w:rPr>
                <w:b/>
                <w:bCs/>
                <w:color w:val="000000"/>
                <w:sz w:val="16"/>
                <w:szCs w:val="16"/>
              </w:rPr>
              <w:t>Prostředky kryté Rozhodnutím / Smlouvou (dodatkem)</w:t>
            </w:r>
          </w:p>
        </w:tc>
        <w:tc>
          <w:tcPr>
            <w:tcW w:w="2279" w:type="dxa"/>
            <w:gridSpan w:val="2"/>
            <w:shd w:val="clear" w:color="000000" w:fill="C4D79B"/>
            <w:vAlign w:val="center"/>
            <w:hideMark/>
          </w:tcPr>
          <w:p w:rsidR="00822D1A" w:rsidRPr="00822D1A" w:rsidRDefault="00822D1A" w:rsidP="00822D1A">
            <w:pPr>
              <w:jc w:val="center"/>
              <w:rPr>
                <w:b/>
                <w:bCs/>
                <w:color w:val="000000"/>
                <w:sz w:val="16"/>
                <w:szCs w:val="16"/>
              </w:rPr>
            </w:pPr>
            <w:r w:rsidRPr="00822D1A">
              <w:rPr>
                <w:b/>
                <w:bCs/>
                <w:color w:val="000000"/>
                <w:sz w:val="16"/>
                <w:szCs w:val="16"/>
              </w:rPr>
              <w:t>Proplacené prostředky příjemcům (vyúčtované prostředky)</w:t>
            </w:r>
          </w:p>
        </w:tc>
        <w:tc>
          <w:tcPr>
            <w:tcW w:w="1964" w:type="dxa"/>
            <w:gridSpan w:val="2"/>
            <w:shd w:val="clear" w:color="000000" w:fill="C4D79B"/>
            <w:vAlign w:val="center"/>
            <w:hideMark/>
          </w:tcPr>
          <w:p w:rsidR="00822D1A" w:rsidRPr="00822D1A" w:rsidRDefault="00822D1A" w:rsidP="00822D1A">
            <w:pPr>
              <w:jc w:val="center"/>
              <w:rPr>
                <w:b/>
                <w:bCs/>
                <w:color w:val="000000"/>
                <w:sz w:val="16"/>
                <w:szCs w:val="16"/>
              </w:rPr>
            </w:pPr>
            <w:r w:rsidRPr="00822D1A">
              <w:rPr>
                <w:b/>
                <w:bCs/>
                <w:color w:val="000000"/>
                <w:sz w:val="16"/>
                <w:szCs w:val="16"/>
              </w:rPr>
              <w:t>Certifikované prostředky (včetně vratek)</w:t>
            </w:r>
          </w:p>
        </w:tc>
      </w:tr>
      <w:tr w:rsidR="00822D1A" w:rsidRPr="00822D1A" w:rsidTr="00822D1A">
        <w:trPr>
          <w:trHeight w:val="292"/>
        </w:trPr>
        <w:tc>
          <w:tcPr>
            <w:tcW w:w="846" w:type="dxa"/>
            <w:vMerge/>
            <w:vAlign w:val="center"/>
            <w:hideMark/>
          </w:tcPr>
          <w:p w:rsidR="00822D1A" w:rsidRPr="00822D1A" w:rsidRDefault="00822D1A" w:rsidP="00822D1A">
            <w:pPr>
              <w:rPr>
                <w:b/>
                <w:bCs/>
                <w:color w:val="000000"/>
                <w:sz w:val="16"/>
                <w:szCs w:val="16"/>
              </w:rPr>
            </w:pPr>
          </w:p>
        </w:tc>
        <w:tc>
          <w:tcPr>
            <w:tcW w:w="1483" w:type="dxa"/>
            <w:shd w:val="clear" w:color="000000" w:fill="C4D79B"/>
            <w:vAlign w:val="center"/>
            <w:hideMark/>
          </w:tcPr>
          <w:p w:rsidR="00822D1A" w:rsidRPr="00822D1A" w:rsidRDefault="00822D1A" w:rsidP="00822D1A">
            <w:pPr>
              <w:jc w:val="center"/>
              <w:rPr>
                <w:color w:val="000000"/>
                <w:sz w:val="18"/>
                <w:szCs w:val="18"/>
              </w:rPr>
            </w:pPr>
            <w:r w:rsidRPr="00822D1A">
              <w:rPr>
                <w:color w:val="000000"/>
                <w:sz w:val="18"/>
                <w:szCs w:val="18"/>
              </w:rPr>
              <w:t>EUR</w:t>
            </w:r>
          </w:p>
        </w:tc>
        <w:tc>
          <w:tcPr>
            <w:tcW w:w="1261" w:type="dxa"/>
            <w:shd w:val="clear" w:color="000000" w:fill="C4D79B"/>
            <w:vAlign w:val="center"/>
            <w:hideMark/>
          </w:tcPr>
          <w:p w:rsidR="00822D1A" w:rsidRPr="00822D1A" w:rsidRDefault="00822D1A" w:rsidP="00822D1A">
            <w:pPr>
              <w:jc w:val="center"/>
              <w:rPr>
                <w:color w:val="000000"/>
                <w:sz w:val="18"/>
                <w:szCs w:val="18"/>
              </w:rPr>
            </w:pPr>
            <w:r w:rsidRPr="00822D1A">
              <w:rPr>
                <w:color w:val="000000"/>
                <w:sz w:val="18"/>
                <w:szCs w:val="18"/>
              </w:rPr>
              <w:t>EUR</w:t>
            </w:r>
          </w:p>
        </w:tc>
        <w:tc>
          <w:tcPr>
            <w:tcW w:w="752" w:type="dxa"/>
            <w:shd w:val="clear" w:color="000000" w:fill="C4D79B"/>
            <w:vAlign w:val="center"/>
            <w:hideMark/>
          </w:tcPr>
          <w:p w:rsidR="00822D1A" w:rsidRPr="00822D1A" w:rsidRDefault="00822D1A" w:rsidP="00822D1A">
            <w:pPr>
              <w:jc w:val="center"/>
              <w:rPr>
                <w:color w:val="000000"/>
                <w:sz w:val="18"/>
                <w:szCs w:val="18"/>
              </w:rPr>
            </w:pPr>
            <w:r w:rsidRPr="00822D1A">
              <w:rPr>
                <w:color w:val="000000"/>
                <w:sz w:val="18"/>
                <w:szCs w:val="18"/>
              </w:rPr>
              <w:t>%</w:t>
            </w:r>
          </w:p>
        </w:tc>
        <w:tc>
          <w:tcPr>
            <w:tcW w:w="1438" w:type="dxa"/>
            <w:shd w:val="clear" w:color="000000" w:fill="C4D79B"/>
            <w:vAlign w:val="center"/>
            <w:hideMark/>
          </w:tcPr>
          <w:p w:rsidR="00822D1A" w:rsidRPr="00822D1A" w:rsidRDefault="00822D1A" w:rsidP="00822D1A">
            <w:pPr>
              <w:jc w:val="center"/>
              <w:rPr>
                <w:color w:val="000000"/>
                <w:sz w:val="18"/>
                <w:szCs w:val="18"/>
              </w:rPr>
            </w:pPr>
            <w:r w:rsidRPr="00822D1A">
              <w:rPr>
                <w:color w:val="000000"/>
                <w:sz w:val="18"/>
                <w:szCs w:val="18"/>
              </w:rPr>
              <w:t>EUR</w:t>
            </w:r>
          </w:p>
        </w:tc>
        <w:tc>
          <w:tcPr>
            <w:tcW w:w="841" w:type="dxa"/>
            <w:shd w:val="clear" w:color="000000" w:fill="C4D79B"/>
            <w:vAlign w:val="center"/>
            <w:hideMark/>
          </w:tcPr>
          <w:p w:rsidR="00822D1A" w:rsidRPr="00822D1A" w:rsidRDefault="00822D1A" w:rsidP="00822D1A">
            <w:pPr>
              <w:jc w:val="center"/>
              <w:rPr>
                <w:color w:val="000000"/>
                <w:sz w:val="18"/>
                <w:szCs w:val="18"/>
              </w:rPr>
            </w:pPr>
            <w:r w:rsidRPr="00822D1A">
              <w:rPr>
                <w:color w:val="000000"/>
                <w:sz w:val="18"/>
                <w:szCs w:val="18"/>
              </w:rPr>
              <w:t>%</w:t>
            </w:r>
          </w:p>
        </w:tc>
        <w:tc>
          <w:tcPr>
            <w:tcW w:w="1261" w:type="dxa"/>
            <w:shd w:val="clear" w:color="000000" w:fill="C4D79B"/>
            <w:vAlign w:val="center"/>
            <w:hideMark/>
          </w:tcPr>
          <w:p w:rsidR="00822D1A" w:rsidRPr="00822D1A" w:rsidRDefault="00822D1A" w:rsidP="00822D1A">
            <w:pPr>
              <w:jc w:val="center"/>
              <w:rPr>
                <w:color w:val="000000"/>
                <w:sz w:val="18"/>
                <w:szCs w:val="18"/>
              </w:rPr>
            </w:pPr>
            <w:r w:rsidRPr="00822D1A">
              <w:rPr>
                <w:color w:val="000000"/>
                <w:sz w:val="18"/>
                <w:szCs w:val="18"/>
              </w:rPr>
              <w:t>EUR</w:t>
            </w:r>
          </w:p>
        </w:tc>
        <w:tc>
          <w:tcPr>
            <w:tcW w:w="703" w:type="dxa"/>
            <w:shd w:val="clear" w:color="000000" w:fill="C4D79B"/>
            <w:vAlign w:val="center"/>
            <w:hideMark/>
          </w:tcPr>
          <w:p w:rsidR="00822D1A" w:rsidRPr="00822D1A" w:rsidRDefault="00822D1A" w:rsidP="00822D1A">
            <w:pPr>
              <w:jc w:val="center"/>
              <w:rPr>
                <w:color w:val="000000"/>
                <w:sz w:val="18"/>
                <w:szCs w:val="18"/>
              </w:rPr>
            </w:pPr>
            <w:r w:rsidRPr="00822D1A">
              <w:rPr>
                <w:color w:val="000000"/>
                <w:sz w:val="18"/>
                <w:szCs w:val="18"/>
              </w:rPr>
              <w:t>%</w:t>
            </w:r>
          </w:p>
        </w:tc>
      </w:tr>
      <w:tr w:rsidR="00822D1A" w:rsidRPr="00822D1A" w:rsidTr="00822D1A">
        <w:trPr>
          <w:trHeight w:val="292"/>
        </w:trPr>
        <w:tc>
          <w:tcPr>
            <w:tcW w:w="846" w:type="dxa"/>
            <w:vMerge/>
            <w:vAlign w:val="center"/>
            <w:hideMark/>
          </w:tcPr>
          <w:p w:rsidR="00822D1A" w:rsidRPr="00822D1A" w:rsidRDefault="00822D1A" w:rsidP="00822D1A">
            <w:pPr>
              <w:rPr>
                <w:b/>
                <w:bCs/>
                <w:color w:val="000000"/>
                <w:sz w:val="16"/>
                <w:szCs w:val="16"/>
              </w:rPr>
            </w:pPr>
          </w:p>
        </w:tc>
        <w:tc>
          <w:tcPr>
            <w:tcW w:w="1483" w:type="dxa"/>
            <w:shd w:val="clear" w:color="000000" w:fill="C4D79B"/>
            <w:vAlign w:val="center"/>
            <w:hideMark/>
          </w:tcPr>
          <w:p w:rsidR="00822D1A" w:rsidRPr="00822D1A" w:rsidRDefault="00822D1A" w:rsidP="00822D1A">
            <w:pPr>
              <w:jc w:val="center"/>
              <w:rPr>
                <w:b/>
                <w:bCs/>
                <w:color w:val="000000"/>
                <w:sz w:val="18"/>
                <w:szCs w:val="18"/>
              </w:rPr>
            </w:pPr>
            <w:r w:rsidRPr="00822D1A">
              <w:rPr>
                <w:b/>
                <w:bCs/>
                <w:color w:val="000000"/>
                <w:sz w:val="18"/>
                <w:szCs w:val="18"/>
              </w:rPr>
              <w:t xml:space="preserve">a </w:t>
            </w:r>
          </w:p>
        </w:tc>
        <w:tc>
          <w:tcPr>
            <w:tcW w:w="1261" w:type="dxa"/>
            <w:shd w:val="clear" w:color="000000" w:fill="C4D79B"/>
            <w:vAlign w:val="center"/>
            <w:hideMark/>
          </w:tcPr>
          <w:p w:rsidR="00822D1A" w:rsidRPr="00822D1A" w:rsidRDefault="00822D1A" w:rsidP="00822D1A">
            <w:pPr>
              <w:jc w:val="center"/>
              <w:rPr>
                <w:b/>
                <w:bCs/>
                <w:color w:val="000000"/>
                <w:sz w:val="18"/>
                <w:szCs w:val="18"/>
              </w:rPr>
            </w:pPr>
            <w:r w:rsidRPr="00822D1A">
              <w:rPr>
                <w:b/>
                <w:bCs/>
                <w:color w:val="000000"/>
                <w:sz w:val="18"/>
                <w:szCs w:val="18"/>
              </w:rPr>
              <w:t xml:space="preserve">b </w:t>
            </w:r>
          </w:p>
        </w:tc>
        <w:tc>
          <w:tcPr>
            <w:tcW w:w="752" w:type="dxa"/>
            <w:shd w:val="clear" w:color="000000" w:fill="C4D79B"/>
            <w:vAlign w:val="center"/>
            <w:hideMark/>
          </w:tcPr>
          <w:p w:rsidR="00822D1A" w:rsidRPr="00822D1A" w:rsidRDefault="00822D1A" w:rsidP="00822D1A">
            <w:pPr>
              <w:jc w:val="center"/>
              <w:rPr>
                <w:b/>
                <w:bCs/>
                <w:color w:val="000000"/>
                <w:sz w:val="18"/>
                <w:szCs w:val="18"/>
              </w:rPr>
            </w:pPr>
            <w:r w:rsidRPr="00822D1A">
              <w:rPr>
                <w:b/>
                <w:bCs/>
                <w:color w:val="000000"/>
                <w:sz w:val="18"/>
                <w:szCs w:val="18"/>
              </w:rPr>
              <w:t xml:space="preserve">b/a </w:t>
            </w:r>
          </w:p>
        </w:tc>
        <w:tc>
          <w:tcPr>
            <w:tcW w:w="1438" w:type="dxa"/>
            <w:shd w:val="clear" w:color="000000" w:fill="C4D79B"/>
            <w:vAlign w:val="center"/>
            <w:hideMark/>
          </w:tcPr>
          <w:p w:rsidR="00822D1A" w:rsidRPr="00822D1A" w:rsidRDefault="00822D1A" w:rsidP="00822D1A">
            <w:pPr>
              <w:jc w:val="center"/>
              <w:rPr>
                <w:b/>
                <w:bCs/>
                <w:color w:val="000000"/>
                <w:sz w:val="18"/>
                <w:szCs w:val="18"/>
              </w:rPr>
            </w:pPr>
            <w:r w:rsidRPr="00822D1A">
              <w:rPr>
                <w:b/>
                <w:bCs/>
                <w:color w:val="000000"/>
                <w:sz w:val="18"/>
                <w:szCs w:val="18"/>
              </w:rPr>
              <w:t xml:space="preserve">c </w:t>
            </w:r>
          </w:p>
        </w:tc>
        <w:tc>
          <w:tcPr>
            <w:tcW w:w="841" w:type="dxa"/>
            <w:shd w:val="clear" w:color="000000" w:fill="C4D79B"/>
            <w:vAlign w:val="center"/>
            <w:hideMark/>
          </w:tcPr>
          <w:p w:rsidR="00822D1A" w:rsidRPr="00822D1A" w:rsidRDefault="00822D1A" w:rsidP="00822D1A">
            <w:pPr>
              <w:jc w:val="center"/>
              <w:rPr>
                <w:b/>
                <w:bCs/>
                <w:color w:val="000000"/>
                <w:sz w:val="18"/>
                <w:szCs w:val="18"/>
              </w:rPr>
            </w:pPr>
            <w:r w:rsidRPr="00822D1A">
              <w:rPr>
                <w:b/>
                <w:bCs/>
                <w:color w:val="000000"/>
                <w:sz w:val="18"/>
                <w:szCs w:val="18"/>
              </w:rPr>
              <w:t xml:space="preserve">c/a </w:t>
            </w:r>
          </w:p>
        </w:tc>
        <w:tc>
          <w:tcPr>
            <w:tcW w:w="1261" w:type="dxa"/>
            <w:shd w:val="clear" w:color="000000" w:fill="C4D79B"/>
            <w:vAlign w:val="center"/>
            <w:hideMark/>
          </w:tcPr>
          <w:p w:rsidR="00822D1A" w:rsidRPr="00822D1A" w:rsidRDefault="00822D1A" w:rsidP="00822D1A">
            <w:pPr>
              <w:jc w:val="center"/>
              <w:rPr>
                <w:b/>
                <w:bCs/>
                <w:color w:val="000000"/>
                <w:sz w:val="18"/>
                <w:szCs w:val="18"/>
              </w:rPr>
            </w:pPr>
            <w:r w:rsidRPr="00822D1A">
              <w:rPr>
                <w:b/>
                <w:bCs/>
                <w:color w:val="000000"/>
                <w:sz w:val="18"/>
                <w:szCs w:val="18"/>
              </w:rPr>
              <w:t xml:space="preserve">d </w:t>
            </w:r>
          </w:p>
        </w:tc>
        <w:tc>
          <w:tcPr>
            <w:tcW w:w="703" w:type="dxa"/>
            <w:shd w:val="clear" w:color="000000" w:fill="C4D79B"/>
            <w:vAlign w:val="center"/>
            <w:hideMark/>
          </w:tcPr>
          <w:p w:rsidR="00822D1A" w:rsidRPr="00822D1A" w:rsidRDefault="00822D1A" w:rsidP="00822D1A">
            <w:pPr>
              <w:jc w:val="center"/>
              <w:rPr>
                <w:b/>
                <w:bCs/>
                <w:color w:val="000000"/>
                <w:sz w:val="18"/>
                <w:szCs w:val="18"/>
              </w:rPr>
            </w:pPr>
            <w:r w:rsidRPr="00822D1A">
              <w:rPr>
                <w:b/>
                <w:bCs/>
                <w:color w:val="000000"/>
                <w:sz w:val="18"/>
                <w:szCs w:val="18"/>
              </w:rPr>
              <w:t xml:space="preserve">d/a </w:t>
            </w:r>
          </w:p>
        </w:tc>
      </w:tr>
      <w:tr w:rsidR="00822D1A" w:rsidRPr="00822D1A" w:rsidTr="00822D1A">
        <w:trPr>
          <w:trHeight w:val="292"/>
        </w:trPr>
        <w:tc>
          <w:tcPr>
            <w:tcW w:w="846" w:type="dxa"/>
            <w:shd w:val="clear" w:color="000000" w:fill="FFFFFF"/>
            <w:vAlign w:val="center"/>
            <w:hideMark/>
          </w:tcPr>
          <w:p w:rsidR="00822D1A" w:rsidRPr="00822D1A" w:rsidRDefault="00822D1A" w:rsidP="00822D1A">
            <w:pPr>
              <w:jc w:val="center"/>
              <w:rPr>
                <w:color w:val="000000"/>
                <w:sz w:val="18"/>
                <w:szCs w:val="18"/>
              </w:rPr>
            </w:pPr>
            <w:r w:rsidRPr="00822D1A">
              <w:rPr>
                <w:color w:val="000000"/>
                <w:sz w:val="18"/>
                <w:szCs w:val="18"/>
              </w:rPr>
              <w:t xml:space="preserve">1.1a </w:t>
            </w:r>
          </w:p>
        </w:tc>
        <w:tc>
          <w:tcPr>
            <w:tcW w:w="1483"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290 942 083</w:t>
            </w:r>
          </w:p>
        </w:tc>
        <w:tc>
          <w:tcPr>
            <w:tcW w:w="1261"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248 816 949</w:t>
            </w:r>
          </w:p>
        </w:tc>
        <w:tc>
          <w:tcPr>
            <w:tcW w:w="752"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85,5%</w:t>
            </w:r>
          </w:p>
        </w:tc>
        <w:tc>
          <w:tcPr>
            <w:tcW w:w="1438"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190 007 908</w:t>
            </w:r>
          </w:p>
        </w:tc>
        <w:tc>
          <w:tcPr>
            <w:tcW w:w="841"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65,3%</w:t>
            </w:r>
          </w:p>
        </w:tc>
        <w:tc>
          <w:tcPr>
            <w:tcW w:w="1261"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185 668 351</w:t>
            </w:r>
          </w:p>
        </w:tc>
        <w:tc>
          <w:tcPr>
            <w:tcW w:w="703"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63,8%</w:t>
            </w:r>
          </w:p>
        </w:tc>
      </w:tr>
      <w:tr w:rsidR="00822D1A" w:rsidRPr="00822D1A" w:rsidTr="00822D1A">
        <w:trPr>
          <w:trHeight w:val="292"/>
        </w:trPr>
        <w:tc>
          <w:tcPr>
            <w:tcW w:w="846" w:type="dxa"/>
            <w:shd w:val="clear" w:color="000000" w:fill="FFFFFF"/>
            <w:vAlign w:val="center"/>
            <w:hideMark/>
          </w:tcPr>
          <w:p w:rsidR="00822D1A" w:rsidRPr="00822D1A" w:rsidRDefault="00822D1A" w:rsidP="00822D1A">
            <w:pPr>
              <w:jc w:val="center"/>
              <w:rPr>
                <w:color w:val="000000"/>
                <w:sz w:val="18"/>
                <w:szCs w:val="18"/>
              </w:rPr>
            </w:pPr>
            <w:r w:rsidRPr="00822D1A">
              <w:rPr>
                <w:color w:val="000000"/>
                <w:sz w:val="18"/>
                <w:szCs w:val="18"/>
              </w:rPr>
              <w:t xml:space="preserve">1.1b </w:t>
            </w:r>
          </w:p>
        </w:tc>
        <w:tc>
          <w:tcPr>
            <w:tcW w:w="1483"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22 380 161</w:t>
            </w:r>
          </w:p>
        </w:tc>
        <w:tc>
          <w:tcPr>
            <w:tcW w:w="1261"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19 139 766</w:t>
            </w:r>
          </w:p>
        </w:tc>
        <w:tc>
          <w:tcPr>
            <w:tcW w:w="752"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85,5%</w:t>
            </w:r>
          </w:p>
        </w:tc>
        <w:tc>
          <w:tcPr>
            <w:tcW w:w="1438"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14 615 891</w:t>
            </w:r>
          </w:p>
        </w:tc>
        <w:tc>
          <w:tcPr>
            <w:tcW w:w="841"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65,3%</w:t>
            </w:r>
          </w:p>
        </w:tc>
        <w:tc>
          <w:tcPr>
            <w:tcW w:w="1261"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14 282 181</w:t>
            </w:r>
          </w:p>
        </w:tc>
        <w:tc>
          <w:tcPr>
            <w:tcW w:w="703" w:type="dxa"/>
            <w:shd w:val="clear" w:color="000000" w:fill="FFFFFF"/>
            <w:noWrap/>
            <w:vAlign w:val="center"/>
            <w:hideMark/>
          </w:tcPr>
          <w:p w:rsidR="00822D1A" w:rsidRPr="00822D1A" w:rsidRDefault="00822D1A" w:rsidP="00822D1A">
            <w:pPr>
              <w:jc w:val="center"/>
              <w:rPr>
                <w:color w:val="000000"/>
                <w:sz w:val="18"/>
                <w:szCs w:val="18"/>
              </w:rPr>
            </w:pPr>
            <w:r w:rsidRPr="00822D1A">
              <w:rPr>
                <w:color w:val="000000"/>
                <w:sz w:val="18"/>
                <w:szCs w:val="18"/>
              </w:rPr>
              <w:t>63,8%</w:t>
            </w:r>
          </w:p>
        </w:tc>
      </w:tr>
      <w:tr w:rsidR="00822D1A" w:rsidRPr="00822D1A" w:rsidTr="00822D1A">
        <w:trPr>
          <w:trHeight w:val="306"/>
        </w:trPr>
        <w:tc>
          <w:tcPr>
            <w:tcW w:w="846" w:type="dxa"/>
            <w:shd w:val="clear" w:color="000000" w:fill="D9D9D9"/>
            <w:vAlign w:val="center"/>
            <w:hideMark/>
          </w:tcPr>
          <w:p w:rsidR="00822D1A" w:rsidRPr="00822D1A" w:rsidRDefault="00822D1A" w:rsidP="00822D1A">
            <w:pPr>
              <w:jc w:val="center"/>
              <w:rPr>
                <w:b/>
                <w:bCs/>
                <w:color w:val="000000"/>
                <w:sz w:val="18"/>
                <w:szCs w:val="18"/>
              </w:rPr>
            </w:pPr>
            <w:r w:rsidRPr="00822D1A">
              <w:rPr>
                <w:b/>
                <w:bCs/>
                <w:color w:val="000000"/>
                <w:sz w:val="18"/>
                <w:szCs w:val="18"/>
              </w:rPr>
              <w:t>PO 1</w:t>
            </w:r>
          </w:p>
        </w:tc>
        <w:tc>
          <w:tcPr>
            <w:tcW w:w="1483" w:type="dxa"/>
            <w:shd w:val="clear" w:color="000000" w:fill="D9D9D9"/>
            <w:noWrap/>
            <w:vAlign w:val="center"/>
            <w:hideMark/>
          </w:tcPr>
          <w:p w:rsidR="00822D1A" w:rsidRPr="00822D1A" w:rsidRDefault="00822D1A" w:rsidP="00822D1A">
            <w:pPr>
              <w:jc w:val="center"/>
              <w:rPr>
                <w:b/>
                <w:bCs/>
                <w:color w:val="000000"/>
                <w:sz w:val="18"/>
                <w:szCs w:val="18"/>
              </w:rPr>
            </w:pPr>
            <w:r w:rsidRPr="00822D1A">
              <w:rPr>
                <w:b/>
                <w:bCs/>
                <w:color w:val="000000"/>
                <w:sz w:val="18"/>
                <w:szCs w:val="18"/>
              </w:rPr>
              <w:t>313 322 244</w:t>
            </w:r>
          </w:p>
        </w:tc>
        <w:tc>
          <w:tcPr>
            <w:tcW w:w="1261" w:type="dxa"/>
            <w:shd w:val="clear" w:color="000000" w:fill="D9D9D9"/>
            <w:noWrap/>
            <w:vAlign w:val="center"/>
            <w:hideMark/>
          </w:tcPr>
          <w:p w:rsidR="00822D1A" w:rsidRPr="00822D1A" w:rsidRDefault="00822D1A" w:rsidP="00822D1A">
            <w:pPr>
              <w:jc w:val="center"/>
              <w:rPr>
                <w:b/>
                <w:bCs/>
                <w:color w:val="000000"/>
                <w:sz w:val="18"/>
                <w:szCs w:val="18"/>
              </w:rPr>
            </w:pPr>
            <w:r w:rsidRPr="00822D1A">
              <w:rPr>
                <w:b/>
                <w:bCs/>
                <w:color w:val="000000"/>
                <w:sz w:val="18"/>
                <w:szCs w:val="18"/>
              </w:rPr>
              <w:t>267 956 715</w:t>
            </w:r>
          </w:p>
        </w:tc>
        <w:tc>
          <w:tcPr>
            <w:tcW w:w="752" w:type="dxa"/>
            <w:shd w:val="clear" w:color="000000" w:fill="D9D9D9"/>
            <w:noWrap/>
            <w:vAlign w:val="center"/>
            <w:hideMark/>
          </w:tcPr>
          <w:p w:rsidR="00822D1A" w:rsidRPr="00822D1A" w:rsidRDefault="00822D1A" w:rsidP="00822D1A">
            <w:pPr>
              <w:jc w:val="center"/>
              <w:rPr>
                <w:b/>
                <w:bCs/>
                <w:color w:val="000000"/>
                <w:sz w:val="18"/>
                <w:szCs w:val="18"/>
              </w:rPr>
            </w:pPr>
            <w:r w:rsidRPr="00822D1A">
              <w:rPr>
                <w:b/>
                <w:bCs/>
                <w:color w:val="000000"/>
                <w:sz w:val="18"/>
                <w:szCs w:val="18"/>
              </w:rPr>
              <w:t>85,5%</w:t>
            </w:r>
          </w:p>
        </w:tc>
        <w:tc>
          <w:tcPr>
            <w:tcW w:w="1438" w:type="dxa"/>
            <w:shd w:val="clear" w:color="000000" w:fill="D9D9D9"/>
            <w:noWrap/>
            <w:vAlign w:val="center"/>
            <w:hideMark/>
          </w:tcPr>
          <w:p w:rsidR="00822D1A" w:rsidRPr="00822D1A" w:rsidRDefault="00822D1A" w:rsidP="00822D1A">
            <w:pPr>
              <w:jc w:val="center"/>
              <w:rPr>
                <w:b/>
                <w:bCs/>
                <w:color w:val="000000"/>
                <w:sz w:val="18"/>
                <w:szCs w:val="18"/>
              </w:rPr>
            </w:pPr>
            <w:r w:rsidRPr="00822D1A">
              <w:rPr>
                <w:b/>
                <w:bCs/>
                <w:color w:val="000000"/>
                <w:sz w:val="18"/>
                <w:szCs w:val="18"/>
              </w:rPr>
              <w:t>204 623 799</w:t>
            </w:r>
          </w:p>
        </w:tc>
        <w:tc>
          <w:tcPr>
            <w:tcW w:w="841" w:type="dxa"/>
            <w:shd w:val="clear" w:color="000000" w:fill="D9D9D9"/>
            <w:noWrap/>
            <w:vAlign w:val="center"/>
            <w:hideMark/>
          </w:tcPr>
          <w:p w:rsidR="00822D1A" w:rsidRPr="00822D1A" w:rsidRDefault="00822D1A" w:rsidP="00822D1A">
            <w:pPr>
              <w:jc w:val="center"/>
              <w:rPr>
                <w:b/>
                <w:bCs/>
                <w:color w:val="000000"/>
                <w:sz w:val="18"/>
                <w:szCs w:val="18"/>
              </w:rPr>
            </w:pPr>
            <w:r w:rsidRPr="00822D1A">
              <w:rPr>
                <w:b/>
                <w:bCs/>
                <w:color w:val="000000"/>
                <w:sz w:val="18"/>
                <w:szCs w:val="18"/>
              </w:rPr>
              <w:t>65,3%</w:t>
            </w:r>
          </w:p>
        </w:tc>
        <w:tc>
          <w:tcPr>
            <w:tcW w:w="1261" w:type="dxa"/>
            <w:shd w:val="clear" w:color="000000" w:fill="D9D9D9"/>
            <w:noWrap/>
            <w:vAlign w:val="center"/>
            <w:hideMark/>
          </w:tcPr>
          <w:p w:rsidR="00822D1A" w:rsidRPr="00822D1A" w:rsidRDefault="00822D1A" w:rsidP="00822D1A">
            <w:pPr>
              <w:jc w:val="center"/>
              <w:rPr>
                <w:b/>
                <w:bCs/>
                <w:color w:val="000000"/>
                <w:sz w:val="18"/>
                <w:szCs w:val="18"/>
              </w:rPr>
            </w:pPr>
            <w:r w:rsidRPr="00822D1A">
              <w:rPr>
                <w:b/>
                <w:bCs/>
                <w:color w:val="000000"/>
                <w:sz w:val="18"/>
                <w:szCs w:val="18"/>
              </w:rPr>
              <w:t>199 950 532</w:t>
            </w:r>
          </w:p>
        </w:tc>
        <w:tc>
          <w:tcPr>
            <w:tcW w:w="703" w:type="dxa"/>
            <w:shd w:val="clear" w:color="000000" w:fill="D9D9D9"/>
            <w:noWrap/>
            <w:vAlign w:val="center"/>
            <w:hideMark/>
          </w:tcPr>
          <w:p w:rsidR="00822D1A" w:rsidRPr="00822D1A" w:rsidRDefault="00822D1A" w:rsidP="00822D1A">
            <w:pPr>
              <w:jc w:val="center"/>
              <w:rPr>
                <w:b/>
                <w:bCs/>
                <w:color w:val="000000"/>
                <w:sz w:val="18"/>
                <w:szCs w:val="18"/>
              </w:rPr>
            </w:pPr>
            <w:r w:rsidRPr="00822D1A">
              <w:rPr>
                <w:b/>
                <w:bCs/>
                <w:color w:val="000000"/>
                <w:sz w:val="18"/>
                <w:szCs w:val="18"/>
              </w:rPr>
              <w:t>63,8%</w:t>
            </w:r>
          </w:p>
        </w:tc>
      </w:tr>
    </w:tbl>
    <w:p w:rsidR="00A75862" w:rsidRPr="00D95A18" w:rsidRDefault="00A75862" w:rsidP="00795439">
      <w:pPr>
        <w:spacing w:before="60"/>
        <w:rPr>
          <w:i/>
          <w:sz w:val="18"/>
          <w:szCs w:val="18"/>
        </w:rPr>
      </w:pPr>
      <w:r w:rsidRPr="00D95A18">
        <w:rPr>
          <w:i/>
          <w:sz w:val="18"/>
          <w:szCs w:val="18"/>
        </w:rPr>
        <w:t xml:space="preserve">Zdroj: MSC2007 ke dni </w:t>
      </w:r>
      <w:r w:rsidR="00843D8E">
        <w:rPr>
          <w:i/>
          <w:sz w:val="18"/>
          <w:szCs w:val="18"/>
        </w:rPr>
        <w:t>31</w:t>
      </w:r>
      <w:r w:rsidR="00843D8E" w:rsidRPr="00D95A18">
        <w:rPr>
          <w:i/>
          <w:sz w:val="18"/>
          <w:szCs w:val="18"/>
        </w:rPr>
        <w:t>. 12. 2014</w:t>
      </w:r>
    </w:p>
    <w:p w:rsidR="00A75862" w:rsidRPr="00D95A18" w:rsidRDefault="00A75862" w:rsidP="00795439">
      <w:pPr>
        <w:rPr>
          <w:i/>
          <w:sz w:val="18"/>
          <w:szCs w:val="18"/>
        </w:rPr>
      </w:pPr>
      <w:r w:rsidRPr="00D95A18">
        <w:rPr>
          <w:i/>
          <w:sz w:val="18"/>
          <w:szCs w:val="18"/>
        </w:rPr>
        <w:t xml:space="preserve">Kurz CZK/EUR: </w:t>
      </w:r>
      <w:r w:rsidR="00822D1A">
        <w:rPr>
          <w:i/>
          <w:sz w:val="18"/>
          <w:szCs w:val="18"/>
        </w:rPr>
        <w:t>27,728</w:t>
      </w:r>
    </w:p>
    <w:p w:rsidR="00D13931" w:rsidRDefault="00D13931" w:rsidP="00795439">
      <w:pPr>
        <w:jc w:val="both"/>
        <w:rPr>
          <w:i/>
          <w:color w:val="000000"/>
          <w:sz w:val="18"/>
          <w:szCs w:val="18"/>
        </w:rPr>
      </w:pPr>
      <w:r w:rsidRPr="000435AC">
        <w:rPr>
          <w:i/>
          <w:color w:val="000000"/>
          <w:sz w:val="18"/>
          <w:szCs w:val="18"/>
        </w:rPr>
        <w:t xml:space="preserve">Zdroj financování: </w:t>
      </w:r>
      <w:r w:rsidR="007C58F6">
        <w:rPr>
          <w:i/>
          <w:color w:val="000000"/>
          <w:sz w:val="18"/>
          <w:szCs w:val="18"/>
        </w:rPr>
        <w:t>p</w:t>
      </w:r>
      <w:r w:rsidR="003A2C08">
        <w:rPr>
          <w:i/>
          <w:color w:val="000000"/>
          <w:sz w:val="18"/>
          <w:szCs w:val="18"/>
        </w:rPr>
        <w:t>odíl EU</w:t>
      </w:r>
      <w:r w:rsidRPr="000435AC">
        <w:rPr>
          <w:i/>
          <w:color w:val="000000"/>
          <w:sz w:val="18"/>
          <w:szCs w:val="18"/>
        </w:rPr>
        <w:t xml:space="preserve"> </w:t>
      </w:r>
    </w:p>
    <w:p w:rsidR="004804DD" w:rsidRDefault="004804DD" w:rsidP="00AD54CA">
      <w:pPr>
        <w:spacing w:after="120" w:line="276" w:lineRule="auto"/>
        <w:jc w:val="both"/>
        <w:rPr>
          <w:color w:val="0070C0"/>
          <w:sz w:val="22"/>
          <w:szCs w:val="22"/>
        </w:rPr>
      </w:pPr>
    </w:p>
    <w:p w:rsidR="00AD63C9" w:rsidRDefault="00AD63C9" w:rsidP="00FC6215">
      <w:pPr>
        <w:jc w:val="both"/>
        <w:rPr>
          <w:sz w:val="22"/>
          <w:szCs w:val="22"/>
          <w:u w:val="single"/>
        </w:rPr>
      </w:pPr>
    </w:p>
    <w:p w:rsidR="00D50678" w:rsidRDefault="00D50678" w:rsidP="00FC6215">
      <w:pPr>
        <w:jc w:val="both"/>
        <w:rPr>
          <w:sz w:val="22"/>
          <w:szCs w:val="22"/>
          <w:u w:val="single"/>
        </w:rPr>
      </w:pPr>
    </w:p>
    <w:p w:rsidR="00CD186C" w:rsidRDefault="00CD186C" w:rsidP="00FC6215">
      <w:pPr>
        <w:jc w:val="both"/>
        <w:rPr>
          <w:sz w:val="22"/>
          <w:szCs w:val="22"/>
          <w:u w:val="single"/>
        </w:rPr>
      </w:pPr>
    </w:p>
    <w:p w:rsidR="00CD186C" w:rsidRDefault="00CD186C" w:rsidP="00FC6215">
      <w:pPr>
        <w:jc w:val="both"/>
        <w:rPr>
          <w:sz w:val="22"/>
          <w:szCs w:val="22"/>
          <w:u w:val="single"/>
        </w:rPr>
      </w:pPr>
    </w:p>
    <w:p w:rsidR="00AD63C9" w:rsidRDefault="00AD63C9" w:rsidP="00FC6215">
      <w:pPr>
        <w:jc w:val="both"/>
        <w:rPr>
          <w:sz w:val="22"/>
          <w:szCs w:val="22"/>
          <w:u w:val="single"/>
        </w:rPr>
      </w:pPr>
    </w:p>
    <w:p w:rsidR="00A75862" w:rsidRDefault="00A75862" w:rsidP="00FC6215">
      <w:pPr>
        <w:jc w:val="both"/>
        <w:rPr>
          <w:sz w:val="22"/>
          <w:szCs w:val="22"/>
          <w:u w:val="single"/>
        </w:rPr>
      </w:pPr>
      <w:r w:rsidRPr="00FC6215">
        <w:rPr>
          <w:sz w:val="22"/>
          <w:szCs w:val="22"/>
          <w:u w:val="single"/>
        </w:rPr>
        <w:lastRenderedPageBreak/>
        <w:t>Statistika vyřazování projektů</w:t>
      </w:r>
    </w:p>
    <w:p w:rsidR="00BB6A7C" w:rsidRPr="00B82C34" w:rsidRDefault="00BB6A7C" w:rsidP="00BB6A7C">
      <w:pPr>
        <w:spacing w:after="120"/>
        <w:jc w:val="both"/>
        <w:rPr>
          <w:sz w:val="22"/>
          <w:szCs w:val="22"/>
        </w:rPr>
      </w:pPr>
      <w:r w:rsidRPr="00B82C34">
        <w:rPr>
          <w:sz w:val="22"/>
          <w:szCs w:val="22"/>
        </w:rPr>
        <w:t>Za sledované období bylo v negativním stavu evidováno 19 projektů. V průběhu roku 2014 odstoupilo od realizace 15 projektů</w:t>
      </w:r>
      <w:r>
        <w:rPr>
          <w:sz w:val="22"/>
          <w:szCs w:val="22"/>
        </w:rPr>
        <w:t>, z toho</w:t>
      </w:r>
      <w:r w:rsidRPr="00B82C34">
        <w:rPr>
          <w:sz w:val="22"/>
          <w:szCs w:val="22"/>
        </w:rPr>
        <w:t xml:space="preserve"> 4 dlouhodobě rizikov</w:t>
      </w:r>
      <w:r>
        <w:rPr>
          <w:sz w:val="22"/>
          <w:szCs w:val="22"/>
        </w:rPr>
        <w:t>é</w:t>
      </w:r>
      <w:r w:rsidRPr="00B82C34">
        <w:rPr>
          <w:sz w:val="22"/>
          <w:szCs w:val="22"/>
        </w:rPr>
        <w:t xml:space="preserve"> projekt</w:t>
      </w:r>
      <w:r>
        <w:rPr>
          <w:sz w:val="22"/>
          <w:szCs w:val="22"/>
        </w:rPr>
        <w:t>y</w:t>
      </w:r>
      <w:r w:rsidRPr="00B82C34">
        <w:rPr>
          <w:sz w:val="22"/>
          <w:szCs w:val="22"/>
        </w:rPr>
        <w:t xml:space="preserve"> zejména z důvodu nedostatku zbývajícího času na realizaci projektu. Dále 1 projektová žádost nesplnila podmínky přijatelnosti, </w:t>
      </w:r>
      <w:r w:rsidR="00D50678">
        <w:rPr>
          <w:sz w:val="22"/>
          <w:szCs w:val="22"/>
        </w:rPr>
        <w:br/>
      </w:r>
      <w:r w:rsidRPr="00B82C34">
        <w:rPr>
          <w:sz w:val="22"/>
          <w:szCs w:val="22"/>
        </w:rPr>
        <w:t>1 žádost nebyla doporučena výběrovou komisí k financování a 2 žádosti byly staženy žadatelem.</w:t>
      </w:r>
    </w:p>
    <w:p w:rsidR="00CD186C" w:rsidRDefault="00BB6A7C" w:rsidP="00CD186C">
      <w:pPr>
        <w:spacing w:after="120"/>
        <w:jc w:val="both"/>
        <w:rPr>
          <w:sz w:val="22"/>
          <w:szCs w:val="22"/>
        </w:rPr>
      </w:pPr>
      <w:r w:rsidRPr="00B82C34">
        <w:rPr>
          <w:sz w:val="22"/>
          <w:szCs w:val="22"/>
        </w:rPr>
        <w:t>Jako opatření ke snížení rizika odstoupení projektů v průběhu realizace z důvodu nedostatku času pro dokončení realizace (často vlivem dlouhé přípravy a průběhu VZ) bylo v</w:t>
      </w:r>
      <w:r>
        <w:rPr>
          <w:sz w:val="22"/>
          <w:szCs w:val="22"/>
        </w:rPr>
        <w:t>e</w:t>
      </w:r>
      <w:r w:rsidRPr="00B82C34">
        <w:rPr>
          <w:sz w:val="22"/>
          <w:szCs w:val="22"/>
        </w:rPr>
        <w:t> Výzv</w:t>
      </w:r>
      <w:r>
        <w:rPr>
          <w:sz w:val="22"/>
          <w:szCs w:val="22"/>
        </w:rPr>
        <w:t>ě</w:t>
      </w:r>
      <w:r w:rsidRPr="00B82C34">
        <w:rPr>
          <w:sz w:val="22"/>
          <w:szCs w:val="22"/>
        </w:rPr>
        <w:t xml:space="preserve"> č. 17 požadováno předložení hotové zadávací dokumentace spolu s projektovou žádostí</w:t>
      </w:r>
      <w:r>
        <w:rPr>
          <w:sz w:val="22"/>
          <w:szCs w:val="22"/>
        </w:rPr>
        <w:t>. Cílem je</w:t>
      </w:r>
      <w:r w:rsidRPr="00B82C34">
        <w:rPr>
          <w:sz w:val="22"/>
          <w:szCs w:val="22"/>
        </w:rPr>
        <w:t xml:space="preserve"> zajištění připravenosti projektu k realizaci.</w:t>
      </w:r>
    </w:p>
    <w:p w:rsidR="00C65286" w:rsidRDefault="00C66053" w:rsidP="00CD186C">
      <w:pPr>
        <w:spacing w:after="120"/>
        <w:jc w:val="both"/>
        <w:rPr>
          <w:sz w:val="22"/>
          <w:szCs w:val="22"/>
        </w:rPr>
      </w:pPr>
      <w:r>
        <w:rPr>
          <w:sz w:val="22"/>
          <w:szCs w:val="22"/>
        </w:rPr>
        <w:tab/>
      </w:r>
    </w:p>
    <w:p w:rsidR="00C65286" w:rsidRPr="009026D3" w:rsidRDefault="00C65286" w:rsidP="00E6269C">
      <w:pPr>
        <w:pStyle w:val="Tabulkanzev"/>
      </w:pPr>
      <w:bookmarkStart w:id="152" w:name="_Toc416431824"/>
      <w:r w:rsidRPr="00B52CF0">
        <w:t>Tabulka vyřazených projektů</w:t>
      </w:r>
      <w:r>
        <w:t xml:space="preserve"> v oblasti intervence 1.1</w:t>
      </w:r>
      <w:bookmarkEnd w:id="152"/>
    </w:p>
    <w:tbl>
      <w:tblPr>
        <w:tblW w:w="9130" w:type="dxa"/>
        <w:tblInd w:w="47" w:type="dxa"/>
        <w:tblCellMar>
          <w:left w:w="70" w:type="dxa"/>
          <w:right w:w="70" w:type="dxa"/>
        </w:tblCellMar>
        <w:tblLook w:val="04A0" w:firstRow="1" w:lastRow="0" w:firstColumn="1" w:lastColumn="0" w:noHBand="0" w:noVBand="1"/>
      </w:tblPr>
      <w:tblGrid>
        <w:gridCol w:w="4118"/>
        <w:gridCol w:w="1227"/>
        <w:gridCol w:w="1330"/>
        <w:gridCol w:w="1227"/>
        <w:gridCol w:w="1228"/>
      </w:tblGrid>
      <w:tr w:rsidR="00AD63C9" w:rsidRPr="00AD63C9" w:rsidTr="007B48D7">
        <w:trPr>
          <w:trHeight w:val="329"/>
        </w:trPr>
        <w:tc>
          <w:tcPr>
            <w:tcW w:w="9130"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AD63C9" w:rsidRPr="00AD63C9" w:rsidRDefault="00AD63C9" w:rsidP="00AD63C9">
            <w:pPr>
              <w:jc w:val="center"/>
              <w:rPr>
                <w:b/>
                <w:bCs/>
                <w:color w:val="000000"/>
              </w:rPr>
            </w:pPr>
            <w:r w:rsidRPr="00AD63C9">
              <w:rPr>
                <w:b/>
                <w:bCs/>
                <w:color w:val="000000"/>
              </w:rPr>
              <w:t>Oblast podpory 1.1</w:t>
            </w:r>
          </w:p>
        </w:tc>
      </w:tr>
      <w:tr w:rsidR="007B48D7" w:rsidRPr="00AD63C9" w:rsidTr="0004025B">
        <w:trPr>
          <w:trHeight w:val="1081"/>
        </w:trPr>
        <w:tc>
          <w:tcPr>
            <w:tcW w:w="4118"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AD63C9" w:rsidRPr="00AD63C9" w:rsidRDefault="00AD63C9" w:rsidP="00AD63C9">
            <w:pPr>
              <w:jc w:val="center"/>
              <w:rPr>
                <w:b/>
                <w:bCs/>
                <w:color w:val="000000"/>
                <w:sz w:val="16"/>
                <w:szCs w:val="16"/>
              </w:rPr>
            </w:pPr>
            <w:r w:rsidRPr="00AD63C9">
              <w:rPr>
                <w:b/>
                <w:bCs/>
                <w:color w:val="000000"/>
                <w:sz w:val="16"/>
                <w:szCs w:val="16"/>
              </w:rPr>
              <w:t>Stav projektů</w:t>
            </w:r>
          </w:p>
        </w:tc>
        <w:tc>
          <w:tcPr>
            <w:tcW w:w="1227" w:type="dxa"/>
            <w:tcBorders>
              <w:top w:val="nil"/>
              <w:left w:val="nil"/>
              <w:bottom w:val="single" w:sz="8" w:space="0" w:color="4F6228"/>
              <w:right w:val="single" w:sz="8" w:space="0" w:color="4F6228"/>
            </w:tcBorders>
            <w:shd w:val="clear" w:color="auto" w:fill="C2D69B" w:themeFill="accent3" w:themeFillTint="99"/>
            <w:vAlign w:val="center"/>
            <w:hideMark/>
          </w:tcPr>
          <w:p w:rsidR="00AD63C9" w:rsidRPr="00AD63C9" w:rsidRDefault="00AD63C9" w:rsidP="00AD63C9">
            <w:pPr>
              <w:jc w:val="center"/>
              <w:rPr>
                <w:b/>
                <w:bCs/>
                <w:color w:val="000000"/>
                <w:sz w:val="16"/>
                <w:szCs w:val="16"/>
              </w:rPr>
            </w:pPr>
            <w:r w:rsidRPr="00AD63C9">
              <w:rPr>
                <w:b/>
                <w:bCs/>
                <w:color w:val="000000"/>
                <w:sz w:val="16"/>
                <w:szCs w:val="16"/>
              </w:rPr>
              <w:t>Počet projektů vyřazených za oblast podpory</w:t>
            </w:r>
          </w:p>
        </w:tc>
        <w:tc>
          <w:tcPr>
            <w:tcW w:w="1330" w:type="dxa"/>
            <w:tcBorders>
              <w:top w:val="nil"/>
              <w:left w:val="nil"/>
              <w:bottom w:val="single" w:sz="8" w:space="0" w:color="4F6228"/>
              <w:right w:val="single" w:sz="8" w:space="0" w:color="4F6228"/>
            </w:tcBorders>
            <w:shd w:val="clear" w:color="auto" w:fill="C2D69B" w:themeFill="accent3" w:themeFillTint="99"/>
            <w:vAlign w:val="center"/>
            <w:hideMark/>
          </w:tcPr>
          <w:p w:rsidR="00AD63C9" w:rsidRPr="00AD63C9" w:rsidRDefault="00AD63C9" w:rsidP="00AD63C9">
            <w:pPr>
              <w:jc w:val="center"/>
              <w:rPr>
                <w:b/>
                <w:bCs/>
                <w:color w:val="000000"/>
                <w:sz w:val="16"/>
                <w:szCs w:val="16"/>
              </w:rPr>
            </w:pPr>
            <w:r w:rsidRPr="00AD63C9">
              <w:rPr>
                <w:b/>
                <w:bCs/>
                <w:color w:val="000000"/>
                <w:sz w:val="16"/>
                <w:szCs w:val="16"/>
              </w:rPr>
              <w:t>Podíl vyřazených projektů za oblast podpory</w:t>
            </w:r>
          </w:p>
        </w:tc>
        <w:tc>
          <w:tcPr>
            <w:tcW w:w="1227" w:type="dxa"/>
            <w:tcBorders>
              <w:top w:val="nil"/>
              <w:left w:val="nil"/>
              <w:bottom w:val="single" w:sz="8" w:space="0" w:color="4F6228"/>
              <w:right w:val="single" w:sz="8" w:space="0" w:color="4F6228"/>
            </w:tcBorders>
            <w:shd w:val="clear" w:color="auto" w:fill="C2D69B" w:themeFill="accent3" w:themeFillTint="99"/>
            <w:vAlign w:val="center"/>
            <w:hideMark/>
          </w:tcPr>
          <w:p w:rsidR="00AD63C9" w:rsidRPr="00AD63C9" w:rsidRDefault="00AD63C9" w:rsidP="00AD63C9">
            <w:pPr>
              <w:jc w:val="center"/>
              <w:rPr>
                <w:b/>
                <w:bCs/>
                <w:color w:val="000000"/>
                <w:sz w:val="16"/>
                <w:szCs w:val="16"/>
              </w:rPr>
            </w:pPr>
            <w:r w:rsidRPr="00AD63C9">
              <w:rPr>
                <w:b/>
                <w:bCs/>
                <w:color w:val="000000"/>
                <w:sz w:val="16"/>
                <w:szCs w:val="16"/>
              </w:rPr>
              <w:t>Srovnávací hodnota podílu vyřazených projektů za celý program</w:t>
            </w:r>
          </w:p>
        </w:tc>
        <w:tc>
          <w:tcPr>
            <w:tcW w:w="1228" w:type="dxa"/>
            <w:tcBorders>
              <w:top w:val="nil"/>
              <w:left w:val="nil"/>
              <w:bottom w:val="single" w:sz="8" w:space="0" w:color="4F6228"/>
              <w:right w:val="double" w:sz="6" w:space="0" w:color="4F6228"/>
            </w:tcBorders>
            <w:shd w:val="clear" w:color="auto" w:fill="C2D69B" w:themeFill="accent3" w:themeFillTint="99"/>
            <w:vAlign w:val="center"/>
            <w:hideMark/>
          </w:tcPr>
          <w:p w:rsidR="00AD63C9" w:rsidRPr="00AD63C9" w:rsidRDefault="00AD63C9" w:rsidP="00AD63C9">
            <w:pPr>
              <w:jc w:val="center"/>
              <w:rPr>
                <w:b/>
                <w:bCs/>
                <w:color w:val="000000"/>
                <w:sz w:val="16"/>
                <w:szCs w:val="16"/>
              </w:rPr>
            </w:pPr>
            <w:r w:rsidRPr="00AD63C9">
              <w:rPr>
                <w:b/>
                <w:bCs/>
                <w:color w:val="000000"/>
                <w:sz w:val="16"/>
                <w:szCs w:val="16"/>
              </w:rPr>
              <w:t>Počet vyřazených projektů za rok 2014</w:t>
            </w:r>
          </w:p>
        </w:tc>
      </w:tr>
      <w:tr w:rsidR="00AD63C9" w:rsidRPr="00AD63C9" w:rsidTr="007B48D7">
        <w:trPr>
          <w:trHeight w:val="46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N1.1 Projektová žádost nesplnila alespoň jedno kritérium přijatelnosti</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0,71%</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1,59%</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w:t>
            </w:r>
          </w:p>
        </w:tc>
      </w:tr>
      <w:tr w:rsidR="00AD63C9" w:rsidRPr="00AD63C9" w:rsidTr="00B60293">
        <w:trPr>
          <w:trHeight w:val="212"/>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N1.2 Projektová žádost nesplnila formální náležitosti</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0,00%</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0,75%</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p>
        </w:tc>
      </w:tr>
      <w:tr w:rsidR="00AD63C9" w:rsidRPr="00AD63C9" w:rsidTr="00B60293">
        <w:trPr>
          <w:trHeight w:val="260"/>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N2.3 Projekt nedoporučen k financování výběrovou komisí</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4,26%</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0,41%</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p>
        </w:tc>
      </w:tr>
      <w:tr w:rsidR="00AD63C9" w:rsidRPr="00AD63C9" w:rsidTr="007B48D7">
        <w:trPr>
          <w:trHeight w:val="226"/>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N2.1 Projekt nesplnil podmínky hodnocení</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6</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0,00%</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3,07%</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p>
        </w:tc>
      </w:tr>
      <w:tr w:rsidR="00AD63C9" w:rsidRPr="00AD63C9" w:rsidTr="007B48D7">
        <w:trPr>
          <w:trHeight w:val="460"/>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N2.2 Odeslán dopis o vyřazení projektové žádosti na základě ex-ante kontroly</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0,71%</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0,30%</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p>
        </w:tc>
      </w:tr>
      <w:tr w:rsidR="00AD63C9" w:rsidRPr="00AD63C9" w:rsidTr="007B48D7">
        <w:trPr>
          <w:trHeight w:val="31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N2.3 Projekt nedoporučen k financování výběrovou komisí</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0,71%</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0,47%</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w:t>
            </w:r>
          </w:p>
        </w:tc>
      </w:tr>
      <w:tr w:rsidR="00AD63C9" w:rsidRPr="00AD63C9" w:rsidTr="007B48D7">
        <w:trPr>
          <w:trHeight w:val="46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N4.1 Vydání rozhodnutí o poskytnutí dotace/stanovení výdajů zamítnuto</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17,73%</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0,03%</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p>
        </w:tc>
      </w:tr>
      <w:tr w:rsidR="00AD63C9" w:rsidRPr="00AD63C9" w:rsidTr="007B48D7">
        <w:trPr>
          <w:trHeight w:val="31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N5 Projektová žádost stažena žadatelem</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25</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9,93%</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3,43%</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14</w:t>
            </w:r>
          </w:p>
        </w:tc>
      </w:tr>
      <w:tr w:rsidR="00AD63C9" w:rsidRPr="00AD63C9" w:rsidTr="007B48D7">
        <w:trPr>
          <w:trHeight w:val="31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N7 Projekt nedokončen/stažen</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14</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0,71%</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1,92%</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3</w:t>
            </w:r>
          </w:p>
        </w:tc>
      </w:tr>
      <w:tr w:rsidR="00AD63C9" w:rsidRPr="00AD63C9" w:rsidTr="007B48D7">
        <w:trPr>
          <w:trHeight w:val="31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AD63C9" w:rsidRDefault="00AD63C9" w:rsidP="00AD63C9">
            <w:pPr>
              <w:rPr>
                <w:i/>
                <w:iCs/>
                <w:color w:val="000000"/>
                <w:sz w:val="16"/>
                <w:szCs w:val="16"/>
              </w:rPr>
            </w:pPr>
            <w:r w:rsidRPr="00AD63C9">
              <w:rPr>
                <w:i/>
                <w:iCs/>
                <w:color w:val="000000"/>
                <w:sz w:val="16"/>
                <w:szCs w:val="16"/>
              </w:rPr>
              <w:t>N8 Smlouva ukončena ze strany ŘO/ZS</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1</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4,18%</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AD63C9" w:rsidRDefault="00AD63C9" w:rsidP="00DB279C">
            <w:pPr>
              <w:jc w:val="center"/>
              <w:rPr>
                <w:color w:val="000000"/>
              </w:rPr>
            </w:pPr>
            <w:r w:rsidRPr="00AD63C9">
              <w:rPr>
                <w:color w:val="000000"/>
              </w:rPr>
              <w:t>0,07%</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AD63C9" w:rsidRDefault="00AD63C9" w:rsidP="00DB279C">
            <w:pPr>
              <w:jc w:val="center"/>
              <w:rPr>
                <w:color w:val="000000"/>
              </w:rPr>
            </w:pPr>
          </w:p>
        </w:tc>
      </w:tr>
      <w:tr w:rsidR="00DB279C" w:rsidRPr="00AD63C9" w:rsidTr="00B42624">
        <w:trPr>
          <w:trHeight w:val="384"/>
        </w:trPr>
        <w:tc>
          <w:tcPr>
            <w:tcW w:w="4118"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AD63C9" w:rsidRPr="00AD63C9" w:rsidRDefault="00AD63C9" w:rsidP="00AD63C9">
            <w:pPr>
              <w:rPr>
                <w:b/>
                <w:bCs/>
                <w:i/>
                <w:iCs/>
                <w:color w:val="000000"/>
              </w:rPr>
            </w:pPr>
            <w:r w:rsidRPr="00AD63C9">
              <w:rPr>
                <w:b/>
                <w:bCs/>
                <w:i/>
                <w:iCs/>
                <w:color w:val="000000"/>
              </w:rPr>
              <w:t>Celkem</w:t>
            </w:r>
          </w:p>
        </w:tc>
        <w:tc>
          <w:tcPr>
            <w:tcW w:w="1227" w:type="dxa"/>
            <w:tcBorders>
              <w:top w:val="nil"/>
              <w:left w:val="nil"/>
              <w:bottom w:val="double" w:sz="6" w:space="0" w:color="4F6228"/>
              <w:right w:val="single" w:sz="8" w:space="0" w:color="4F6228"/>
            </w:tcBorders>
            <w:shd w:val="clear" w:color="auto" w:fill="C2D69B" w:themeFill="accent3" w:themeFillTint="99"/>
            <w:noWrap/>
            <w:vAlign w:val="center"/>
            <w:hideMark/>
          </w:tcPr>
          <w:p w:rsidR="00AD63C9" w:rsidRPr="00AD63C9" w:rsidRDefault="00AD63C9" w:rsidP="00DB279C">
            <w:pPr>
              <w:jc w:val="center"/>
              <w:rPr>
                <w:b/>
                <w:bCs/>
                <w:color w:val="000000"/>
              </w:rPr>
            </w:pPr>
            <w:r w:rsidRPr="00AD63C9">
              <w:rPr>
                <w:b/>
                <w:bCs/>
                <w:color w:val="000000"/>
              </w:rPr>
              <w:t>49</w:t>
            </w:r>
          </w:p>
        </w:tc>
        <w:tc>
          <w:tcPr>
            <w:tcW w:w="1330" w:type="dxa"/>
            <w:tcBorders>
              <w:top w:val="nil"/>
              <w:left w:val="nil"/>
              <w:bottom w:val="double" w:sz="6" w:space="0" w:color="4F6228"/>
              <w:right w:val="single" w:sz="8" w:space="0" w:color="4F6228"/>
            </w:tcBorders>
            <w:shd w:val="clear" w:color="auto" w:fill="C2D69B" w:themeFill="accent3" w:themeFillTint="99"/>
            <w:vAlign w:val="center"/>
            <w:hideMark/>
          </w:tcPr>
          <w:p w:rsidR="00AD63C9" w:rsidRPr="00AD63C9" w:rsidRDefault="00AD63C9" w:rsidP="00DB279C">
            <w:pPr>
              <w:jc w:val="center"/>
              <w:rPr>
                <w:b/>
                <w:bCs/>
                <w:color w:val="000000"/>
              </w:rPr>
            </w:pPr>
            <w:r w:rsidRPr="00AD63C9">
              <w:rPr>
                <w:b/>
                <w:bCs/>
                <w:color w:val="000000"/>
              </w:rPr>
              <w:t>34,75%</w:t>
            </w:r>
          </w:p>
        </w:tc>
        <w:tc>
          <w:tcPr>
            <w:tcW w:w="1227" w:type="dxa"/>
            <w:tcBorders>
              <w:top w:val="nil"/>
              <w:left w:val="nil"/>
              <w:bottom w:val="double" w:sz="6" w:space="0" w:color="4F6228"/>
              <w:right w:val="single" w:sz="8" w:space="0" w:color="4F6228"/>
            </w:tcBorders>
            <w:shd w:val="clear" w:color="auto" w:fill="C2D69B" w:themeFill="accent3" w:themeFillTint="99"/>
            <w:noWrap/>
            <w:vAlign w:val="center"/>
            <w:hideMark/>
          </w:tcPr>
          <w:p w:rsidR="00AD63C9" w:rsidRPr="00AD63C9" w:rsidRDefault="00AD63C9" w:rsidP="00DB279C">
            <w:pPr>
              <w:jc w:val="center"/>
              <w:rPr>
                <w:b/>
                <w:bCs/>
                <w:color w:val="000000"/>
              </w:rPr>
            </w:pPr>
            <w:r w:rsidRPr="00AD63C9">
              <w:rPr>
                <w:b/>
                <w:bCs/>
                <w:color w:val="000000"/>
              </w:rPr>
              <w:t>12,05%</w:t>
            </w:r>
          </w:p>
        </w:tc>
        <w:tc>
          <w:tcPr>
            <w:tcW w:w="1228" w:type="dxa"/>
            <w:tcBorders>
              <w:top w:val="nil"/>
              <w:left w:val="nil"/>
              <w:bottom w:val="double" w:sz="6" w:space="0" w:color="4F6228"/>
              <w:right w:val="double" w:sz="6" w:space="0" w:color="4F6228"/>
            </w:tcBorders>
            <w:shd w:val="clear" w:color="auto" w:fill="C2D69B" w:themeFill="accent3" w:themeFillTint="99"/>
            <w:noWrap/>
            <w:vAlign w:val="center"/>
            <w:hideMark/>
          </w:tcPr>
          <w:p w:rsidR="00AD63C9" w:rsidRPr="00AD63C9" w:rsidRDefault="00AD63C9" w:rsidP="00DB279C">
            <w:pPr>
              <w:jc w:val="center"/>
              <w:rPr>
                <w:b/>
                <w:bCs/>
                <w:color w:val="000000"/>
              </w:rPr>
            </w:pPr>
            <w:r w:rsidRPr="00AD63C9">
              <w:rPr>
                <w:b/>
                <w:bCs/>
                <w:color w:val="000000"/>
              </w:rPr>
              <w:t>19</w:t>
            </w:r>
          </w:p>
        </w:tc>
      </w:tr>
    </w:tbl>
    <w:p w:rsidR="00BD559E" w:rsidRDefault="00BD559E" w:rsidP="00BD559E">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843D8E">
        <w:rPr>
          <w:i/>
          <w:sz w:val="18"/>
          <w:szCs w:val="18"/>
        </w:rPr>
        <w:t>2</w:t>
      </w:r>
      <w:r w:rsidR="00843D8E" w:rsidRPr="00C02CF8">
        <w:rPr>
          <w:i/>
          <w:sz w:val="18"/>
          <w:szCs w:val="18"/>
        </w:rPr>
        <w:t>. 1. 2015</w:t>
      </w:r>
    </w:p>
    <w:p w:rsidR="00C65286" w:rsidRDefault="00C65286" w:rsidP="00932CC2">
      <w:pPr>
        <w:jc w:val="both"/>
        <w:rPr>
          <w:b/>
          <w:sz w:val="22"/>
          <w:szCs w:val="22"/>
        </w:rPr>
      </w:pPr>
    </w:p>
    <w:p w:rsidR="00A75862" w:rsidRPr="002422B3" w:rsidRDefault="00A75862" w:rsidP="00932CC2">
      <w:pPr>
        <w:jc w:val="both"/>
        <w:rPr>
          <w:b/>
          <w:sz w:val="22"/>
          <w:szCs w:val="22"/>
        </w:rPr>
      </w:pPr>
      <w:r w:rsidRPr="00BD1C23">
        <w:rPr>
          <w:b/>
          <w:sz w:val="22"/>
          <w:szCs w:val="22"/>
        </w:rPr>
        <w:t>Naplňování horizontálních témat</w:t>
      </w:r>
    </w:p>
    <w:p w:rsidR="00A75862" w:rsidRDefault="00A75862" w:rsidP="00932CC2">
      <w:pPr>
        <w:jc w:val="both"/>
        <w:rPr>
          <w:sz w:val="22"/>
          <w:szCs w:val="22"/>
        </w:rPr>
      </w:pPr>
    </w:p>
    <w:p w:rsidR="007A2B04" w:rsidRDefault="007A2B04" w:rsidP="007A2B04">
      <w:pPr>
        <w:jc w:val="both"/>
        <w:rPr>
          <w:sz w:val="22"/>
          <w:szCs w:val="22"/>
          <w:u w:val="single"/>
        </w:rPr>
      </w:pPr>
      <w:r w:rsidRPr="002422B3">
        <w:rPr>
          <w:sz w:val="22"/>
          <w:szCs w:val="22"/>
          <w:u w:val="single"/>
        </w:rPr>
        <w:t>Rovné příležitosti</w:t>
      </w:r>
    </w:p>
    <w:p w:rsidR="007A2B04" w:rsidRDefault="007A2B04" w:rsidP="007A2B04">
      <w:pPr>
        <w:jc w:val="both"/>
        <w:rPr>
          <w:sz w:val="22"/>
          <w:szCs w:val="22"/>
        </w:rPr>
      </w:pPr>
      <w:r>
        <w:rPr>
          <w:sz w:val="22"/>
          <w:szCs w:val="22"/>
        </w:rPr>
        <w:t xml:space="preserve">Do konce roku 2014 bylo v prioritních osách </w:t>
      </w:r>
      <w:r w:rsidRPr="000A4877">
        <w:rPr>
          <w:sz w:val="22"/>
          <w:szCs w:val="22"/>
        </w:rPr>
        <w:t xml:space="preserve">1a a 1b schváleno a dále pokračuje v realizaci </w:t>
      </w:r>
      <w:r>
        <w:rPr>
          <w:sz w:val="22"/>
          <w:szCs w:val="22"/>
        </w:rPr>
        <w:t xml:space="preserve">35 projektů s pozitivním vlivem na rovné příležitosti. </w:t>
      </w:r>
    </w:p>
    <w:p w:rsidR="00A75862" w:rsidRDefault="00A75862" w:rsidP="00932CC2">
      <w:pPr>
        <w:jc w:val="both"/>
        <w:rPr>
          <w:sz w:val="22"/>
          <w:szCs w:val="22"/>
          <w:u w:val="single"/>
        </w:rPr>
      </w:pPr>
    </w:p>
    <w:p w:rsidR="00A75862" w:rsidRPr="00550214" w:rsidRDefault="00A75862" w:rsidP="00E6269C">
      <w:pPr>
        <w:pStyle w:val="Tabulkanzev"/>
      </w:pPr>
      <w:bookmarkStart w:id="153" w:name="_Toc416431825"/>
      <w:r w:rsidRPr="009026D3">
        <w:t>Rovné příležitosti</w:t>
      </w:r>
      <w:r w:rsidR="002C30E8">
        <w:t xml:space="preserve"> v prioritní ose 1</w:t>
      </w:r>
      <w:bookmarkEnd w:id="153"/>
    </w:p>
    <w:tbl>
      <w:tblPr>
        <w:tblW w:w="9237"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2276"/>
        <w:gridCol w:w="1701"/>
      </w:tblGrid>
      <w:tr w:rsidR="00E01073" w:rsidRPr="00932CC2" w:rsidTr="00265752">
        <w:trPr>
          <w:trHeight w:val="270"/>
        </w:trPr>
        <w:tc>
          <w:tcPr>
            <w:tcW w:w="5260" w:type="dxa"/>
            <w:shd w:val="clear" w:color="auto" w:fill="C2D69B" w:themeFill="accent3" w:themeFillTint="99"/>
            <w:vAlign w:val="center"/>
          </w:tcPr>
          <w:p w:rsidR="00E01073" w:rsidRPr="007B48D7" w:rsidRDefault="00E01073">
            <w:pPr>
              <w:jc w:val="center"/>
              <w:rPr>
                <w:b/>
                <w:bCs/>
              </w:rPr>
            </w:pPr>
            <w:r w:rsidRPr="007B48D7">
              <w:rPr>
                <w:b/>
                <w:bCs/>
              </w:rPr>
              <w:t>Sledování horizontálních témat</w:t>
            </w:r>
          </w:p>
        </w:tc>
        <w:tc>
          <w:tcPr>
            <w:tcW w:w="2276" w:type="dxa"/>
            <w:shd w:val="clear" w:color="auto" w:fill="C2D69B" w:themeFill="accent3" w:themeFillTint="99"/>
            <w:vAlign w:val="center"/>
          </w:tcPr>
          <w:p w:rsidR="00E01073" w:rsidRPr="007B48D7" w:rsidRDefault="00E01073">
            <w:pPr>
              <w:jc w:val="center"/>
              <w:rPr>
                <w:b/>
                <w:bCs/>
              </w:rPr>
            </w:pPr>
            <w:r w:rsidRPr="007B48D7">
              <w:rPr>
                <w:b/>
                <w:bCs/>
              </w:rPr>
              <w:t>Měrná jednotka</w:t>
            </w:r>
          </w:p>
        </w:tc>
        <w:tc>
          <w:tcPr>
            <w:tcW w:w="1701" w:type="dxa"/>
            <w:shd w:val="clear" w:color="auto" w:fill="C2D69B" w:themeFill="accent3" w:themeFillTint="99"/>
            <w:vAlign w:val="center"/>
          </w:tcPr>
          <w:p w:rsidR="00E01073" w:rsidRPr="007B48D7" w:rsidRDefault="00E01073">
            <w:pPr>
              <w:jc w:val="center"/>
              <w:rPr>
                <w:b/>
                <w:bCs/>
              </w:rPr>
            </w:pPr>
            <w:r w:rsidRPr="007B48D7">
              <w:rPr>
                <w:b/>
                <w:bCs/>
              </w:rPr>
              <w:t>Počet projektů</w:t>
            </w:r>
          </w:p>
        </w:tc>
      </w:tr>
      <w:tr w:rsidR="00CA22A8" w:rsidRPr="00932CC2" w:rsidTr="00C535B8">
        <w:trPr>
          <w:trHeight w:val="255"/>
        </w:trPr>
        <w:tc>
          <w:tcPr>
            <w:tcW w:w="5260" w:type="dxa"/>
            <w:noWrap/>
            <w:vAlign w:val="center"/>
          </w:tcPr>
          <w:p w:rsidR="00CA22A8" w:rsidRPr="002C30E8" w:rsidRDefault="00CA22A8" w:rsidP="006E5A22">
            <w:pPr>
              <w:rPr>
                <w:sz w:val="18"/>
                <w:szCs w:val="18"/>
              </w:rPr>
            </w:pPr>
            <w:r w:rsidRPr="002C30E8">
              <w:rPr>
                <w:sz w:val="18"/>
                <w:szCs w:val="18"/>
              </w:rPr>
              <w:t xml:space="preserve">Počet projektů </w:t>
            </w:r>
            <w:r w:rsidRPr="002C30E8">
              <w:rPr>
                <w:b/>
                <w:sz w:val="18"/>
                <w:szCs w:val="18"/>
              </w:rPr>
              <w:t>cíleně zaměřených na rovné příležitosti</w:t>
            </w:r>
          </w:p>
        </w:tc>
        <w:tc>
          <w:tcPr>
            <w:tcW w:w="2276" w:type="dxa"/>
            <w:noWrap/>
            <w:vAlign w:val="center"/>
          </w:tcPr>
          <w:p w:rsidR="00CA22A8" w:rsidRPr="002C30E8" w:rsidRDefault="00CA22A8" w:rsidP="00642923">
            <w:pPr>
              <w:jc w:val="center"/>
              <w:rPr>
                <w:sz w:val="18"/>
                <w:szCs w:val="18"/>
              </w:rPr>
            </w:pPr>
            <w:r w:rsidRPr="002C30E8">
              <w:rPr>
                <w:sz w:val="18"/>
                <w:szCs w:val="18"/>
              </w:rPr>
              <w:t>Počet projektů</w:t>
            </w:r>
          </w:p>
        </w:tc>
        <w:tc>
          <w:tcPr>
            <w:tcW w:w="1701" w:type="dxa"/>
            <w:noWrap/>
            <w:vAlign w:val="center"/>
          </w:tcPr>
          <w:p w:rsidR="00CA22A8" w:rsidRPr="002C30E8" w:rsidRDefault="00CA22A8" w:rsidP="00642923">
            <w:pPr>
              <w:jc w:val="center"/>
              <w:rPr>
                <w:sz w:val="18"/>
                <w:szCs w:val="18"/>
              </w:rPr>
            </w:pPr>
            <w:r w:rsidRPr="002C30E8">
              <w:rPr>
                <w:sz w:val="18"/>
                <w:szCs w:val="18"/>
              </w:rPr>
              <w:t>0</w:t>
            </w:r>
          </w:p>
        </w:tc>
      </w:tr>
      <w:tr w:rsidR="00CA22A8" w:rsidRPr="00932CC2" w:rsidTr="00C535B8">
        <w:trPr>
          <w:trHeight w:val="255"/>
        </w:trPr>
        <w:tc>
          <w:tcPr>
            <w:tcW w:w="5260" w:type="dxa"/>
            <w:noWrap/>
            <w:vAlign w:val="center"/>
          </w:tcPr>
          <w:p w:rsidR="00CA22A8" w:rsidRPr="002C30E8" w:rsidRDefault="00CA22A8" w:rsidP="006E5A22">
            <w:pPr>
              <w:rPr>
                <w:sz w:val="18"/>
                <w:szCs w:val="18"/>
              </w:rPr>
            </w:pPr>
            <w:r w:rsidRPr="002C30E8">
              <w:rPr>
                <w:sz w:val="18"/>
                <w:szCs w:val="18"/>
              </w:rPr>
              <w:t>Počet projektů</w:t>
            </w:r>
            <w:r w:rsidRPr="002C30E8">
              <w:rPr>
                <w:b/>
                <w:sz w:val="18"/>
                <w:szCs w:val="18"/>
              </w:rPr>
              <w:t xml:space="preserve"> s pozitivním vlivem na rovné příležitosti</w:t>
            </w:r>
          </w:p>
        </w:tc>
        <w:tc>
          <w:tcPr>
            <w:tcW w:w="2276" w:type="dxa"/>
            <w:noWrap/>
            <w:vAlign w:val="center"/>
          </w:tcPr>
          <w:p w:rsidR="00CA22A8" w:rsidRPr="002C30E8" w:rsidRDefault="00CA22A8" w:rsidP="00642923">
            <w:pPr>
              <w:jc w:val="center"/>
              <w:rPr>
                <w:sz w:val="18"/>
                <w:szCs w:val="18"/>
              </w:rPr>
            </w:pPr>
            <w:r w:rsidRPr="002C30E8">
              <w:rPr>
                <w:sz w:val="18"/>
                <w:szCs w:val="18"/>
              </w:rPr>
              <w:t>Počet projektů</w:t>
            </w:r>
          </w:p>
        </w:tc>
        <w:tc>
          <w:tcPr>
            <w:tcW w:w="1701" w:type="dxa"/>
            <w:noWrap/>
            <w:vAlign w:val="center"/>
          </w:tcPr>
          <w:p w:rsidR="00CA22A8" w:rsidRPr="002C30E8" w:rsidRDefault="00CA22A8" w:rsidP="00642923">
            <w:pPr>
              <w:jc w:val="center"/>
              <w:rPr>
                <w:sz w:val="18"/>
                <w:szCs w:val="18"/>
              </w:rPr>
            </w:pPr>
            <w:r w:rsidRPr="002C30E8">
              <w:rPr>
                <w:sz w:val="18"/>
                <w:szCs w:val="18"/>
              </w:rPr>
              <w:t>35</w:t>
            </w:r>
          </w:p>
        </w:tc>
      </w:tr>
      <w:tr w:rsidR="00CA22A8" w:rsidRPr="00932CC2" w:rsidTr="00C535B8">
        <w:trPr>
          <w:trHeight w:val="270"/>
        </w:trPr>
        <w:tc>
          <w:tcPr>
            <w:tcW w:w="5260" w:type="dxa"/>
            <w:noWrap/>
            <w:vAlign w:val="center"/>
          </w:tcPr>
          <w:p w:rsidR="00CA22A8" w:rsidRPr="002C30E8" w:rsidRDefault="00CA22A8" w:rsidP="006E5A22">
            <w:pPr>
              <w:rPr>
                <w:sz w:val="18"/>
                <w:szCs w:val="18"/>
              </w:rPr>
            </w:pPr>
            <w:r w:rsidRPr="002C30E8">
              <w:rPr>
                <w:sz w:val="18"/>
                <w:szCs w:val="18"/>
              </w:rPr>
              <w:t xml:space="preserve">Počet projektů </w:t>
            </w:r>
            <w:r w:rsidRPr="002C30E8">
              <w:rPr>
                <w:b/>
                <w:sz w:val="18"/>
                <w:szCs w:val="18"/>
              </w:rPr>
              <w:t>s neutrálním vlivem na rovné příležitosti</w:t>
            </w:r>
          </w:p>
        </w:tc>
        <w:tc>
          <w:tcPr>
            <w:tcW w:w="2276" w:type="dxa"/>
            <w:noWrap/>
            <w:vAlign w:val="center"/>
          </w:tcPr>
          <w:p w:rsidR="00CA22A8" w:rsidRPr="002C30E8" w:rsidRDefault="00CA22A8" w:rsidP="00642923">
            <w:pPr>
              <w:jc w:val="center"/>
              <w:rPr>
                <w:sz w:val="18"/>
                <w:szCs w:val="18"/>
              </w:rPr>
            </w:pPr>
            <w:r w:rsidRPr="002C30E8">
              <w:rPr>
                <w:sz w:val="18"/>
                <w:szCs w:val="18"/>
              </w:rPr>
              <w:t>Počet projektů</w:t>
            </w:r>
          </w:p>
        </w:tc>
        <w:tc>
          <w:tcPr>
            <w:tcW w:w="1701" w:type="dxa"/>
            <w:noWrap/>
            <w:vAlign w:val="center"/>
          </w:tcPr>
          <w:p w:rsidR="00CA22A8" w:rsidRPr="002C30E8" w:rsidRDefault="00CA22A8" w:rsidP="00642923">
            <w:pPr>
              <w:jc w:val="center"/>
              <w:rPr>
                <w:sz w:val="18"/>
                <w:szCs w:val="18"/>
              </w:rPr>
            </w:pPr>
            <w:r w:rsidRPr="002C30E8">
              <w:rPr>
                <w:sz w:val="18"/>
                <w:szCs w:val="18"/>
              </w:rPr>
              <w:t>3</w:t>
            </w:r>
            <w:r w:rsidR="00E342F3" w:rsidRPr="002C30E8">
              <w:rPr>
                <w:sz w:val="18"/>
                <w:szCs w:val="18"/>
              </w:rPr>
              <w:t>4</w:t>
            </w:r>
          </w:p>
        </w:tc>
      </w:tr>
    </w:tbl>
    <w:p w:rsidR="00A75862" w:rsidRDefault="00A75862" w:rsidP="00795439">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E02793">
        <w:rPr>
          <w:i/>
          <w:sz w:val="18"/>
          <w:szCs w:val="18"/>
        </w:rPr>
        <w:t>2</w:t>
      </w:r>
      <w:r w:rsidR="00E02793" w:rsidRPr="00C02CF8">
        <w:rPr>
          <w:i/>
          <w:sz w:val="18"/>
          <w:szCs w:val="18"/>
        </w:rPr>
        <w:t>. 1. 201</w:t>
      </w:r>
      <w:r w:rsidR="00E342F3">
        <w:rPr>
          <w:i/>
          <w:sz w:val="18"/>
          <w:szCs w:val="18"/>
        </w:rPr>
        <w:t>5</w:t>
      </w:r>
    </w:p>
    <w:p w:rsidR="00A75862" w:rsidRPr="00932CC2" w:rsidRDefault="00A75862" w:rsidP="00932CC2">
      <w:pPr>
        <w:jc w:val="both"/>
        <w:rPr>
          <w:sz w:val="16"/>
          <w:szCs w:val="16"/>
          <w:u w:val="single"/>
        </w:rPr>
      </w:pPr>
    </w:p>
    <w:p w:rsidR="00A75862" w:rsidRDefault="00A75862" w:rsidP="00932CC2">
      <w:pPr>
        <w:rPr>
          <w:sz w:val="22"/>
          <w:szCs w:val="22"/>
          <w:u w:val="single"/>
        </w:rPr>
      </w:pPr>
      <w:r w:rsidRPr="002422B3">
        <w:rPr>
          <w:sz w:val="22"/>
          <w:szCs w:val="22"/>
          <w:u w:val="single"/>
        </w:rPr>
        <w:t>Udržitelný rozvoj</w:t>
      </w:r>
    </w:p>
    <w:p w:rsidR="00A75862" w:rsidRPr="00E85E9D" w:rsidRDefault="00A75862" w:rsidP="00DF4078">
      <w:pPr>
        <w:pStyle w:val="Prosttext"/>
        <w:jc w:val="both"/>
        <w:rPr>
          <w:sz w:val="22"/>
          <w:szCs w:val="22"/>
        </w:rPr>
      </w:pPr>
      <w:r w:rsidRPr="000A4877">
        <w:rPr>
          <w:rFonts w:ascii="Times New Roman" w:hAnsi="Times New Roman"/>
          <w:sz w:val="22"/>
          <w:szCs w:val="22"/>
        </w:rPr>
        <w:t xml:space="preserve">V prioritních osách 1a a 1b je </w:t>
      </w:r>
      <w:r w:rsidR="00B937C3" w:rsidRPr="000A4877">
        <w:rPr>
          <w:rFonts w:ascii="Times New Roman" w:hAnsi="Times New Roman"/>
          <w:sz w:val="22"/>
          <w:szCs w:val="22"/>
        </w:rPr>
        <w:t>3</w:t>
      </w:r>
      <w:r w:rsidR="000A4877" w:rsidRPr="000A4877">
        <w:rPr>
          <w:rFonts w:ascii="Times New Roman" w:hAnsi="Times New Roman"/>
          <w:sz w:val="22"/>
          <w:szCs w:val="22"/>
        </w:rPr>
        <w:t>9</w:t>
      </w:r>
      <w:r w:rsidRPr="000A4877">
        <w:rPr>
          <w:rFonts w:ascii="Times New Roman" w:hAnsi="Times New Roman"/>
          <w:sz w:val="22"/>
          <w:szCs w:val="22"/>
        </w:rPr>
        <w:t xml:space="preserve"> projektů</w:t>
      </w:r>
      <w:r w:rsidR="001239DB" w:rsidRPr="000A4877">
        <w:rPr>
          <w:rFonts w:ascii="Times New Roman" w:hAnsi="Times New Roman"/>
          <w:sz w:val="22"/>
          <w:szCs w:val="22"/>
        </w:rPr>
        <w:t>,</w:t>
      </w:r>
      <w:r w:rsidRPr="000A4877">
        <w:rPr>
          <w:rFonts w:ascii="Times New Roman" w:hAnsi="Times New Roman"/>
          <w:sz w:val="22"/>
          <w:szCs w:val="22"/>
        </w:rPr>
        <w:t xml:space="preserve"> schválených do konce roku 201</w:t>
      </w:r>
      <w:r w:rsidR="000A4877" w:rsidRPr="000A4877">
        <w:rPr>
          <w:rFonts w:ascii="Times New Roman" w:hAnsi="Times New Roman"/>
          <w:sz w:val="22"/>
          <w:szCs w:val="22"/>
        </w:rPr>
        <w:t>4</w:t>
      </w:r>
      <w:r w:rsidR="001239DB" w:rsidRPr="000A4877">
        <w:rPr>
          <w:rFonts w:ascii="Times New Roman" w:hAnsi="Times New Roman"/>
          <w:sz w:val="22"/>
          <w:szCs w:val="22"/>
        </w:rPr>
        <w:t>,</w:t>
      </w:r>
      <w:r w:rsidRPr="000A4877">
        <w:rPr>
          <w:rFonts w:ascii="Times New Roman" w:hAnsi="Times New Roman"/>
          <w:sz w:val="22"/>
          <w:szCs w:val="22"/>
        </w:rPr>
        <w:t xml:space="preserve"> ekologicky neutrálních, </w:t>
      </w:r>
      <w:r w:rsidR="00B937C3" w:rsidRPr="000A4877">
        <w:rPr>
          <w:rFonts w:ascii="Times New Roman" w:hAnsi="Times New Roman"/>
          <w:sz w:val="22"/>
          <w:szCs w:val="22"/>
        </w:rPr>
        <w:t>2</w:t>
      </w:r>
      <w:r w:rsidR="000A4877" w:rsidRPr="000A4877">
        <w:rPr>
          <w:rFonts w:ascii="Times New Roman" w:hAnsi="Times New Roman"/>
          <w:sz w:val="22"/>
          <w:szCs w:val="22"/>
        </w:rPr>
        <w:t>1</w:t>
      </w:r>
      <w:r w:rsidRPr="000A4877">
        <w:rPr>
          <w:rFonts w:ascii="Times New Roman" w:hAnsi="Times New Roman"/>
          <w:sz w:val="22"/>
          <w:szCs w:val="22"/>
        </w:rPr>
        <w:t xml:space="preserve"> projektů má pozitivní dopad na životní prostředí, </w:t>
      </w:r>
      <w:r w:rsidR="000A4877" w:rsidRPr="000A4877">
        <w:rPr>
          <w:rFonts w:ascii="Times New Roman" w:hAnsi="Times New Roman"/>
          <w:sz w:val="22"/>
          <w:szCs w:val="22"/>
        </w:rPr>
        <w:t>8</w:t>
      </w:r>
      <w:r w:rsidRPr="000A4877">
        <w:rPr>
          <w:rFonts w:ascii="Times New Roman" w:hAnsi="Times New Roman"/>
          <w:sz w:val="22"/>
          <w:szCs w:val="22"/>
        </w:rPr>
        <w:t xml:space="preserve"> projektů přispěje ke zlepšení ovzduší </w:t>
      </w:r>
      <w:r w:rsidR="001F2637" w:rsidRPr="000A4877">
        <w:rPr>
          <w:rFonts w:ascii="Times New Roman" w:hAnsi="Times New Roman"/>
          <w:sz w:val="22"/>
          <w:szCs w:val="22"/>
        </w:rPr>
        <w:br/>
      </w:r>
      <w:r w:rsidRPr="000A4877">
        <w:rPr>
          <w:rFonts w:ascii="Times New Roman" w:hAnsi="Times New Roman"/>
          <w:sz w:val="22"/>
          <w:szCs w:val="22"/>
        </w:rPr>
        <w:t xml:space="preserve">a </w:t>
      </w:r>
      <w:r w:rsidR="000A4877" w:rsidRPr="000A4877">
        <w:rPr>
          <w:rFonts w:ascii="Times New Roman" w:hAnsi="Times New Roman"/>
          <w:sz w:val="22"/>
          <w:szCs w:val="22"/>
        </w:rPr>
        <w:t>2</w:t>
      </w:r>
      <w:r w:rsidRPr="000A4877">
        <w:rPr>
          <w:rFonts w:ascii="Times New Roman" w:hAnsi="Times New Roman"/>
          <w:sz w:val="22"/>
          <w:szCs w:val="22"/>
        </w:rPr>
        <w:t xml:space="preserve"> projekt</w:t>
      </w:r>
      <w:r w:rsidR="00B937C3" w:rsidRPr="000A4877">
        <w:rPr>
          <w:rFonts w:ascii="Times New Roman" w:hAnsi="Times New Roman"/>
          <w:sz w:val="22"/>
          <w:szCs w:val="22"/>
        </w:rPr>
        <w:t>y</w:t>
      </w:r>
      <w:r w:rsidRPr="000A4877">
        <w:rPr>
          <w:rFonts w:ascii="Times New Roman" w:hAnsi="Times New Roman"/>
          <w:sz w:val="22"/>
          <w:szCs w:val="22"/>
        </w:rPr>
        <w:t xml:space="preserve"> zlepší informovanost obyvatel o ochraně životního prostředí. </w:t>
      </w:r>
    </w:p>
    <w:p w:rsidR="00A75862" w:rsidRDefault="00A75862" w:rsidP="00932CC2">
      <w:pPr>
        <w:rPr>
          <w:sz w:val="22"/>
          <w:szCs w:val="22"/>
          <w:u w:val="single"/>
        </w:rPr>
      </w:pPr>
    </w:p>
    <w:p w:rsidR="00A75862" w:rsidRPr="00F95266" w:rsidRDefault="00A75862" w:rsidP="00E6269C">
      <w:pPr>
        <w:pStyle w:val="Tabulkanzev"/>
      </w:pPr>
      <w:bookmarkStart w:id="154" w:name="_Toc416431826"/>
      <w:r w:rsidRPr="0007093A">
        <w:lastRenderedPageBreak/>
        <w:t>Udržitelný rozvoj</w:t>
      </w:r>
      <w:r w:rsidR="002C30E8">
        <w:t xml:space="preserve"> v prioritní ose 1</w:t>
      </w:r>
      <w:bookmarkEnd w:id="154"/>
    </w:p>
    <w:tbl>
      <w:tblPr>
        <w:tblW w:w="9237"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552"/>
        <w:gridCol w:w="1984"/>
        <w:gridCol w:w="1701"/>
      </w:tblGrid>
      <w:tr w:rsidR="00A75862" w:rsidRPr="00932CC2" w:rsidTr="00265752">
        <w:trPr>
          <w:trHeight w:val="270"/>
        </w:trPr>
        <w:tc>
          <w:tcPr>
            <w:tcW w:w="5552" w:type="dxa"/>
            <w:shd w:val="clear" w:color="auto" w:fill="C2D69B" w:themeFill="accent3" w:themeFillTint="99"/>
            <w:vAlign w:val="center"/>
          </w:tcPr>
          <w:p w:rsidR="00A75862" w:rsidRPr="00B42624" w:rsidRDefault="00A75862" w:rsidP="00932CC2">
            <w:pPr>
              <w:jc w:val="center"/>
              <w:rPr>
                <w:b/>
                <w:bCs/>
              </w:rPr>
            </w:pPr>
            <w:r w:rsidRPr="00B42624">
              <w:rPr>
                <w:b/>
                <w:bCs/>
              </w:rPr>
              <w:t>Sledování horizontálních témat</w:t>
            </w:r>
          </w:p>
        </w:tc>
        <w:tc>
          <w:tcPr>
            <w:tcW w:w="1984" w:type="dxa"/>
            <w:shd w:val="clear" w:color="auto" w:fill="C2D69B" w:themeFill="accent3" w:themeFillTint="99"/>
            <w:vAlign w:val="center"/>
          </w:tcPr>
          <w:p w:rsidR="00A75862" w:rsidRPr="00B42624" w:rsidRDefault="00A75862" w:rsidP="00932CC2">
            <w:pPr>
              <w:jc w:val="center"/>
              <w:rPr>
                <w:b/>
                <w:bCs/>
              </w:rPr>
            </w:pPr>
            <w:r w:rsidRPr="00B42624">
              <w:rPr>
                <w:b/>
                <w:bCs/>
              </w:rPr>
              <w:t>Měrná jednotka</w:t>
            </w:r>
          </w:p>
        </w:tc>
        <w:tc>
          <w:tcPr>
            <w:tcW w:w="1701" w:type="dxa"/>
            <w:shd w:val="clear" w:color="auto" w:fill="C2D69B" w:themeFill="accent3" w:themeFillTint="99"/>
            <w:vAlign w:val="center"/>
          </w:tcPr>
          <w:p w:rsidR="00A75862" w:rsidRPr="00B42624" w:rsidRDefault="00A75862" w:rsidP="00932CC2">
            <w:pPr>
              <w:jc w:val="center"/>
              <w:rPr>
                <w:b/>
                <w:bCs/>
              </w:rPr>
            </w:pPr>
            <w:r w:rsidRPr="00B42624">
              <w:rPr>
                <w:b/>
                <w:bCs/>
              </w:rPr>
              <w:t>Počet projektů</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Projekt je soustředěn hlavně</w:t>
            </w:r>
            <w:r w:rsidRPr="00B42624">
              <w:rPr>
                <w:b/>
                <w:sz w:val="18"/>
                <w:szCs w:val="18"/>
              </w:rPr>
              <w:t xml:space="preserve"> na životní prostředí</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CA22A8" w:rsidP="00642923">
            <w:pPr>
              <w:jc w:val="center"/>
              <w:rPr>
                <w:sz w:val="18"/>
                <w:szCs w:val="18"/>
              </w:rPr>
            </w:pPr>
            <w:r w:rsidRPr="00B42624">
              <w:rPr>
                <w:sz w:val="18"/>
                <w:szCs w:val="18"/>
              </w:rPr>
              <w:t>0</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 xml:space="preserve">Projekt </w:t>
            </w:r>
            <w:r w:rsidRPr="00B42624">
              <w:rPr>
                <w:b/>
                <w:sz w:val="18"/>
                <w:szCs w:val="18"/>
              </w:rPr>
              <w:t xml:space="preserve">má pozitivní dopad </w:t>
            </w:r>
            <w:r w:rsidRPr="00B42624">
              <w:rPr>
                <w:sz w:val="18"/>
                <w:szCs w:val="18"/>
              </w:rPr>
              <w:t>na životní prostředí</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CA22A8" w:rsidP="00642923">
            <w:pPr>
              <w:jc w:val="center"/>
              <w:rPr>
                <w:sz w:val="18"/>
                <w:szCs w:val="18"/>
              </w:rPr>
            </w:pPr>
            <w:r w:rsidRPr="00B42624">
              <w:rPr>
                <w:sz w:val="18"/>
                <w:szCs w:val="18"/>
              </w:rPr>
              <w:t>2</w:t>
            </w:r>
            <w:r w:rsidR="00B670F3" w:rsidRPr="00B42624">
              <w:rPr>
                <w:sz w:val="18"/>
                <w:szCs w:val="18"/>
              </w:rPr>
              <w:t>1</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 xml:space="preserve">Projekt je ekologicky </w:t>
            </w:r>
            <w:r w:rsidRPr="00B42624">
              <w:rPr>
                <w:b/>
                <w:sz w:val="18"/>
                <w:szCs w:val="18"/>
              </w:rPr>
              <w:t>neutrální</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CA22A8" w:rsidP="00642923">
            <w:pPr>
              <w:jc w:val="center"/>
              <w:rPr>
                <w:sz w:val="18"/>
                <w:szCs w:val="18"/>
              </w:rPr>
            </w:pPr>
            <w:r w:rsidRPr="00B42624">
              <w:rPr>
                <w:sz w:val="18"/>
                <w:szCs w:val="18"/>
              </w:rPr>
              <w:t>3</w:t>
            </w:r>
            <w:r w:rsidR="00B670F3" w:rsidRPr="00B42624">
              <w:rPr>
                <w:sz w:val="18"/>
                <w:szCs w:val="18"/>
              </w:rPr>
              <w:t>9</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 xml:space="preserve">Projekt vyžaduje </w:t>
            </w:r>
            <w:r w:rsidRPr="00B42624">
              <w:rPr>
                <w:b/>
                <w:sz w:val="18"/>
                <w:szCs w:val="18"/>
              </w:rPr>
              <w:t>posouzení vlivu na životní prostředí</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CA22A8" w:rsidP="00642923">
            <w:pPr>
              <w:jc w:val="center"/>
              <w:rPr>
                <w:sz w:val="18"/>
                <w:szCs w:val="18"/>
              </w:rPr>
            </w:pPr>
            <w:r w:rsidRPr="00B42624">
              <w:rPr>
                <w:sz w:val="18"/>
                <w:szCs w:val="18"/>
              </w:rPr>
              <w:t>0</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 xml:space="preserve">Projekt přispěje </w:t>
            </w:r>
            <w:r w:rsidRPr="00B42624">
              <w:rPr>
                <w:b/>
                <w:sz w:val="18"/>
                <w:szCs w:val="18"/>
              </w:rPr>
              <w:t>ke zlepšení ovzduší</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B670F3" w:rsidP="00642923">
            <w:pPr>
              <w:jc w:val="center"/>
              <w:rPr>
                <w:sz w:val="18"/>
                <w:szCs w:val="18"/>
              </w:rPr>
            </w:pPr>
            <w:r w:rsidRPr="00B42624">
              <w:rPr>
                <w:sz w:val="18"/>
                <w:szCs w:val="18"/>
              </w:rPr>
              <w:t>8</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 xml:space="preserve">Projekt přispěje </w:t>
            </w:r>
            <w:r w:rsidRPr="00B42624">
              <w:rPr>
                <w:b/>
                <w:sz w:val="18"/>
                <w:szCs w:val="18"/>
              </w:rPr>
              <w:t>ke zlepšení kvality vod</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B670F3" w:rsidP="00642923">
            <w:pPr>
              <w:jc w:val="center"/>
              <w:rPr>
                <w:sz w:val="18"/>
                <w:szCs w:val="18"/>
              </w:rPr>
            </w:pPr>
            <w:r w:rsidRPr="00B42624">
              <w:rPr>
                <w:sz w:val="18"/>
                <w:szCs w:val="18"/>
              </w:rPr>
              <w:t>0</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 xml:space="preserve">Projekt využije </w:t>
            </w:r>
            <w:r w:rsidRPr="00B42624">
              <w:rPr>
                <w:b/>
                <w:sz w:val="18"/>
                <w:szCs w:val="18"/>
              </w:rPr>
              <w:t>alternativní zdroje</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CA22A8" w:rsidP="00642923">
            <w:pPr>
              <w:jc w:val="center"/>
              <w:rPr>
                <w:sz w:val="18"/>
                <w:szCs w:val="18"/>
              </w:rPr>
            </w:pPr>
            <w:r w:rsidRPr="00B42624">
              <w:rPr>
                <w:sz w:val="18"/>
                <w:szCs w:val="18"/>
              </w:rPr>
              <w:t>0</w:t>
            </w:r>
          </w:p>
        </w:tc>
      </w:tr>
      <w:tr w:rsidR="00CA22A8" w:rsidRPr="00932CC2" w:rsidTr="00C535B8">
        <w:trPr>
          <w:trHeight w:val="255"/>
        </w:trPr>
        <w:tc>
          <w:tcPr>
            <w:tcW w:w="5552" w:type="dxa"/>
            <w:noWrap/>
            <w:vAlign w:val="center"/>
          </w:tcPr>
          <w:p w:rsidR="00CA22A8" w:rsidRPr="00B42624" w:rsidRDefault="00CA22A8" w:rsidP="006E5A22">
            <w:pPr>
              <w:rPr>
                <w:sz w:val="18"/>
                <w:szCs w:val="18"/>
              </w:rPr>
            </w:pPr>
            <w:r w:rsidRPr="00B42624">
              <w:rPr>
                <w:sz w:val="18"/>
                <w:szCs w:val="18"/>
              </w:rPr>
              <w:t xml:space="preserve">Projekt zajistí </w:t>
            </w:r>
            <w:r w:rsidRPr="00B42624">
              <w:rPr>
                <w:b/>
                <w:sz w:val="18"/>
                <w:szCs w:val="18"/>
              </w:rPr>
              <w:t>zvýšení rozlohy sídelní vegetace</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CA22A8" w:rsidP="00642923">
            <w:pPr>
              <w:jc w:val="center"/>
              <w:rPr>
                <w:sz w:val="18"/>
                <w:szCs w:val="18"/>
              </w:rPr>
            </w:pPr>
            <w:r w:rsidRPr="00B42624">
              <w:rPr>
                <w:sz w:val="18"/>
                <w:szCs w:val="18"/>
              </w:rPr>
              <w:t>0</w:t>
            </w:r>
          </w:p>
        </w:tc>
      </w:tr>
      <w:tr w:rsidR="00CA22A8" w:rsidRPr="00932CC2" w:rsidTr="00C535B8">
        <w:trPr>
          <w:trHeight w:val="270"/>
        </w:trPr>
        <w:tc>
          <w:tcPr>
            <w:tcW w:w="5552" w:type="dxa"/>
            <w:noWrap/>
            <w:vAlign w:val="center"/>
          </w:tcPr>
          <w:p w:rsidR="00CA22A8" w:rsidRPr="00B42624" w:rsidRDefault="00CA22A8" w:rsidP="006E5A22">
            <w:pPr>
              <w:rPr>
                <w:sz w:val="18"/>
                <w:szCs w:val="18"/>
              </w:rPr>
            </w:pPr>
            <w:r w:rsidRPr="00B42624">
              <w:rPr>
                <w:sz w:val="18"/>
                <w:szCs w:val="18"/>
              </w:rPr>
              <w:t xml:space="preserve">Projekt zlepší </w:t>
            </w:r>
            <w:r w:rsidRPr="00B42624">
              <w:rPr>
                <w:b/>
                <w:sz w:val="18"/>
                <w:szCs w:val="18"/>
              </w:rPr>
              <w:t>informovanost obyvatel o ochraně životního prostředí</w:t>
            </w:r>
          </w:p>
        </w:tc>
        <w:tc>
          <w:tcPr>
            <w:tcW w:w="1984" w:type="dxa"/>
            <w:noWrap/>
            <w:vAlign w:val="center"/>
          </w:tcPr>
          <w:p w:rsidR="00CA22A8" w:rsidRPr="00B42624" w:rsidRDefault="00CA22A8" w:rsidP="00642923">
            <w:pPr>
              <w:jc w:val="center"/>
              <w:rPr>
                <w:sz w:val="18"/>
                <w:szCs w:val="18"/>
              </w:rPr>
            </w:pPr>
            <w:r w:rsidRPr="00B42624">
              <w:rPr>
                <w:sz w:val="18"/>
                <w:szCs w:val="18"/>
              </w:rPr>
              <w:t>Počet projektů</w:t>
            </w:r>
          </w:p>
        </w:tc>
        <w:tc>
          <w:tcPr>
            <w:tcW w:w="1701" w:type="dxa"/>
            <w:noWrap/>
            <w:vAlign w:val="center"/>
          </w:tcPr>
          <w:p w:rsidR="00CA22A8" w:rsidRPr="00B42624" w:rsidRDefault="00B670F3" w:rsidP="00642923">
            <w:pPr>
              <w:jc w:val="center"/>
              <w:rPr>
                <w:sz w:val="18"/>
                <w:szCs w:val="18"/>
              </w:rPr>
            </w:pPr>
            <w:r w:rsidRPr="00B42624">
              <w:rPr>
                <w:sz w:val="18"/>
                <w:szCs w:val="18"/>
              </w:rPr>
              <w:t>2</w:t>
            </w:r>
          </w:p>
        </w:tc>
      </w:tr>
    </w:tbl>
    <w:p w:rsidR="00B11C14" w:rsidRPr="00DF4214" w:rsidRDefault="00A75862" w:rsidP="00DF4214">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843D8E">
        <w:rPr>
          <w:i/>
          <w:sz w:val="18"/>
          <w:szCs w:val="18"/>
        </w:rPr>
        <w:t>2</w:t>
      </w:r>
      <w:r w:rsidR="00843D8E" w:rsidRPr="00C02CF8">
        <w:rPr>
          <w:i/>
          <w:sz w:val="18"/>
          <w:szCs w:val="18"/>
        </w:rPr>
        <w:t>. 1. 2015</w:t>
      </w:r>
    </w:p>
    <w:p w:rsidR="00A75862" w:rsidRPr="005A18F0" w:rsidRDefault="00A75862" w:rsidP="000F2A6C">
      <w:pPr>
        <w:pStyle w:val="Nadpis3"/>
      </w:pPr>
      <w:bookmarkStart w:id="155" w:name="_Toc417024871"/>
      <w:r w:rsidRPr="005A18F0">
        <w:t>3.1.2 Závažné problémy, které se objevily, a přijatá opatření k jejich odstranění</w:t>
      </w:r>
      <w:bookmarkEnd w:id="155"/>
    </w:p>
    <w:p w:rsidR="00ED3808" w:rsidRPr="00ED3808" w:rsidRDefault="00ED3808" w:rsidP="00D50678">
      <w:pPr>
        <w:jc w:val="both"/>
        <w:rPr>
          <w:b/>
          <w:sz w:val="22"/>
          <w:szCs w:val="22"/>
        </w:rPr>
      </w:pPr>
      <w:r w:rsidRPr="00ED3808">
        <w:rPr>
          <w:b/>
          <w:sz w:val="22"/>
          <w:szCs w:val="22"/>
        </w:rPr>
        <w:t>Nízký stav čerpání, ohrožení naplnění pravidla n+2 v důsledku existence rizikových projektů</w:t>
      </w:r>
    </w:p>
    <w:p w:rsidR="009E72E5" w:rsidRPr="00ED3808" w:rsidRDefault="009E72E5" w:rsidP="00D50678">
      <w:pPr>
        <w:jc w:val="both"/>
        <w:rPr>
          <w:sz w:val="22"/>
          <w:szCs w:val="22"/>
        </w:rPr>
      </w:pPr>
      <w:r w:rsidRPr="00ED3808">
        <w:rPr>
          <w:sz w:val="22"/>
          <w:szCs w:val="22"/>
        </w:rPr>
        <w:t xml:space="preserve">Ve sledovaném období docházelo k posouvání harmonogramů a čerpání, </w:t>
      </w:r>
      <w:r>
        <w:rPr>
          <w:sz w:val="22"/>
          <w:szCs w:val="22"/>
        </w:rPr>
        <w:t>které</w:t>
      </w:r>
      <w:r w:rsidRPr="00ED3808">
        <w:rPr>
          <w:sz w:val="22"/>
          <w:szCs w:val="22"/>
        </w:rPr>
        <w:t xml:space="preserve"> zapříčinila zdržení </w:t>
      </w:r>
      <w:r>
        <w:rPr>
          <w:sz w:val="22"/>
          <w:szCs w:val="22"/>
        </w:rPr>
        <w:br/>
      </w:r>
      <w:r w:rsidRPr="00ED3808">
        <w:rPr>
          <w:sz w:val="22"/>
          <w:szCs w:val="22"/>
        </w:rPr>
        <w:t>v zadávání veřejných zakázek, problém</w:t>
      </w:r>
      <w:r>
        <w:rPr>
          <w:sz w:val="22"/>
          <w:szCs w:val="22"/>
        </w:rPr>
        <w:t>y</w:t>
      </w:r>
      <w:r w:rsidRPr="00ED3808">
        <w:rPr>
          <w:sz w:val="22"/>
          <w:szCs w:val="22"/>
        </w:rPr>
        <w:t xml:space="preserve"> s dodá</w:t>
      </w:r>
      <w:r>
        <w:rPr>
          <w:sz w:val="22"/>
          <w:szCs w:val="22"/>
        </w:rPr>
        <w:t>vkami od</w:t>
      </w:r>
      <w:r w:rsidRPr="00ED3808">
        <w:rPr>
          <w:sz w:val="22"/>
          <w:szCs w:val="22"/>
        </w:rPr>
        <w:t xml:space="preserve"> dodavatelů, časté změny v personálním zajištění projektů a s tím související změny koncepcí a názorů na řízení projektů. </w:t>
      </w:r>
      <w:r>
        <w:rPr>
          <w:sz w:val="22"/>
          <w:szCs w:val="22"/>
        </w:rPr>
        <w:t xml:space="preserve">Proto </w:t>
      </w:r>
      <w:r w:rsidRPr="00ED3808">
        <w:rPr>
          <w:sz w:val="22"/>
          <w:szCs w:val="22"/>
        </w:rPr>
        <w:t xml:space="preserve">docházelo </w:t>
      </w:r>
      <w:r w:rsidR="00095BFA">
        <w:rPr>
          <w:sz w:val="22"/>
          <w:szCs w:val="22"/>
        </w:rPr>
        <w:br/>
      </w:r>
      <w:r w:rsidRPr="00ED3808">
        <w:rPr>
          <w:sz w:val="22"/>
          <w:szCs w:val="22"/>
        </w:rPr>
        <w:t>k přesouvání finančních prostředků do dalších období, nízkému čerpání přidělených finančních prostředků a k ohrožení naplnění pravidla n+2 v roce 2014.</w:t>
      </w:r>
    </w:p>
    <w:p w:rsidR="00ED3808" w:rsidRPr="00ED3808" w:rsidRDefault="00ED3808" w:rsidP="00EB47D2"/>
    <w:p w:rsidR="00ED3808" w:rsidRPr="00ED3808" w:rsidRDefault="00ED3808" w:rsidP="00D50678">
      <w:pPr>
        <w:jc w:val="both"/>
        <w:rPr>
          <w:b/>
          <w:i/>
          <w:sz w:val="22"/>
          <w:szCs w:val="22"/>
        </w:rPr>
      </w:pPr>
      <w:r w:rsidRPr="00D107D5">
        <w:rPr>
          <w:b/>
          <w:sz w:val="22"/>
          <w:szCs w:val="22"/>
        </w:rPr>
        <w:t>Přijatá opatření</w:t>
      </w:r>
      <w:r w:rsidRPr="00ED3808">
        <w:rPr>
          <w:b/>
          <w:i/>
          <w:sz w:val="22"/>
          <w:szCs w:val="22"/>
        </w:rPr>
        <w:t xml:space="preserve"> </w:t>
      </w:r>
    </w:p>
    <w:p w:rsidR="00943B11" w:rsidRDefault="00943B11" w:rsidP="00D50678">
      <w:pPr>
        <w:jc w:val="both"/>
        <w:rPr>
          <w:sz w:val="22"/>
          <w:szCs w:val="22"/>
        </w:rPr>
      </w:pPr>
      <w:r w:rsidRPr="00ED3808">
        <w:rPr>
          <w:sz w:val="22"/>
          <w:szCs w:val="22"/>
        </w:rPr>
        <w:t xml:space="preserve">ZS MV ve sledovaném období pokračoval v intenzivním monitoringu rizikových projektů a jejich krizovém řízení. Za účasti pracovníků ZS MV a zástupců příjemce se nadále uskutečňovala pravidelná měsíční jednání pracovních týmů (tzv. </w:t>
      </w:r>
      <w:proofErr w:type="spellStart"/>
      <w:r w:rsidRPr="00ED3808">
        <w:rPr>
          <w:sz w:val="22"/>
          <w:szCs w:val="22"/>
        </w:rPr>
        <w:t>task-force</w:t>
      </w:r>
      <w:proofErr w:type="spellEnd"/>
      <w:r w:rsidRPr="00ED3808">
        <w:rPr>
          <w:sz w:val="22"/>
          <w:szCs w:val="22"/>
        </w:rPr>
        <w:t xml:space="preserve">), </w:t>
      </w:r>
      <w:r>
        <w:rPr>
          <w:sz w:val="22"/>
          <w:szCs w:val="22"/>
        </w:rPr>
        <w:t>na</w:t>
      </w:r>
      <w:r w:rsidRPr="00ED3808">
        <w:rPr>
          <w:sz w:val="22"/>
          <w:szCs w:val="22"/>
        </w:rPr>
        <w:t xml:space="preserve"> kterých </w:t>
      </w:r>
      <w:r>
        <w:rPr>
          <w:sz w:val="22"/>
          <w:szCs w:val="22"/>
        </w:rPr>
        <w:t xml:space="preserve">se </w:t>
      </w:r>
      <w:r w:rsidRPr="00ED3808">
        <w:rPr>
          <w:sz w:val="22"/>
          <w:szCs w:val="22"/>
        </w:rPr>
        <w:t>předáv</w:t>
      </w:r>
      <w:r>
        <w:rPr>
          <w:sz w:val="22"/>
          <w:szCs w:val="22"/>
        </w:rPr>
        <w:t>aly</w:t>
      </w:r>
      <w:r w:rsidRPr="00ED3808">
        <w:rPr>
          <w:sz w:val="22"/>
          <w:szCs w:val="22"/>
        </w:rPr>
        <w:t xml:space="preserve"> aktuální informac</w:t>
      </w:r>
      <w:r>
        <w:rPr>
          <w:sz w:val="22"/>
          <w:szCs w:val="22"/>
        </w:rPr>
        <w:t>e</w:t>
      </w:r>
      <w:r w:rsidRPr="00ED3808">
        <w:rPr>
          <w:sz w:val="22"/>
          <w:szCs w:val="22"/>
        </w:rPr>
        <w:t xml:space="preserve"> </w:t>
      </w:r>
      <w:r w:rsidR="00D50678">
        <w:rPr>
          <w:sz w:val="22"/>
          <w:szCs w:val="22"/>
        </w:rPr>
        <w:br/>
      </w:r>
      <w:r w:rsidRPr="00ED3808">
        <w:rPr>
          <w:sz w:val="22"/>
          <w:szCs w:val="22"/>
        </w:rPr>
        <w:t xml:space="preserve">o realizaci projektu a řešily se problémy na projektu již v jejich zárodku. Postup realizace aktivit ve všech projektech byl nadále monitorován prostřednictvím status reportů a dalších dokumentů předkládaných ad hoc. V případě, že byla identifikována rizika </w:t>
      </w:r>
      <w:r>
        <w:rPr>
          <w:sz w:val="22"/>
          <w:szCs w:val="22"/>
        </w:rPr>
        <w:t>ne</w:t>
      </w:r>
      <w:r w:rsidRPr="00ED3808">
        <w:rPr>
          <w:sz w:val="22"/>
          <w:szCs w:val="22"/>
        </w:rPr>
        <w:t xml:space="preserve">plnění predikcí čerpání a </w:t>
      </w:r>
      <w:r>
        <w:rPr>
          <w:sz w:val="22"/>
          <w:szCs w:val="22"/>
        </w:rPr>
        <w:t xml:space="preserve">ohrožení </w:t>
      </w:r>
      <w:r w:rsidRPr="00ED3808">
        <w:rPr>
          <w:sz w:val="22"/>
          <w:szCs w:val="22"/>
        </w:rPr>
        <w:t xml:space="preserve">pravidla n+2, byla svolávána tripartitní jednání za účasti zástupce ŘO IOP. </w:t>
      </w:r>
      <w:r w:rsidRPr="00ED3808">
        <w:rPr>
          <w:sz w:val="22"/>
          <w:szCs w:val="22"/>
        </w:rPr>
        <w:br/>
        <w:t xml:space="preserve">S příjemci byla intenzivně konzultována úprava stávající etapizace, aby předložené Žádosti </w:t>
      </w:r>
      <w:r>
        <w:rPr>
          <w:sz w:val="22"/>
          <w:szCs w:val="22"/>
        </w:rPr>
        <w:br/>
      </w:r>
      <w:r w:rsidRPr="00ED3808">
        <w:rPr>
          <w:sz w:val="22"/>
          <w:szCs w:val="22"/>
        </w:rPr>
        <w:t>o platbu maximálně přispěly k naplnění pravidla n+2 v roce 2014.</w:t>
      </w:r>
    </w:p>
    <w:p w:rsidR="00D50678" w:rsidRPr="00ED3808" w:rsidRDefault="00D50678" w:rsidP="00D50678">
      <w:pPr>
        <w:jc w:val="both"/>
        <w:rPr>
          <w:sz w:val="22"/>
          <w:szCs w:val="22"/>
        </w:rPr>
      </w:pPr>
    </w:p>
    <w:p w:rsidR="00CD186C" w:rsidRDefault="00943B11" w:rsidP="00ED3808">
      <w:pPr>
        <w:spacing w:after="120"/>
        <w:jc w:val="both"/>
        <w:rPr>
          <w:sz w:val="22"/>
          <w:szCs w:val="22"/>
        </w:rPr>
      </w:pPr>
      <w:r w:rsidRPr="00ED3808">
        <w:rPr>
          <w:sz w:val="22"/>
          <w:szCs w:val="22"/>
        </w:rPr>
        <w:t xml:space="preserve">ZS MV nastavil a realizuje opatření, která přispívají ke snížení chybovosti v </w:t>
      </w:r>
      <w:proofErr w:type="spellStart"/>
      <w:proofErr w:type="gramStart"/>
      <w:r w:rsidRPr="00ED3808">
        <w:rPr>
          <w:sz w:val="22"/>
          <w:szCs w:val="22"/>
        </w:rPr>
        <w:t>ŽoP</w:t>
      </w:r>
      <w:proofErr w:type="spellEnd"/>
      <w:proofErr w:type="gramEnd"/>
      <w:r w:rsidRPr="00ED3808">
        <w:rPr>
          <w:sz w:val="22"/>
          <w:szCs w:val="22"/>
        </w:rPr>
        <w:t xml:space="preserve"> a MZ, ke zkrácení délky jejich předkládání a ke zkrácení lhůty administrace na ZS MV. Jedním z opatření byla konzultace nezbytných náležitostí, obsahu a formy MZ se </w:t>
      </w:r>
      <w:proofErr w:type="spellStart"/>
      <w:r w:rsidRPr="00ED3808">
        <w:rPr>
          <w:sz w:val="22"/>
          <w:szCs w:val="22"/>
        </w:rPr>
        <w:t>ŽoP</w:t>
      </w:r>
      <w:proofErr w:type="spellEnd"/>
      <w:r w:rsidRPr="00ED3808">
        <w:rPr>
          <w:sz w:val="22"/>
          <w:szCs w:val="22"/>
        </w:rPr>
        <w:t xml:space="preserve"> před finálním odevzdáním na ZS MV. S příjemci bylo dále nastaveno předkládání dokumentace</w:t>
      </w:r>
      <w:r>
        <w:rPr>
          <w:sz w:val="22"/>
          <w:szCs w:val="22"/>
        </w:rPr>
        <w:t xml:space="preserve"> </w:t>
      </w:r>
      <w:r w:rsidRPr="00ED3808">
        <w:rPr>
          <w:sz w:val="22"/>
          <w:szCs w:val="22"/>
        </w:rPr>
        <w:t xml:space="preserve">k VŘ ihned po ukončení </w:t>
      </w:r>
      <w:r>
        <w:rPr>
          <w:sz w:val="22"/>
          <w:szCs w:val="22"/>
        </w:rPr>
        <w:t>jednotlivých</w:t>
      </w:r>
      <w:r w:rsidRPr="00ED3808">
        <w:rPr>
          <w:sz w:val="22"/>
          <w:szCs w:val="22"/>
        </w:rPr>
        <w:t xml:space="preserve"> úkon</w:t>
      </w:r>
      <w:r>
        <w:rPr>
          <w:sz w:val="22"/>
          <w:szCs w:val="22"/>
        </w:rPr>
        <w:t>ů</w:t>
      </w:r>
      <w:r w:rsidRPr="00ED3808">
        <w:rPr>
          <w:sz w:val="22"/>
          <w:szCs w:val="22"/>
        </w:rPr>
        <w:t xml:space="preserve"> (zpracování ZD, dokumentace k VŘ před podpisem/po podpisu smlouvy, uzavření dodatku), aby nedocházelo k zbytečnému prodlužování administrace </w:t>
      </w:r>
      <w:proofErr w:type="spellStart"/>
      <w:r w:rsidRPr="00ED3808">
        <w:rPr>
          <w:sz w:val="22"/>
          <w:szCs w:val="22"/>
        </w:rPr>
        <w:t>ŽoP</w:t>
      </w:r>
      <w:proofErr w:type="spellEnd"/>
      <w:r>
        <w:rPr>
          <w:sz w:val="22"/>
          <w:szCs w:val="22"/>
        </w:rPr>
        <w:t xml:space="preserve"> </w:t>
      </w:r>
      <w:r w:rsidRPr="00ED3808">
        <w:rPr>
          <w:sz w:val="22"/>
          <w:szCs w:val="22"/>
        </w:rPr>
        <w:t xml:space="preserve">a MZ o probíhající kontrolu dokumentace k VZ. Současně byli příjemci žádáni o zkrácení termínů předložení </w:t>
      </w:r>
      <w:proofErr w:type="spellStart"/>
      <w:r w:rsidRPr="00ED3808">
        <w:rPr>
          <w:sz w:val="22"/>
          <w:szCs w:val="22"/>
        </w:rPr>
        <w:t>ŽoP</w:t>
      </w:r>
      <w:proofErr w:type="spellEnd"/>
      <w:r w:rsidRPr="00ED3808">
        <w:rPr>
          <w:sz w:val="22"/>
          <w:szCs w:val="22"/>
        </w:rPr>
        <w:t xml:space="preserve"> a MZ. </w:t>
      </w:r>
    </w:p>
    <w:p w:rsidR="00EB47D2" w:rsidRPr="00ED3808" w:rsidRDefault="00943B11" w:rsidP="00ED3808">
      <w:pPr>
        <w:spacing w:after="120"/>
        <w:jc w:val="both"/>
        <w:rPr>
          <w:sz w:val="22"/>
          <w:szCs w:val="22"/>
        </w:rPr>
      </w:pPr>
      <w:r w:rsidRPr="00ED3808">
        <w:rPr>
          <w:sz w:val="22"/>
          <w:szCs w:val="22"/>
        </w:rPr>
        <w:t xml:space="preserve">Díky aplikovaným opatřením a jejich zafungování se podařilo výrazně snížit předpokládanou ztrátu </w:t>
      </w:r>
      <w:r w:rsidRPr="00ED3808">
        <w:rPr>
          <w:sz w:val="22"/>
          <w:szCs w:val="22"/>
        </w:rPr>
        <w:br/>
        <w:t>za rok 2014.</w:t>
      </w:r>
    </w:p>
    <w:p w:rsidR="00EB47D2" w:rsidRDefault="00EB47D2" w:rsidP="00EB47D2"/>
    <w:p w:rsidR="00ED3808" w:rsidRPr="00ED3808" w:rsidRDefault="00ED3808" w:rsidP="00D50678">
      <w:pPr>
        <w:jc w:val="both"/>
        <w:rPr>
          <w:b/>
          <w:sz w:val="22"/>
          <w:szCs w:val="22"/>
        </w:rPr>
      </w:pPr>
      <w:r w:rsidRPr="00ED3808">
        <w:rPr>
          <w:b/>
          <w:sz w:val="22"/>
          <w:szCs w:val="22"/>
        </w:rPr>
        <w:t>Převis podaných projektových žádostí nad rámec alokace výzvy</w:t>
      </w:r>
    </w:p>
    <w:p w:rsidR="00943B11" w:rsidRPr="00D50678" w:rsidRDefault="00943B11" w:rsidP="00D50678">
      <w:pPr>
        <w:jc w:val="both"/>
        <w:rPr>
          <w:sz w:val="22"/>
          <w:szCs w:val="22"/>
        </w:rPr>
      </w:pPr>
      <w:r w:rsidRPr="00ED3808">
        <w:rPr>
          <w:sz w:val="22"/>
          <w:szCs w:val="22"/>
        </w:rPr>
        <w:t xml:space="preserve">Do </w:t>
      </w:r>
      <w:r w:rsidR="00240CC3">
        <w:rPr>
          <w:sz w:val="22"/>
          <w:szCs w:val="22"/>
        </w:rPr>
        <w:t>v</w:t>
      </w:r>
      <w:r w:rsidRPr="00ED3808">
        <w:rPr>
          <w:sz w:val="22"/>
          <w:szCs w:val="22"/>
        </w:rPr>
        <w:t>ýzvy č. 17 bylo předloženo 40 projektových žádost</w:t>
      </w:r>
      <w:r w:rsidR="00240CC3">
        <w:rPr>
          <w:sz w:val="22"/>
          <w:szCs w:val="22"/>
        </w:rPr>
        <w:t>í</w:t>
      </w:r>
      <w:r w:rsidRPr="00ED3808">
        <w:rPr>
          <w:sz w:val="22"/>
          <w:szCs w:val="22"/>
        </w:rPr>
        <w:t xml:space="preserve">, jejich požadavek na finanční prostředky převyšoval několikanásobně alokaci výzvy. Převis projektů lze přisuzovat intenzivní kampani v době přípravy výzvy a zejména zvýšenému zájmu žadatelů vzhledem ke konci programového období. </w:t>
      </w:r>
    </w:p>
    <w:p w:rsidR="00D50678" w:rsidRDefault="00D50678" w:rsidP="00EB47D2"/>
    <w:p w:rsidR="00ED3808" w:rsidRPr="00071E53" w:rsidRDefault="00ED3808" w:rsidP="00D50678">
      <w:pPr>
        <w:jc w:val="both"/>
        <w:rPr>
          <w:b/>
          <w:sz w:val="22"/>
          <w:szCs w:val="22"/>
        </w:rPr>
      </w:pPr>
      <w:r w:rsidRPr="00071E53">
        <w:rPr>
          <w:b/>
          <w:sz w:val="22"/>
          <w:szCs w:val="22"/>
        </w:rPr>
        <w:t xml:space="preserve">Přijaté opatření: </w:t>
      </w:r>
    </w:p>
    <w:p w:rsidR="00F65429" w:rsidRPr="00C865D3" w:rsidRDefault="00240CC3" w:rsidP="00C865D3">
      <w:pPr>
        <w:jc w:val="both"/>
        <w:rPr>
          <w:sz w:val="22"/>
          <w:szCs w:val="22"/>
        </w:rPr>
      </w:pPr>
      <w:bookmarkStart w:id="156" w:name="_Toc382407695"/>
      <w:bookmarkStart w:id="157" w:name="_Toc383084702"/>
      <w:r w:rsidRPr="00ED3808">
        <w:rPr>
          <w:sz w:val="22"/>
          <w:szCs w:val="22"/>
        </w:rPr>
        <w:t xml:space="preserve">Na základě dohody s </w:t>
      </w:r>
      <w:r>
        <w:rPr>
          <w:sz w:val="22"/>
          <w:szCs w:val="22"/>
        </w:rPr>
        <w:t>m</w:t>
      </w:r>
      <w:r w:rsidRPr="00ED3808">
        <w:rPr>
          <w:sz w:val="22"/>
          <w:szCs w:val="22"/>
        </w:rPr>
        <w:t xml:space="preserve">inisterstvem pro místní rozvoj (ŘO IOP) </w:t>
      </w:r>
      <w:r>
        <w:rPr>
          <w:sz w:val="22"/>
          <w:szCs w:val="22"/>
        </w:rPr>
        <w:t xml:space="preserve">zvýšilo </w:t>
      </w:r>
      <w:r w:rsidRPr="00ED3808">
        <w:rPr>
          <w:sz w:val="22"/>
          <w:szCs w:val="22"/>
        </w:rPr>
        <w:t>Ministerstvo vnitra ČR alokac</w:t>
      </w:r>
      <w:r>
        <w:rPr>
          <w:sz w:val="22"/>
          <w:szCs w:val="22"/>
        </w:rPr>
        <w:t>i</w:t>
      </w:r>
      <w:r w:rsidRPr="00ED3808">
        <w:rPr>
          <w:sz w:val="22"/>
          <w:szCs w:val="22"/>
        </w:rPr>
        <w:t xml:space="preserve"> této výzvy. Tento krok odpovídal snaze o realizac</w:t>
      </w:r>
      <w:r>
        <w:rPr>
          <w:sz w:val="22"/>
          <w:szCs w:val="22"/>
        </w:rPr>
        <w:t>i</w:t>
      </w:r>
      <w:r w:rsidRPr="00ED3808">
        <w:rPr>
          <w:sz w:val="22"/>
          <w:szCs w:val="22"/>
        </w:rPr>
        <w:t xml:space="preserve"> maximální</w:t>
      </w:r>
      <w:r>
        <w:rPr>
          <w:sz w:val="22"/>
          <w:szCs w:val="22"/>
        </w:rPr>
        <w:t>ho</w:t>
      </w:r>
      <w:r w:rsidRPr="00ED3808">
        <w:rPr>
          <w:sz w:val="22"/>
          <w:szCs w:val="22"/>
        </w:rPr>
        <w:t xml:space="preserve"> počtu p</w:t>
      </w:r>
      <w:r>
        <w:rPr>
          <w:sz w:val="22"/>
          <w:szCs w:val="22"/>
        </w:rPr>
        <w:t>rojektů</w:t>
      </w:r>
      <w:r w:rsidRPr="00ED3808">
        <w:rPr>
          <w:sz w:val="22"/>
          <w:szCs w:val="22"/>
        </w:rPr>
        <w:t xml:space="preserve"> za současného eliminování rizika </w:t>
      </w:r>
      <w:r w:rsidR="00131EF9">
        <w:rPr>
          <w:sz w:val="22"/>
          <w:szCs w:val="22"/>
        </w:rPr>
        <w:t>nejasného vývoje budoucích</w:t>
      </w:r>
      <w:r w:rsidR="00B266A0">
        <w:rPr>
          <w:sz w:val="22"/>
          <w:szCs w:val="22"/>
        </w:rPr>
        <w:t xml:space="preserve"> </w:t>
      </w:r>
      <w:r w:rsidRPr="00ED3808">
        <w:rPr>
          <w:sz w:val="22"/>
          <w:szCs w:val="22"/>
        </w:rPr>
        <w:t>úspor a zohlednění časové náročnosti investičních projektů. Zbývající volné prostředky oblasti intervence 1.1</w:t>
      </w:r>
      <w:r w:rsidR="00131EF9">
        <w:rPr>
          <w:sz w:val="22"/>
          <w:szCs w:val="22"/>
        </w:rPr>
        <w:t xml:space="preserve"> můžou být využity v rámci pravidla </w:t>
      </w:r>
      <w:r w:rsidR="00472F9B">
        <w:rPr>
          <w:sz w:val="22"/>
          <w:szCs w:val="22"/>
        </w:rPr>
        <w:t xml:space="preserve">flexibility </w:t>
      </w:r>
      <w:r w:rsidR="00472F9B" w:rsidRPr="00ED3808">
        <w:rPr>
          <w:sz w:val="22"/>
          <w:szCs w:val="22"/>
        </w:rPr>
        <w:t>v ostatních</w:t>
      </w:r>
      <w:r w:rsidR="00131EF9">
        <w:rPr>
          <w:sz w:val="22"/>
          <w:szCs w:val="22"/>
        </w:rPr>
        <w:t xml:space="preserve"> prioritních osách</w:t>
      </w:r>
      <w:r w:rsidRPr="00ED3808">
        <w:rPr>
          <w:sz w:val="22"/>
          <w:szCs w:val="22"/>
        </w:rPr>
        <w:t xml:space="preserve"> IOP, kde je možné je ještě využít.</w:t>
      </w:r>
    </w:p>
    <w:p w:rsidR="00A75862" w:rsidRPr="009026D3" w:rsidRDefault="00A75862" w:rsidP="000F2A6C">
      <w:pPr>
        <w:pStyle w:val="Nadpis3"/>
      </w:pPr>
      <w:bookmarkStart w:id="158" w:name="_Toc417024872"/>
      <w:r w:rsidRPr="009026D3">
        <w:lastRenderedPageBreak/>
        <w:t>3.1.3 Příklad projektu</w:t>
      </w:r>
      <w:bookmarkEnd w:id="156"/>
      <w:bookmarkEnd w:id="157"/>
      <w:bookmarkEnd w:id="158"/>
      <w:r w:rsidRPr="009026D3">
        <w:t xml:space="preserve"> </w:t>
      </w:r>
    </w:p>
    <w:p w:rsidR="00A75862" w:rsidRPr="00FC6215" w:rsidRDefault="00A75862" w:rsidP="002F3365">
      <w:pPr>
        <w:jc w:val="both"/>
        <w:rPr>
          <w:sz w:val="22"/>
          <w:szCs w:val="22"/>
        </w:rPr>
      </w:pPr>
      <w:r w:rsidRPr="00FC6215">
        <w:rPr>
          <w:b/>
          <w:sz w:val="22"/>
          <w:szCs w:val="22"/>
        </w:rPr>
        <w:t>Oblast intervence:</w:t>
      </w:r>
      <w:r w:rsidRPr="00FC6215">
        <w:rPr>
          <w:sz w:val="22"/>
          <w:szCs w:val="22"/>
        </w:rPr>
        <w:t xml:space="preserve"> 1.1 Rozvoj informační společnosti ve veřejné správě</w:t>
      </w:r>
    </w:p>
    <w:p w:rsidR="00A75862" w:rsidRPr="00A02516" w:rsidRDefault="00A75862" w:rsidP="002F3365">
      <w:pPr>
        <w:jc w:val="both"/>
        <w:rPr>
          <w:color w:val="0070C0"/>
          <w:sz w:val="22"/>
          <w:szCs w:val="22"/>
        </w:rPr>
      </w:pPr>
      <w:r w:rsidRPr="00FC6215">
        <w:rPr>
          <w:b/>
          <w:sz w:val="22"/>
          <w:szCs w:val="22"/>
        </w:rPr>
        <w:t xml:space="preserve">Název projektu (registrační číslo): </w:t>
      </w:r>
      <w:r w:rsidR="00A02516" w:rsidRPr="00A02516">
        <w:rPr>
          <w:sz w:val="22"/>
          <w:szCs w:val="22"/>
        </w:rPr>
        <w:t>Realizace technologického centra pro provoz Národního centra kybernetické bezp</w:t>
      </w:r>
      <w:r w:rsidR="00616AB2">
        <w:rPr>
          <w:sz w:val="22"/>
          <w:szCs w:val="22"/>
        </w:rPr>
        <w:t xml:space="preserve">ečnosti, </w:t>
      </w:r>
      <w:r w:rsidR="00A02516" w:rsidRPr="00A02516">
        <w:rPr>
          <w:sz w:val="22"/>
          <w:szCs w:val="22"/>
        </w:rPr>
        <w:t>CZ.1.06/1.1.00/17.09372</w:t>
      </w:r>
    </w:p>
    <w:p w:rsidR="00A02516" w:rsidRDefault="00A75862" w:rsidP="003939DE">
      <w:pPr>
        <w:jc w:val="both"/>
        <w:rPr>
          <w:b/>
          <w:sz w:val="22"/>
          <w:szCs w:val="22"/>
        </w:rPr>
      </w:pPr>
      <w:r w:rsidRPr="00FC6215">
        <w:rPr>
          <w:b/>
          <w:sz w:val="22"/>
          <w:szCs w:val="22"/>
        </w:rPr>
        <w:t>Příjemce:</w:t>
      </w:r>
      <w:r w:rsidRPr="00FC6215">
        <w:rPr>
          <w:sz w:val="22"/>
          <w:szCs w:val="22"/>
        </w:rPr>
        <w:t xml:space="preserve"> </w:t>
      </w:r>
      <w:r w:rsidR="00A02516" w:rsidRPr="00A02516">
        <w:rPr>
          <w:sz w:val="22"/>
          <w:szCs w:val="22"/>
        </w:rPr>
        <w:t>Národní bezpečnostní úřad</w:t>
      </w:r>
      <w:r w:rsidR="00A02516" w:rsidRPr="00FC6215">
        <w:rPr>
          <w:b/>
          <w:sz w:val="22"/>
          <w:szCs w:val="22"/>
        </w:rPr>
        <w:t xml:space="preserve"> </w:t>
      </w:r>
    </w:p>
    <w:p w:rsidR="00A02516" w:rsidRPr="00E66E83" w:rsidRDefault="00A75862" w:rsidP="00A02516">
      <w:pPr>
        <w:jc w:val="both"/>
        <w:rPr>
          <w:color w:val="0070C0"/>
          <w:sz w:val="22"/>
          <w:szCs w:val="22"/>
        </w:rPr>
      </w:pPr>
      <w:r w:rsidRPr="00FC6215">
        <w:rPr>
          <w:b/>
          <w:sz w:val="22"/>
          <w:szCs w:val="22"/>
        </w:rPr>
        <w:t>Financování projektu:</w:t>
      </w:r>
      <w:r w:rsidRPr="00FC6215">
        <w:rPr>
          <w:sz w:val="22"/>
          <w:szCs w:val="22"/>
        </w:rPr>
        <w:t xml:space="preserve"> </w:t>
      </w:r>
      <w:r w:rsidR="00A02516" w:rsidRPr="00A02516">
        <w:rPr>
          <w:sz w:val="22"/>
          <w:szCs w:val="22"/>
        </w:rPr>
        <w:t>36 914 325 Kč (příspěvek SF 29 270 597 Kč a příspěvek SR 5 165 400</w:t>
      </w:r>
      <w:r w:rsidR="00A02516" w:rsidRPr="00E66E83">
        <w:rPr>
          <w:color w:val="0070C0"/>
          <w:sz w:val="22"/>
          <w:szCs w:val="22"/>
        </w:rPr>
        <w:t xml:space="preserve"> </w:t>
      </w:r>
      <w:r w:rsidR="00A02516" w:rsidRPr="003D2143">
        <w:rPr>
          <w:sz w:val="22"/>
          <w:szCs w:val="22"/>
        </w:rPr>
        <w:t>Kč)</w:t>
      </w:r>
    </w:p>
    <w:p w:rsidR="00A75862" w:rsidRDefault="00A75862" w:rsidP="003939DE">
      <w:pPr>
        <w:jc w:val="both"/>
        <w:rPr>
          <w:sz w:val="22"/>
          <w:szCs w:val="22"/>
        </w:rPr>
      </w:pPr>
    </w:p>
    <w:p w:rsidR="00F65429" w:rsidRPr="00A02516" w:rsidRDefault="00F65429" w:rsidP="00F65429">
      <w:pPr>
        <w:jc w:val="both"/>
        <w:rPr>
          <w:sz w:val="22"/>
          <w:szCs w:val="22"/>
        </w:rPr>
      </w:pPr>
      <w:r w:rsidRPr="00A02516">
        <w:rPr>
          <w:sz w:val="22"/>
          <w:szCs w:val="22"/>
        </w:rPr>
        <w:t xml:space="preserve">Dne 19. října 2011 přijala vláda ČR usnesení č. 781 o ustavení Národního bezpečnostního úřadu (NBÚ) gestorem problematiky kybernetické bezpečnosti a zároveň národní autoritou pro tuto oblast. Na základě přijatého usnesení vzniklo Národní centrum kybernetické bezpečnosti (NCKB) jako součást NBÚ v Praze a v Brně. Pro veřejnou správu a kritickou infrastrukturu bude klíčovým partnerem při řešení a prevenci incidentů. Součástí centra bude pracoviště vládního </w:t>
      </w:r>
      <w:proofErr w:type="spellStart"/>
      <w:r w:rsidRPr="00A02516">
        <w:rPr>
          <w:sz w:val="22"/>
          <w:szCs w:val="22"/>
        </w:rPr>
        <w:t>CERTu</w:t>
      </w:r>
      <w:proofErr w:type="spellEnd"/>
      <w:r w:rsidRPr="00A02516">
        <w:rPr>
          <w:sz w:val="22"/>
          <w:szCs w:val="22"/>
        </w:rPr>
        <w:t>. Realizací projektu bude poskytována především služba ochrany informačních systémů orgánů veřejné moci. Projekt řeší pořízení, implementaci a technickou podporu řešení datových úložišť a serverové platformy pro provoz systémů NCKB</w:t>
      </w:r>
      <w:r>
        <w:rPr>
          <w:sz w:val="22"/>
          <w:szCs w:val="22"/>
        </w:rPr>
        <w:t xml:space="preserve"> </w:t>
      </w:r>
      <w:r w:rsidRPr="00A02516">
        <w:rPr>
          <w:sz w:val="22"/>
          <w:szCs w:val="22"/>
        </w:rPr>
        <w:t xml:space="preserve">v lokalitách Praha a Brno. Každá z lokalit je tvořena dvěma nezávislými fyzicky oddělenými </w:t>
      </w:r>
      <w:proofErr w:type="spellStart"/>
      <w:r w:rsidRPr="00A02516">
        <w:rPr>
          <w:sz w:val="22"/>
          <w:szCs w:val="22"/>
        </w:rPr>
        <w:t>serverovnami</w:t>
      </w:r>
      <w:proofErr w:type="spellEnd"/>
      <w:r w:rsidRPr="00A02516">
        <w:rPr>
          <w:sz w:val="22"/>
          <w:szCs w:val="22"/>
        </w:rPr>
        <w:t xml:space="preserve">. </w:t>
      </w:r>
    </w:p>
    <w:p w:rsidR="00F12E46" w:rsidRPr="00FD402C" w:rsidRDefault="00F12E46" w:rsidP="00FD402C"/>
    <w:p w:rsidR="00A75862" w:rsidRDefault="00A75862" w:rsidP="00FD402C">
      <w:pPr>
        <w:pStyle w:val="Nadpis2"/>
        <w:rPr>
          <w:rFonts w:ascii="Times New Roman" w:hAnsi="Times New Roman"/>
          <w:i w:val="0"/>
        </w:rPr>
      </w:pPr>
      <w:bookmarkStart w:id="159" w:name="_Toc417024873"/>
      <w:r w:rsidRPr="009026D3">
        <w:rPr>
          <w:rFonts w:ascii="Times New Roman" w:hAnsi="Times New Roman"/>
          <w:i w:val="0"/>
        </w:rPr>
        <w:t>3.2 Prioritní osa 2 – Zavádění ICT v územní veřejné správě</w:t>
      </w:r>
      <w:bookmarkEnd w:id="159"/>
    </w:p>
    <w:p w:rsidR="00A75862" w:rsidRDefault="00A75862" w:rsidP="00555962"/>
    <w:p w:rsidR="00A75862" w:rsidRPr="005C6E85" w:rsidRDefault="00A75862" w:rsidP="00FC6215">
      <w:pPr>
        <w:autoSpaceDE w:val="0"/>
        <w:autoSpaceDN w:val="0"/>
        <w:adjustRightInd w:val="0"/>
        <w:jc w:val="both"/>
        <w:rPr>
          <w:bCs/>
          <w:sz w:val="22"/>
          <w:szCs w:val="22"/>
        </w:rPr>
      </w:pPr>
      <w:r>
        <w:rPr>
          <w:bCs/>
          <w:sz w:val="22"/>
          <w:szCs w:val="22"/>
        </w:rPr>
        <w:t xml:space="preserve">Prioritní osa 2 se zaměřuje na modernizaci územní veřejné správy, především na vybudování podmínek pro aplikaci </w:t>
      </w:r>
      <w:proofErr w:type="spellStart"/>
      <w:r>
        <w:rPr>
          <w:bCs/>
          <w:sz w:val="22"/>
          <w:szCs w:val="22"/>
        </w:rPr>
        <w:t>eGovernment</w:t>
      </w:r>
      <w:proofErr w:type="spellEnd"/>
      <w:r>
        <w:rPr>
          <w:bCs/>
          <w:sz w:val="22"/>
          <w:szCs w:val="22"/>
        </w:rPr>
        <w:t xml:space="preserve"> na místní úrovni, optimalizaci procesů orgánů místní samosprávy, zefektivnění elektronické komunikace mezi jednotlivými úrovněmi veřejné správy, zabezpečením vzájemné kompatibility informačních systémů datové propojenosti, poskytováním </w:t>
      </w:r>
      <w:r w:rsidR="00911229">
        <w:rPr>
          <w:bCs/>
          <w:sz w:val="22"/>
          <w:szCs w:val="22"/>
        </w:rPr>
        <w:br/>
      </w:r>
      <w:r>
        <w:rPr>
          <w:bCs/>
          <w:sz w:val="22"/>
          <w:szCs w:val="22"/>
        </w:rPr>
        <w:t xml:space="preserve">co nejvíce bezplatných informací prostřednictvím internetu. </w:t>
      </w:r>
    </w:p>
    <w:p w:rsidR="00A75862" w:rsidRDefault="00A75862" w:rsidP="000F2A6C">
      <w:pPr>
        <w:pStyle w:val="Nadpis3"/>
      </w:pPr>
      <w:bookmarkStart w:id="160" w:name="_Toc382407697"/>
      <w:bookmarkStart w:id="161" w:name="_Toc383084704"/>
      <w:bookmarkStart w:id="162" w:name="_Toc417024874"/>
      <w:r w:rsidRPr="009026D3">
        <w:t>3.2.1 Dosažený pokrok a jeho analýza</w:t>
      </w:r>
      <w:bookmarkEnd w:id="160"/>
      <w:bookmarkEnd w:id="161"/>
      <w:bookmarkEnd w:id="162"/>
    </w:p>
    <w:p w:rsidR="003460CB" w:rsidRPr="003460CB" w:rsidRDefault="003460CB" w:rsidP="003460CB"/>
    <w:p w:rsidR="00A75862" w:rsidRPr="009026D3" w:rsidRDefault="00696F09" w:rsidP="005A18F0">
      <w:pPr>
        <w:jc w:val="both"/>
        <w:rPr>
          <w:b/>
          <w:sz w:val="24"/>
          <w:szCs w:val="24"/>
        </w:rPr>
      </w:pPr>
      <w:bookmarkStart w:id="163" w:name="_Toc382407698"/>
      <w:bookmarkStart w:id="164" w:name="_Toc383084705"/>
      <w:r w:rsidRPr="005A18F0">
        <w:rPr>
          <w:b/>
          <w:sz w:val="24"/>
          <w:szCs w:val="24"/>
        </w:rPr>
        <w:t>3.2.1. A Informace</w:t>
      </w:r>
      <w:r w:rsidR="00A75862" w:rsidRPr="005A18F0">
        <w:rPr>
          <w:b/>
          <w:sz w:val="24"/>
          <w:szCs w:val="24"/>
        </w:rPr>
        <w:t xml:space="preserve"> o fyzickém a finančním pokroku</w:t>
      </w:r>
      <w:bookmarkEnd w:id="163"/>
      <w:bookmarkEnd w:id="164"/>
    </w:p>
    <w:p w:rsidR="00A75862" w:rsidRDefault="00A75862" w:rsidP="00FC6215">
      <w:pPr>
        <w:jc w:val="both"/>
        <w:rPr>
          <w:b/>
          <w:sz w:val="22"/>
          <w:szCs w:val="22"/>
        </w:rPr>
      </w:pPr>
    </w:p>
    <w:p w:rsidR="00A75862" w:rsidRDefault="00A75862" w:rsidP="00FC6215">
      <w:pPr>
        <w:jc w:val="both"/>
        <w:rPr>
          <w:b/>
          <w:sz w:val="22"/>
          <w:szCs w:val="22"/>
        </w:rPr>
      </w:pPr>
      <w:r>
        <w:rPr>
          <w:b/>
          <w:sz w:val="22"/>
          <w:szCs w:val="22"/>
        </w:rPr>
        <w:t>Realizace prioritní osy</w:t>
      </w:r>
    </w:p>
    <w:p w:rsidR="00A75862" w:rsidRDefault="00A75862" w:rsidP="00D90A2E">
      <w:pPr>
        <w:jc w:val="both"/>
        <w:rPr>
          <w:sz w:val="22"/>
          <w:szCs w:val="22"/>
          <w:u w:val="single"/>
        </w:rPr>
      </w:pPr>
    </w:p>
    <w:p w:rsidR="00A75862" w:rsidRDefault="00A75862" w:rsidP="00FC6215">
      <w:pPr>
        <w:jc w:val="both"/>
        <w:rPr>
          <w:sz w:val="22"/>
          <w:szCs w:val="22"/>
          <w:u w:val="single"/>
        </w:rPr>
      </w:pPr>
      <w:r w:rsidRPr="00BD1C23">
        <w:rPr>
          <w:sz w:val="22"/>
          <w:szCs w:val="22"/>
          <w:u w:val="single"/>
        </w:rPr>
        <w:t>Výzvy</w:t>
      </w:r>
    </w:p>
    <w:p w:rsidR="00350341" w:rsidRDefault="00350341" w:rsidP="00350341">
      <w:pPr>
        <w:spacing w:after="120"/>
        <w:jc w:val="both"/>
        <w:rPr>
          <w:color w:val="0070C0"/>
          <w:sz w:val="22"/>
          <w:szCs w:val="22"/>
        </w:rPr>
      </w:pPr>
      <w:r w:rsidRPr="00350341">
        <w:rPr>
          <w:sz w:val="22"/>
          <w:szCs w:val="22"/>
        </w:rPr>
        <w:t>V návaznosti na Strategii dočerpaní IOP byla</w:t>
      </w:r>
      <w:r w:rsidR="00F65429">
        <w:rPr>
          <w:sz w:val="22"/>
          <w:szCs w:val="22"/>
        </w:rPr>
        <w:t xml:space="preserve"> alokace </w:t>
      </w:r>
      <w:r w:rsidRPr="00350341">
        <w:rPr>
          <w:sz w:val="22"/>
          <w:szCs w:val="22"/>
        </w:rPr>
        <w:t xml:space="preserve">22. </w:t>
      </w:r>
      <w:r w:rsidR="00F65429">
        <w:rPr>
          <w:sz w:val="22"/>
          <w:szCs w:val="22"/>
        </w:rPr>
        <w:t>v</w:t>
      </w:r>
      <w:r w:rsidRPr="00350341">
        <w:rPr>
          <w:sz w:val="22"/>
          <w:szCs w:val="22"/>
        </w:rPr>
        <w:t xml:space="preserve">ýzva </w:t>
      </w:r>
      <w:r w:rsidR="00F65429">
        <w:rPr>
          <w:sz w:val="22"/>
          <w:szCs w:val="22"/>
        </w:rPr>
        <w:t>z</w:t>
      </w:r>
      <w:r w:rsidRPr="00350341">
        <w:rPr>
          <w:sz w:val="22"/>
          <w:szCs w:val="22"/>
        </w:rPr>
        <w:t xml:space="preserve">výšena na 697 mil. Kč příspěvku ERDF. Toto </w:t>
      </w:r>
      <w:r w:rsidR="00F65429">
        <w:rPr>
          <w:sz w:val="22"/>
          <w:szCs w:val="22"/>
        </w:rPr>
        <w:t>z</w:t>
      </w:r>
      <w:r w:rsidRPr="00350341">
        <w:rPr>
          <w:sz w:val="22"/>
          <w:szCs w:val="22"/>
        </w:rPr>
        <w:t>výšení pokrylo všechny projekty, které nebylo možné pokrýt z původní alokace výzvy. Byl proveden průzkum mezi žadateli, zda mají zájem realizovat své projekty ve zkráceném harmonogramu. U projektů, které projevily zájem, byl okamžitě zahájen proces hodnocení projektů</w:t>
      </w:r>
      <w:r w:rsidRPr="00350341">
        <w:rPr>
          <w:color w:val="0070C0"/>
          <w:sz w:val="22"/>
          <w:szCs w:val="22"/>
        </w:rPr>
        <w:t>.</w:t>
      </w:r>
    </w:p>
    <w:p w:rsidR="00F65429" w:rsidRPr="00350341" w:rsidRDefault="00F65429" w:rsidP="00350341">
      <w:pPr>
        <w:spacing w:after="120"/>
        <w:jc w:val="both"/>
        <w:rPr>
          <w:color w:val="0070C0"/>
          <w:sz w:val="22"/>
          <w:szCs w:val="22"/>
        </w:rPr>
      </w:pPr>
    </w:p>
    <w:p w:rsidR="00A75862" w:rsidRDefault="00A75862" w:rsidP="00E6269C">
      <w:pPr>
        <w:pStyle w:val="Tabulkanzev"/>
      </w:pPr>
      <w:bookmarkStart w:id="165" w:name="_Toc416431827"/>
      <w:r w:rsidRPr="0007093A">
        <w:t>Přehled vyhlášených a probíhajících výzev v </w:t>
      </w:r>
      <w:r w:rsidR="00BA3EDE">
        <w:t>PO</w:t>
      </w:r>
      <w:r w:rsidR="00DD397E">
        <w:t xml:space="preserve"> 2 v roce 2014</w:t>
      </w:r>
      <w:bookmarkEnd w:id="165"/>
    </w:p>
    <w:tbl>
      <w:tblPr>
        <w:tblW w:w="9193" w:type="dxa"/>
        <w:tblInd w:w="55"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4"/>
        <w:gridCol w:w="537"/>
        <w:gridCol w:w="1177"/>
        <w:gridCol w:w="948"/>
        <w:gridCol w:w="708"/>
        <w:gridCol w:w="851"/>
        <w:gridCol w:w="992"/>
        <w:gridCol w:w="425"/>
        <w:gridCol w:w="993"/>
        <w:gridCol w:w="567"/>
        <w:gridCol w:w="1381"/>
      </w:tblGrid>
      <w:tr w:rsidR="004804DD" w:rsidRPr="004804DD" w:rsidTr="00FF0C5B">
        <w:trPr>
          <w:trHeight w:val="931"/>
        </w:trPr>
        <w:tc>
          <w:tcPr>
            <w:tcW w:w="614" w:type="dxa"/>
            <w:vMerge w:val="restart"/>
            <w:shd w:val="clear" w:color="000000" w:fill="D8E4BC"/>
            <w:vAlign w:val="center"/>
            <w:hideMark/>
          </w:tcPr>
          <w:p w:rsidR="004804DD" w:rsidRPr="004804DD" w:rsidRDefault="004804DD" w:rsidP="004804DD">
            <w:pPr>
              <w:jc w:val="center"/>
              <w:rPr>
                <w:b/>
                <w:bCs/>
                <w:sz w:val="16"/>
                <w:szCs w:val="16"/>
              </w:rPr>
            </w:pPr>
            <w:r w:rsidRPr="004804DD">
              <w:rPr>
                <w:b/>
                <w:bCs/>
                <w:sz w:val="16"/>
                <w:szCs w:val="16"/>
              </w:rPr>
              <w:t>Pořadí výzvy</w:t>
            </w:r>
          </w:p>
        </w:tc>
        <w:tc>
          <w:tcPr>
            <w:tcW w:w="537" w:type="dxa"/>
            <w:vMerge w:val="restart"/>
            <w:shd w:val="clear" w:color="000000" w:fill="D8E4BC"/>
            <w:vAlign w:val="center"/>
            <w:hideMark/>
          </w:tcPr>
          <w:p w:rsidR="004804DD" w:rsidRPr="004804DD" w:rsidRDefault="004804DD" w:rsidP="004804DD">
            <w:pPr>
              <w:jc w:val="center"/>
              <w:rPr>
                <w:b/>
                <w:bCs/>
                <w:sz w:val="16"/>
                <w:szCs w:val="16"/>
              </w:rPr>
            </w:pPr>
            <w:r w:rsidRPr="004804DD">
              <w:rPr>
                <w:b/>
                <w:bCs/>
                <w:sz w:val="16"/>
                <w:szCs w:val="16"/>
              </w:rPr>
              <w:t>Číslo výzvy</w:t>
            </w:r>
          </w:p>
        </w:tc>
        <w:tc>
          <w:tcPr>
            <w:tcW w:w="2125" w:type="dxa"/>
            <w:gridSpan w:val="2"/>
            <w:shd w:val="clear" w:color="000000" w:fill="D8E4BC"/>
            <w:vAlign w:val="center"/>
            <w:hideMark/>
          </w:tcPr>
          <w:p w:rsidR="004804DD" w:rsidRPr="004804DD" w:rsidRDefault="004804DD" w:rsidP="004804DD">
            <w:pPr>
              <w:jc w:val="center"/>
              <w:rPr>
                <w:b/>
                <w:bCs/>
                <w:sz w:val="16"/>
                <w:szCs w:val="16"/>
              </w:rPr>
            </w:pPr>
            <w:r w:rsidRPr="004804DD">
              <w:rPr>
                <w:b/>
                <w:bCs/>
                <w:sz w:val="16"/>
                <w:szCs w:val="16"/>
              </w:rPr>
              <w:t>Podání projektových žádostí</w:t>
            </w:r>
          </w:p>
        </w:tc>
        <w:tc>
          <w:tcPr>
            <w:tcW w:w="708" w:type="dxa"/>
            <w:vMerge w:val="restart"/>
            <w:shd w:val="clear" w:color="000000" w:fill="D8E4BC"/>
            <w:vAlign w:val="center"/>
            <w:hideMark/>
          </w:tcPr>
          <w:p w:rsidR="004804DD" w:rsidRPr="004804DD" w:rsidRDefault="004804DD" w:rsidP="004804DD">
            <w:pPr>
              <w:jc w:val="center"/>
              <w:rPr>
                <w:b/>
                <w:bCs/>
                <w:sz w:val="16"/>
                <w:szCs w:val="16"/>
              </w:rPr>
            </w:pPr>
            <w:r w:rsidRPr="004804DD">
              <w:rPr>
                <w:b/>
                <w:bCs/>
                <w:sz w:val="16"/>
                <w:szCs w:val="16"/>
              </w:rPr>
              <w:t>Druh výzvy</w:t>
            </w:r>
          </w:p>
        </w:tc>
        <w:tc>
          <w:tcPr>
            <w:tcW w:w="851" w:type="dxa"/>
            <w:vMerge w:val="restart"/>
            <w:shd w:val="clear" w:color="000000" w:fill="D8E4BC"/>
            <w:vAlign w:val="center"/>
            <w:hideMark/>
          </w:tcPr>
          <w:p w:rsidR="004804DD" w:rsidRPr="004804DD" w:rsidRDefault="004804DD" w:rsidP="004804DD">
            <w:pPr>
              <w:jc w:val="center"/>
              <w:rPr>
                <w:b/>
                <w:bCs/>
                <w:sz w:val="16"/>
                <w:szCs w:val="16"/>
              </w:rPr>
            </w:pPr>
            <w:r w:rsidRPr="004804DD">
              <w:rPr>
                <w:b/>
                <w:bCs/>
                <w:sz w:val="16"/>
                <w:szCs w:val="16"/>
              </w:rPr>
              <w:t>Číslo prioritní osy/oblasti podpory</w:t>
            </w:r>
          </w:p>
        </w:tc>
        <w:tc>
          <w:tcPr>
            <w:tcW w:w="992" w:type="dxa"/>
            <w:shd w:val="clear" w:color="000000" w:fill="D8E4BC"/>
            <w:vAlign w:val="center"/>
            <w:hideMark/>
          </w:tcPr>
          <w:p w:rsidR="004804DD" w:rsidRPr="004804DD" w:rsidRDefault="004804DD" w:rsidP="004804DD">
            <w:pPr>
              <w:jc w:val="center"/>
              <w:rPr>
                <w:b/>
                <w:bCs/>
                <w:sz w:val="16"/>
                <w:szCs w:val="16"/>
              </w:rPr>
            </w:pPr>
            <w:r w:rsidRPr="004804DD">
              <w:rPr>
                <w:b/>
                <w:bCs/>
                <w:sz w:val="16"/>
                <w:szCs w:val="16"/>
              </w:rPr>
              <w:t>Alokace na výzvu</w:t>
            </w:r>
          </w:p>
        </w:tc>
        <w:tc>
          <w:tcPr>
            <w:tcW w:w="1418" w:type="dxa"/>
            <w:gridSpan w:val="2"/>
            <w:shd w:val="clear" w:color="000000" w:fill="D8E4BC"/>
            <w:vAlign w:val="center"/>
            <w:hideMark/>
          </w:tcPr>
          <w:p w:rsidR="004804DD" w:rsidRPr="004804DD" w:rsidRDefault="004804DD" w:rsidP="004804DD">
            <w:pPr>
              <w:jc w:val="center"/>
              <w:rPr>
                <w:b/>
                <w:bCs/>
                <w:sz w:val="16"/>
                <w:szCs w:val="16"/>
              </w:rPr>
            </w:pPr>
            <w:r w:rsidRPr="004804DD">
              <w:rPr>
                <w:b/>
                <w:bCs/>
                <w:sz w:val="16"/>
                <w:szCs w:val="16"/>
              </w:rPr>
              <w:t>Podané žádosti o podporu</w:t>
            </w:r>
          </w:p>
        </w:tc>
        <w:tc>
          <w:tcPr>
            <w:tcW w:w="1948" w:type="dxa"/>
            <w:gridSpan w:val="2"/>
            <w:shd w:val="clear" w:color="000000" w:fill="D8E4BC"/>
            <w:vAlign w:val="center"/>
            <w:hideMark/>
          </w:tcPr>
          <w:p w:rsidR="004804DD" w:rsidRPr="004804DD" w:rsidRDefault="004804DD" w:rsidP="004804DD">
            <w:pPr>
              <w:jc w:val="center"/>
              <w:rPr>
                <w:b/>
                <w:bCs/>
                <w:sz w:val="16"/>
                <w:szCs w:val="16"/>
              </w:rPr>
            </w:pPr>
            <w:r w:rsidRPr="004804DD">
              <w:rPr>
                <w:b/>
                <w:bCs/>
                <w:sz w:val="16"/>
                <w:szCs w:val="16"/>
              </w:rPr>
              <w:t>Projekty s vydaným Rozhodnutím/podepsanou Smlouvou</w:t>
            </w:r>
          </w:p>
        </w:tc>
      </w:tr>
      <w:tr w:rsidR="004804DD" w:rsidRPr="004804DD" w:rsidTr="00FF0C5B">
        <w:trPr>
          <w:trHeight w:val="1275"/>
        </w:trPr>
        <w:tc>
          <w:tcPr>
            <w:tcW w:w="614" w:type="dxa"/>
            <w:vMerge/>
            <w:vAlign w:val="center"/>
            <w:hideMark/>
          </w:tcPr>
          <w:p w:rsidR="004804DD" w:rsidRPr="004804DD" w:rsidRDefault="004804DD" w:rsidP="004804DD">
            <w:pPr>
              <w:rPr>
                <w:b/>
                <w:bCs/>
                <w:sz w:val="16"/>
                <w:szCs w:val="16"/>
              </w:rPr>
            </w:pPr>
          </w:p>
        </w:tc>
        <w:tc>
          <w:tcPr>
            <w:tcW w:w="537" w:type="dxa"/>
            <w:vMerge/>
            <w:vAlign w:val="center"/>
            <w:hideMark/>
          </w:tcPr>
          <w:p w:rsidR="004804DD" w:rsidRPr="004804DD" w:rsidRDefault="004804DD" w:rsidP="004804DD">
            <w:pPr>
              <w:rPr>
                <w:b/>
                <w:bCs/>
                <w:sz w:val="16"/>
                <w:szCs w:val="16"/>
              </w:rPr>
            </w:pPr>
          </w:p>
        </w:tc>
        <w:tc>
          <w:tcPr>
            <w:tcW w:w="1177" w:type="dxa"/>
            <w:shd w:val="clear" w:color="000000" w:fill="D8E4BC"/>
            <w:vAlign w:val="center"/>
            <w:hideMark/>
          </w:tcPr>
          <w:p w:rsidR="004804DD" w:rsidRPr="004804DD" w:rsidRDefault="004804DD" w:rsidP="004804DD">
            <w:pPr>
              <w:jc w:val="center"/>
              <w:rPr>
                <w:b/>
                <w:bCs/>
                <w:sz w:val="16"/>
                <w:szCs w:val="16"/>
              </w:rPr>
            </w:pPr>
            <w:r w:rsidRPr="004804DD">
              <w:rPr>
                <w:b/>
                <w:bCs/>
                <w:sz w:val="16"/>
                <w:szCs w:val="16"/>
              </w:rPr>
              <w:t>Datum zahájení příjmu projektových žádostí</w:t>
            </w:r>
          </w:p>
        </w:tc>
        <w:tc>
          <w:tcPr>
            <w:tcW w:w="948" w:type="dxa"/>
            <w:shd w:val="clear" w:color="000000" w:fill="D8E4BC"/>
            <w:vAlign w:val="center"/>
            <w:hideMark/>
          </w:tcPr>
          <w:p w:rsidR="004804DD" w:rsidRPr="004804DD" w:rsidRDefault="004804DD" w:rsidP="004804DD">
            <w:pPr>
              <w:jc w:val="center"/>
              <w:rPr>
                <w:b/>
                <w:bCs/>
                <w:sz w:val="16"/>
                <w:szCs w:val="16"/>
              </w:rPr>
            </w:pPr>
            <w:r w:rsidRPr="004804DD">
              <w:rPr>
                <w:b/>
                <w:bCs/>
                <w:sz w:val="16"/>
                <w:szCs w:val="16"/>
              </w:rPr>
              <w:t>Datum ukončení výzvy</w:t>
            </w:r>
          </w:p>
        </w:tc>
        <w:tc>
          <w:tcPr>
            <w:tcW w:w="708" w:type="dxa"/>
            <w:vMerge/>
            <w:vAlign w:val="center"/>
            <w:hideMark/>
          </w:tcPr>
          <w:p w:rsidR="004804DD" w:rsidRPr="004804DD" w:rsidRDefault="004804DD" w:rsidP="004804DD">
            <w:pPr>
              <w:rPr>
                <w:b/>
                <w:bCs/>
                <w:sz w:val="16"/>
                <w:szCs w:val="16"/>
              </w:rPr>
            </w:pPr>
          </w:p>
        </w:tc>
        <w:tc>
          <w:tcPr>
            <w:tcW w:w="851" w:type="dxa"/>
            <w:vMerge/>
            <w:vAlign w:val="center"/>
            <w:hideMark/>
          </w:tcPr>
          <w:p w:rsidR="004804DD" w:rsidRPr="004804DD" w:rsidRDefault="004804DD" w:rsidP="004804DD">
            <w:pPr>
              <w:rPr>
                <w:b/>
                <w:bCs/>
                <w:sz w:val="16"/>
                <w:szCs w:val="16"/>
              </w:rPr>
            </w:pPr>
          </w:p>
        </w:tc>
        <w:tc>
          <w:tcPr>
            <w:tcW w:w="992" w:type="dxa"/>
            <w:shd w:val="clear" w:color="000000" w:fill="D8E4BC"/>
            <w:vAlign w:val="center"/>
            <w:hideMark/>
          </w:tcPr>
          <w:p w:rsidR="004804DD" w:rsidRPr="004804DD" w:rsidRDefault="004804DD" w:rsidP="004804DD">
            <w:pPr>
              <w:jc w:val="center"/>
              <w:rPr>
                <w:b/>
                <w:bCs/>
                <w:sz w:val="16"/>
                <w:szCs w:val="16"/>
              </w:rPr>
            </w:pPr>
            <w:r w:rsidRPr="004804DD">
              <w:rPr>
                <w:b/>
                <w:bCs/>
                <w:sz w:val="16"/>
                <w:szCs w:val="16"/>
              </w:rPr>
              <w:t xml:space="preserve">v </w:t>
            </w:r>
            <w:proofErr w:type="gramStart"/>
            <w:r w:rsidRPr="004804DD">
              <w:rPr>
                <w:b/>
                <w:bCs/>
                <w:sz w:val="16"/>
                <w:szCs w:val="16"/>
              </w:rPr>
              <w:t>EUR</w:t>
            </w:r>
            <w:proofErr w:type="gramEnd"/>
          </w:p>
        </w:tc>
        <w:tc>
          <w:tcPr>
            <w:tcW w:w="425" w:type="dxa"/>
            <w:shd w:val="clear" w:color="000000" w:fill="D8E4BC"/>
            <w:vAlign w:val="center"/>
            <w:hideMark/>
          </w:tcPr>
          <w:p w:rsidR="004804DD" w:rsidRPr="004804DD" w:rsidRDefault="004804DD" w:rsidP="004804DD">
            <w:pPr>
              <w:jc w:val="center"/>
              <w:rPr>
                <w:b/>
                <w:bCs/>
                <w:sz w:val="16"/>
                <w:szCs w:val="16"/>
              </w:rPr>
            </w:pPr>
            <w:r w:rsidRPr="004804DD">
              <w:rPr>
                <w:b/>
                <w:bCs/>
                <w:sz w:val="16"/>
                <w:szCs w:val="16"/>
              </w:rPr>
              <w:t>počet</w:t>
            </w:r>
          </w:p>
        </w:tc>
        <w:tc>
          <w:tcPr>
            <w:tcW w:w="993" w:type="dxa"/>
            <w:shd w:val="clear" w:color="000000" w:fill="D8E4BC"/>
            <w:vAlign w:val="center"/>
            <w:hideMark/>
          </w:tcPr>
          <w:p w:rsidR="004804DD" w:rsidRPr="004804DD" w:rsidRDefault="004804DD" w:rsidP="004804DD">
            <w:pPr>
              <w:jc w:val="center"/>
              <w:rPr>
                <w:b/>
                <w:bCs/>
                <w:sz w:val="16"/>
                <w:szCs w:val="16"/>
              </w:rPr>
            </w:pPr>
            <w:r w:rsidRPr="004804DD">
              <w:rPr>
                <w:b/>
                <w:bCs/>
                <w:sz w:val="16"/>
                <w:szCs w:val="16"/>
              </w:rPr>
              <w:t xml:space="preserve">v </w:t>
            </w:r>
            <w:proofErr w:type="gramStart"/>
            <w:r w:rsidRPr="004804DD">
              <w:rPr>
                <w:b/>
                <w:bCs/>
                <w:sz w:val="16"/>
                <w:szCs w:val="16"/>
              </w:rPr>
              <w:t>EUR</w:t>
            </w:r>
            <w:proofErr w:type="gramEnd"/>
          </w:p>
        </w:tc>
        <w:tc>
          <w:tcPr>
            <w:tcW w:w="567" w:type="dxa"/>
            <w:shd w:val="clear" w:color="000000" w:fill="D8E4BC"/>
            <w:noWrap/>
            <w:vAlign w:val="center"/>
            <w:hideMark/>
          </w:tcPr>
          <w:p w:rsidR="004804DD" w:rsidRPr="004804DD" w:rsidRDefault="004804DD" w:rsidP="004804DD">
            <w:pPr>
              <w:jc w:val="center"/>
              <w:rPr>
                <w:b/>
                <w:bCs/>
                <w:sz w:val="16"/>
                <w:szCs w:val="16"/>
              </w:rPr>
            </w:pPr>
            <w:r w:rsidRPr="004804DD">
              <w:rPr>
                <w:b/>
                <w:bCs/>
                <w:sz w:val="16"/>
                <w:szCs w:val="16"/>
              </w:rPr>
              <w:t xml:space="preserve">počet </w:t>
            </w:r>
          </w:p>
        </w:tc>
        <w:tc>
          <w:tcPr>
            <w:tcW w:w="1381" w:type="dxa"/>
            <w:shd w:val="clear" w:color="000000" w:fill="D8E4BC"/>
            <w:noWrap/>
            <w:vAlign w:val="center"/>
            <w:hideMark/>
          </w:tcPr>
          <w:p w:rsidR="004804DD" w:rsidRPr="004804DD" w:rsidRDefault="004804DD" w:rsidP="004804DD">
            <w:pPr>
              <w:jc w:val="center"/>
              <w:rPr>
                <w:b/>
                <w:bCs/>
                <w:sz w:val="16"/>
                <w:szCs w:val="16"/>
              </w:rPr>
            </w:pPr>
            <w:r w:rsidRPr="004804DD">
              <w:rPr>
                <w:b/>
                <w:bCs/>
                <w:sz w:val="16"/>
                <w:szCs w:val="16"/>
              </w:rPr>
              <w:t xml:space="preserve">v </w:t>
            </w:r>
            <w:proofErr w:type="gramStart"/>
            <w:r w:rsidRPr="004804DD">
              <w:rPr>
                <w:b/>
                <w:bCs/>
                <w:sz w:val="16"/>
                <w:szCs w:val="16"/>
              </w:rPr>
              <w:t>EUR</w:t>
            </w:r>
            <w:proofErr w:type="gramEnd"/>
          </w:p>
        </w:tc>
      </w:tr>
      <w:tr w:rsidR="004804DD" w:rsidRPr="004804DD" w:rsidTr="00FF0C5B">
        <w:trPr>
          <w:trHeight w:val="300"/>
        </w:trPr>
        <w:tc>
          <w:tcPr>
            <w:tcW w:w="614" w:type="dxa"/>
            <w:shd w:val="clear" w:color="000000" w:fill="FFFFFF"/>
            <w:noWrap/>
            <w:vAlign w:val="center"/>
            <w:hideMark/>
          </w:tcPr>
          <w:p w:rsidR="004804DD" w:rsidRPr="004804DD" w:rsidRDefault="004804DD" w:rsidP="004804DD">
            <w:pPr>
              <w:jc w:val="center"/>
              <w:rPr>
                <w:color w:val="000000"/>
                <w:sz w:val="16"/>
                <w:szCs w:val="16"/>
              </w:rPr>
            </w:pPr>
            <w:r w:rsidRPr="004804DD">
              <w:rPr>
                <w:color w:val="000000"/>
                <w:sz w:val="16"/>
                <w:szCs w:val="16"/>
              </w:rPr>
              <w:t>69</w:t>
            </w:r>
          </w:p>
        </w:tc>
        <w:tc>
          <w:tcPr>
            <w:tcW w:w="537" w:type="dxa"/>
            <w:shd w:val="clear" w:color="000000" w:fill="FFFFFF"/>
            <w:noWrap/>
            <w:vAlign w:val="center"/>
            <w:hideMark/>
          </w:tcPr>
          <w:p w:rsidR="004804DD" w:rsidRPr="004804DD" w:rsidRDefault="004804DD" w:rsidP="004804DD">
            <w:pPr>
              <w:jc w:val="center"/>
              <w:rPr>
                <w:color w:val="000000"/>
                <w:sz w:val="16"/>
                <w:szCs w:val="16"/>
              </w:rPr>
            </w:pPr>
            <w:r w:rsidRPr="004804DD">
              <w:rPr>
                <w:color w:val="000000"/>
                <w:sz w:val="16"/>
                <w:szCs w:val="16"/>
              </w:rPr>
              <w:t>22</w:t>
            </w:r>
          </w:p>
        </w:tc>
        <w:tc>
          <w:tcPr>
            <w:tcW w:w="1177" w:type="dxa"/>
            <w:shd w:val="clear" w:color="000000" w:fill="FFFFFF"/>
            <w:vAlign w:val="center"/>
            <w:hideMark/>
          </w:tcPr>
          <w:p w:rsidR="004804DD" w:rsidRPr="004804DD" w:rsidRDefault="00843D8E" w:rsidP="004804DD">
            <w:pPr>
              <w:jc w:val="center"/>
              <w:rPr>
                <w:color w:val="000000"/>
                <w:sz w:val="16"/>
                <w:szCs w:val="16"/>
              </w:rPr>
            </w:pPr>
            <w:r w:rsidRPr="004804DD">
              <w:rPr>
                <w:color w:val="000000"/>
                <w:sz w:val="16"/>
                <w:szCs w:val="16"/>
              </w:rPr>
              <w:t>14. 2. 2014</w:t>
            </w:r>
          </w:p>
        </w:tc>
        <w:tc>
          <w:tcPr>
            <w:tcW w:w="948" w:type="dxa"/>
            <w:shd w:val="clear" w:color="000000" w:fill="FFFFFF"/>
            <w:vAlign w:val="center"/>
            <w:hideMark/>
          </w:tcPr>
          <w:p w:rsidR="004804DD" w:rsidRPr="004804DD" w:rsidRDefault="00FF0C5B" w:rsidP="004804DD">
            <w:pPr>
              <w:jc w:val="center"/>
              <w:rPr>
                <w:color w:val="000000"/>
                <w:sz w:val="16"/>
                <w:szCs w:val="16"/>
              </w:rPr>
            </w:pPr>
            <w:r w:rsidRPr="004804DD">
              <w:rPr>
                <w:color w:val="000000"/>
                <w:sz w:val="16"/>
                <w:szCs w:val="16"/>
              </w:rPr>
              <w:t>30. 6. 2014</w:t>
            </w:r>
          </w:p>
        </w:tc>
        <w:tc>
          <w:tcPr>
            <w:tcW w:w="708" w:type="dxa"/>
            <w:shd w:val="clear" w:color="auto" w:fill="auto"/>
            <w:noWrap/>
            <w:vAlign w:val="center"/>
            <w:hideMark/>
          </w:tcPr>
          <w:p w:rsidR="004804DD" w:rsidRPr="004804DD" w:rsidRDefault="004804DD" w:rsidP="004804DD">
            <w:pPr>
              <w:jc w:val="center"/>
              <w:rPr>
                <w:sz w:val="16"/>
                <w:szCs w:val="16"/>
              </w:rPr>
            </w:pPr>
            <w:r w:rsidRPr="004804DD">
              <w:rPr>
                <w:sz w:val="16"/>
                <w:szCs w:val="16"/>
              </w:rPr>
              <w:t>kolová</w:t>
            </w:r>
          </w:p>
        </w:tc>
        <w:tc>
          <w:tcPr>
            <w:tcW w:w="851" w:type="dxa"/>
            <w:shd w:val="clear" w:color="auto" w:fill="auto"/>
            <w:noWrap/>
            <w:vAlign w:val="center"/>
            <w:hideMark/>
          </w:tcPr>
          <w:p w:rsidR="004804DD" w:rsidRPr="004804DD" w:rsidRDefault="004804DD" w:rsidP="004804DD">
            <w:pPr>
              <w:jc w:val="center"/>
              <w:rPr>
                <w:sz w:val="16"/>
                <w:szCs w:val="16"/>
              </w:rPr>
            </w:pPr>
            <w:r w:rsidRPr="004804DD">
              <w:rPr>
                <w:sz w:val="16"/>
                <w:szCs w:val="16"/>
              </w:rPr>
              <w:t>2.1</w:t>
            </w:r>
          </w:p>
        </w:tc>
        <w:tc>
          <w:tcPr>
            <w:tcW w:w="992" w:type="dxa"/>
            <w:shd w:val="clear" w:color="000000" w:fill="FFFFFF"/>
            <w:noWrap/>
            <w:vAlign w:val="center"/>
            <w:hideMark/>
          </w:tcPr>
          <w:p w:rsidR="004804DD" w:rsidRPr="004804DD" w:rsidRDefault="004804DD" w:rsidP="004804DD">
            <w:pPr>
              <w:jc w:val="center"/>
              <w:rPr>
                <w:color w:val="000000"/>
                <w:sz w:val="16"/>
                <w:szCs w:val="16"/>
              </w:rPr>
            </w:pPr>
            <w:r w:rsidRPr="004804DD">
              <w:rPr>
                <w:color w:val="000000"/>
                <w:sz w:val="16"/>
                <w:szCs w:val="16"/>
              </w:rPr>
              <w:t>25 137 046</w:t>
            </w:r>
          </w:p>
        </w:tc>
        <w:tc>
          <w:tcPr>
            <w:tcW w:w="425" w:type="dxa"/>
            <w:shd w:val="clear" w:color="000000" w:fill="FFFFFF"/>
            <w:noWrap/>
            <w:vAlign w:val="center"/>
            <w:hideMark/>
          </w:tcPr>
          <w:p w:rsidR="004804DD" w:rsidRPr="004804DD" w:rsidRDefault="004804DD" w:rsidP="004804DD">
            <w:pPr>
              <w:jc w:val="center"/>
              <w:rPr>
                <w:color w:val="000000"/>
                <w:sz w:val="16"/>
                <w:szCs w:val="16"/>
              </w:rPr>
            </w:pPr>
            <w:r w:rsidRPr="004804DD">
              <w:rPr>
                <w:color w:val="000000"/>
                <w:sz w:val="16"/>
                <w:szCs w:val="16"/>
              </w:rPr>
              <w:t>215</w:t>
            </w:r>
          </w:p>
        </w:tc>
        <w:tc>
          <w:tcPr>
            <w:tcW w:w="993" w:type="dxa"/>
            <w:shd w:val="clear" w:color="000000" w:fill="FFFFFF"/>
            <w:noWrap/>
            <w:vAlign w:val="center"/>
            <w:hideMark/>
          </w:tcPr>
          <w:p w:rsidR="004804DD" w:rsidRPr="004804DD" w:rsidRDefault="004804DD" w:rsidP="004804DD">
            <w:pPr>
              <w:jc w:val="center"/>
              <w:rPr>
                <w:color w:val="000000"/>
                <w:sz w:val="16"/>
                <w:szCs w:val="16"/>
              </w:rPr>
            </w:pPr>
            <w:r w:rsidRPr="004804DD">
              <w:rPr>
                <w:color w:val="000000"/>
                <w:sz w:val="16"/>
                <w:szCs w:val="16"/>
              </w:rPr>
              <w:t>25 178 335</w:t>
            </w:r>
          </w:p>
        </w:tc>
        <w:tc>
          <w:tcPr>
            <w:tcW w:w="567" w:type="dxa"/>
            <w:shd w:val="clear" w:color="000000" w:fill="FFFFFF"/>
            <w:vAlign w:val="center"/>
            <w:hideMark/>
          </w:tcPr>
          <w:p w:rsidR="004804DD" w:rsidRPr="004804DD" w:rsidRDefault="004804DD" w:rsidP="004804DD">
            <w:pPr>
              <w:jc w:val="center"/>
              <w:rPr>
                <w:color w:val="000000"/>
                <w:sz w:val="16"/>
                <w:szCs w:val="16"/>
              </w:rPr>
            </w:pPr>
            <w:r w:rsidRPr="004804DD">
              <w:rPr>
                <w:color w:val="000000"/>
                <w:sz w:val="16"/>
                <w:szCs w:val="16"/>
              </w:rPr>
              <w:t>110</w:t>
            </w:r>
          </w:p>
        </w:tc>
        <w:tc>
          <w:tcPr>
            <w:tcW w:w="1381" w:type="dxa"/>
            <w:shd w:val="clear" w:color="000000" w:fill="FFFFFF"/>
            <w:noWrap/>
            <w:vAlign w:val="center"/>
            <w:hideMark/>
          </w:tcPr>
          <w:p w:rsidR="004804DD" w:rsidRPr="004804DD" w:rsidRDefault="004804DD" w:rsidP="004804DD">
            <w:pPr>
              <w:jc w:val="center"/>
              <w:rPr>
                <w:color w:val="000000"/>
                <w:sz w:val="16"/>
                <w:szCs w:val="16"/>
              </w:rPr>
            </w:pPr>
            <w:r w:rsidRPr="004804DD">
              <w:rPr>
                <w:color w:val="000000"/>
                <w:sz w:val="16"/>
                <w:szCs w:val="16"/>
              </w:rPr>
              <w:t>13 671 644</w:t>
            </w:r>
          </w:p>
        </w:tc>
      </w:tr>
      <w:tr w:rsidR="004804DD" w:rsidRPr="004804DD" w:rsidTr="00FF0C5B">
        <w:trPr>
          <w:trHeight w:val="300"/>
        </w:trPr>
        <w:tc>
          <w:tcPr>
            <w:tcW w:w="1151" w:type="dxa"/>
            <w:gridSpan w:val="2"/>
            <w:shd w:val="clear" w:color="000000" w:fill="BFBFBF"/>
            <w:noWrap/>
            <w:vAlign w:val="center"/>
            <w:hideMark/>
          </w:tcPr>
          <w:p w:rsidR="004804DD" w:rsidRPr="004804DD" w:rsidRDefault="004804DD" w:rsidP="004804DD">
            <w:pPr>
              <w:jc w:val="center"/>
              <w:rPr>
                <w:b/>
                <w:bCs/>
                <w:sz w:val="16"/>
                <w:szCs w:val="16"/>
              </w:rPr>
            </w:pPr>
            <w:r w:rsidRPr="004804DD">
              <w:rPr>
                <w:b/>
                <w:bCs/>
                <w:sz w:val="16"/>
                <w:szCs w:val="16"/>
              </w:rPr>
              <w:t>Celkem PO 2</w:t>
            </w:r>
          </w:p>
        </w:tc>
        <w:tc>
          <w:tcPr>
            <w:tcW w:w="1177" w:type="dxa"/>
            <w:shd w:val="clear" w:color="000000" w:fill="BFBFBF"/>
            <w:noWrap/>
            <w:vAlign w:val="center"/>
            <w:hideMark/>
          </w:tcPr>
          <w:p w:rsidR="004804DD" w:rsidRPr="004804DD" w:rsidRDefault="004804DD" w:rsidP="004804DD">
            <w:pPr>
              <w:jc w:val="center"/>
              <w:rPr>
                <w:b/>
                <w:bCs/>
                <w:sz w:val="16"/>
                <w:szCs w:val="16"/>
              </w:rPr>
            </w:pPr>
          </w:p>
        </w:tc>
        <w:tc>
          <w:tcPr>
            <w:tcW w:w="948" w:type="dxa"/>
            <w:shd w:val="clear" w:color="000000" w:fill="BFBFBF"/>
            <w:noWrap/>
            <w:vAlign w:val="center"/>
            <w:hideMark/>
          </w:tcPr>
          <w:p w:rsidR="004804DD" w:rsidRPr="004804DD" w:rsidRDefault="004804DD" w:rsidP="004804DD">
            <w:pPr>
              <w:jc w:val="center"/>
              <w:rPr>
                <w:b/>
                <w:bCs/>
                <w:sz w:val="16"/>
                <w:szCs w:val="16"/>
              </w:rPr>
            </w:pPr>
          </w:p>
        </w:tc>
        <w:tc>
          <w:tcPr>
            <w:tcW w:w="708" w:type="dxa"/>
            <w:shd w:val="clear" w:color="000000" w:fill="BFBFBF"/>
            <w:noWrap/>
            <w:vAlign w:val="center"/>
            <w:hideMark/>
          </w:tcPr>
          <w:p w:rsidR="004804DD" w:rsidRPr="004804DD" w:rsidRDefault="004804DD" w:rsidP="004804DD">
            <w:pPr>
              <w:jc w:val="center"/>
              <w:rPr>
                <w:b/>
                <w:bCs/>
                <w:sz w:val="16"/>
                <w:szCs w:val="16"/>
              </w:rPr>
            </w:pPr>
          </w:p>
        </w:tc>
        <w:tc>
          <w:tcPr>
            <w:tcW w:w="851" w:type="dxa"/>
            <w:shd w:val="clear" w:color="000000" w:fill="BFBFBF"/>
            <w:noWrap/>
            <w:vAlign w:val="center"/>
            <w:hideMark/>
          </w:tcPr>
          <w:p w:rsidR="004804DD" w:rsidRPr="004804DD" w:rsidRDefault="004804DD" w:rsidP="004804DD">
            <w:pPr>
              <w:jc w:val="center"/>
              <w:rPr>
                <w:b/>
                <w:bCs/>
                <w:sz w:val="16"/>
                <w:szCs w:val="16"/>
              </w:rPr>
            </w:pPr>
          </w:p>
        </w:tc>
        <w:tc>
          <w:tcPr>
            <w:tcW w:w="992" w:type="dxa"/>
            <w:shd w:val="clear" w:color="000000" w:fill="BFBFBF"/>
            <w:noWrap/>
            <w:vAlign w:val="center"/>
            <w:hideMark/>
          </w:tcPr>
          <w:p w:rsidR="004804DD" w:rsidRPr="004804DD" w:rsidRDefault="004804DD" w:rsidP="004804DD">
            <w:pPr>
              <w:jc w:val="center"/>
              <w:rPr>
                <w:b/>
                <w:bCs/>
                <w:sz w:val="16"/>
                <w:szCs w:val="16"/>
              </w:rPr>
            </w:pPr>
            <w:r w:rsidRPr="004804DD">
              <w:rPr>
                <w:b/>
                <w:bCs/>
                <w:sz w:val="16"/>
                <w:szCs w:val="16"/>
              </w:rPr>
              <w:t>25 137 046</w:t>
            </w:r>
          </w:p>
        </w:tc>
        <w:tc>
          <w:tcPr>
            <w:tcW w:w="425" w:type="dxa"/>
            <w:shd w:val="clear" w:color="000000" w:fill="BFBFBF"/>
            <w:noWrap/>
            <w:vAlign w:val="center"/>
            <w:hideMark/>
          </w:tcPr>
          <w:p w:rsidR="004804DD" w:rsidRPr="004804DD" w:rsidRDefault="004804DD" w:rsidP="004804DD">
            <w:pPr>
              <w:jc w:val="center"/>
              <w:rPr>
                <w:b/>
                <w:bCs/>
                <w:sz w:val="16"/>
                <w:szCs w:val="16"/>
              </w:rPr>
            </w:pPr>
            <w:r w:rsidRPr="004804DD">
              <w:rPr>
                <w:b/>
                <w:bCs/>
                <w:sz w:val="16"/>
                <w:szCs w:val="16"/>
              </w:rPr>
              <w:t>215</w:t>
            </w:r>
          </w:p>
        </w:tc>
        <w:tc>
          <w:tcPr>
            <w:tcW w:w="993" w:type="dxa"/>
            <w:shd w:val="clear" w:color="000000" w:fill="BFBFBF"/>
            <w:noWrap/>
            <w:vAlign w:val="center"/>
            <w:hideMark/>
          </w:tcPr>
          <w:p w:rsidR="004804DD" w:rsidRPr="004804DD" w:rsidRDefault="004804DD" w:rsidP="004804DD">
            <w:pPr>
              <w:jc w:val="center"/>
              <w:rPr>
                <w:b/>
                <w:bCs/>
                <w:sz w:val="16"/>
                <w:szCs w:val="16"/>
              </w:rPr>
            </w:pPr>
            <w:r w:rsidRPr="004804DD">
              <w:rPr>
                <w:b/>
                <w:bCs/>
                <w:sz w:val="16"/>
                <w:szCs w:val="16"/>
              </w:rPr>
              <w:t>25 178 335</w:t>
            </w:r>
          </w:p>
        </w:tc>
        <w:tc>
          <w:tcPr>
            <w:tcW w:w="567" w:type="dxa"/>
            <w:shd w:val="clear" w:color="000000" w:fill="BFBFBF"/>
            <w:noWrap/>
            <w:vAlign w:val="center"/>
            <w:hideMark/>
          </w:tcPr>
          <w:p w:rsidR="004804DD" w:rsidRPr="004804DD" w:rsidRDefault="004804DD" w:rsidP="004804DD">
            <w:pPr>
              <w:jc w:val="center"/>
              <w:rPr>
                <w:b/>
                <w:bCs/>
                <w:sz w:val="16"/>
                <w:szCs w:val="16"/>
              </w:rPr>
            </w:pPr>
            <w:r w:rsidRPr="004804DD">
              <w:rPr>
                <w:b/>
                <w:bCs/>
                <w:sz w:val="16"/>
                <w:szCs w:val="16"/>
              </w:rPr>
              <w:t>110</w:t>
            </w:r>
          </w:p>
        </w:tc>
        <w:tc>
          <w:tcPr>
            <w:tcW w:w="1381" w:type="dxa"/>
            <w:shd w:val="clear" w:color="000000" w:fill="BFBFBF"/>
            <w:noWrap/>
            <w:vAlign w:val="center"/>
            <w:hideMark/>
          </w:tcPr>
          <w:p w:rsidR="004804DD" w:rsidRPr="004804DD" w:rsidRDefault="004804DD" w:rsidP="004804DD">
            <w:pPr>
              <w:jc w:val="center"/>
              <w:rPr>
                <w:b/>
                <w:bCs/>
                <w:sz w:val="16"/>
                <w:szCs w:val="16"/>
              </w:rPr>
            </w:pPr>
            <w:r w:rsidRPr="004804DD">
              <w:rPr>
                <w:b/>
                <w:bCs/>
                <w:sz w:val="16"/>
                <w:szCs w:val="16"/>
              </w:rPr>
              <w:t>13 671 644</w:t>
            </w:r>
          </w:p>
        </w:tc>
      </w:tr>
    </w:tbl>
    <w:p w:rsidR="00A75862" w:rsidRPr="00F95A39" w:rsidRDefault="00A75862" w:rsidP="00FC6215">
      <w:pPr>
        <w:spacing w:before="60"/>
        <w:rPr>
          <w:i/>
          <w:sz w:val="18"/>
          <w:szCs w:val="18"/>
        </w:rPr>
      </w:pPr>
      <w:r w:rsidRPr="00F95A39">
        <w:rPr>
          <w:i/>
          <w:sz w:val="18"/>
          <w:szCs w:val="18"/>
        </w:rPr>
        <w:t xml:space="preserve">Zdroj: MSC2007 ke dni </w:t>
      </w:r>
      <w:r w:rsidR="00FF0C5B">
        <w:rPr>
          <w:i/>
          <w:sz w:val="18"/>
          <w:szCs w:val="18"/>
        </w:rPr>
        <w:t>31</w:t>
      </w:r>
      <w:r w:rsidR="00FF0C5B" w:rsidRPr="00F95A39">
        <w:rPr>
          <w:i/>
          <w:sz w:val="18"/>
          <w:szCs w:val="18"/>
        </w:rPr>
        <w:t>.</w:t>
      </w:r>
      <w:r w:rsidR="00FF0C5B">
        <w:rPr>
          <w:i/>
          <w:sz w:val="18"/>
          <w:szCs w:val="18"/>
        </w:rPr>
        <w:t xml:space="preserve"> 12. 2014</w:t>
      </w:r>
    </w:p>
    <w:p w:rsidR="00D82438" w:rsidRDefault="00A75862" w:rsidP="005F4733">
      <w:pPr>
        <w:rPr>
          <w:sz w:val="22"/>
          <w:szCs w:val="22"/>
          <w:u w:val="single"/>
        </w:rPr>
      </w:pPr>
      <w:r w:rsidRPr="00F95A39">
        <w:rPr>
          <w:i/>
          <w:sz w:val="18"/>
          <w:szCs w:val="18"/>
        </w:rPr>
        <w:t xml:space="preserve">Kurz CZK/EUR: </w:t>
      </w:r>
      <w:r>
        <w:rPr>
          <w:i/>
          <w:sz w:val="18"/>
          <w:szCs w:val="18"/>
        </w:rPr>
        <w:t>27,</w:t>
      </w:r>
      <w:r w:rsidR="004804DD">
        <w:rPr>
          <w:i/>
          <w:sz w:val="18"/>
          <w:szCs w:val="18"/>
        </w:rPr>
        <w:t>728</w:t>
      </w:r>
    </w:p>
    <w:p w:rsidR="002B586D" w:rsidRDefault="002B586D" w:rsidP="00C865D3">
      <w:pPr>
        <w:spacing w:after="120" w:line="276" w:lineRule="auto"/>
        <w:jc w:val="both"/>
        <w:rPr>
          <w:color w:val="0070C0"/>
          <w:sz w:val="22"/>
          <w:szCs w:val="22"/>
        </w:rPr>
      </w:pPr>
      <w:r w:rsidRPr="00F95A39">
        <w:rPr>
          <w:i/>
          <w:sz w:val="18"/>
          <w:szCs w:val="18"/>
        </w:rPr>
        <w:t xml:space="preserve">Zdroj financování: </w:t>
      </w:r>
      <w:r w:rsidR="004804DD">
        <w:rPr>
          <w:i/>
          <w:sz w:val="18"/>
          <w:szCs w:val="18"/>
        </w:rPr>
        <w:t>podíl EU</w:t>
      </w:r>
    </w:p>
    <w:p w:rsidR="00C865D3" w:rsidRPr="00C865D3" w:rsidRDefault="00C865D3" w:rsidP="00C865D3">
      <w:pPr>
        <w:spacing w:after="120" w:line="276" w:lineRule="auto"/>
        <w:jc w:val="both"/>
        <w:rPr>
          <w:color w:val="0070C0"/>
          <w:sz w:val="22"/>
          <w:szCs w:val="22"/>
        </w:rPr>
        <w:sectPr w:rsidR="00C865D3" w:rsidRPr="00C865D3" w:rsidSect="003F08D8">
          <w:pgSz w:w="11906" w:h="16838"/>
          <w:pgMar w:top="1417" w:right="1417" w:bottom="1417" w:left="1417" w:header="708" w:footer="708" w:gutter="0"/>
          <w:cols w:space="708"/>
          <w:docGrid w:linePitch="272"/>
        </w:sectPr>
      </w:pPr>
    </w:p>
    <w:p w:rsidR="00A75862" w:rsidRPr="00D139E4" w:rsidRDefault="00A75862" w:rsidP="00D139E4">
      <w:pPr>
        <w:rPr>
          <w:color w:val="000080"/>
          <w:sz w:val="22"/>
          <w:szCs w:val="22"/>
        </w:rPr>
      </w:pPr>
      <w:r w:rsidRPr="00D139E4">
        <w:rPr>
          <w:sz w:val="22"/>
          <w:szCs w:val="22"/>
          <w:u w:val="single"/>
        </w:rPr>
        <w:lastRenderedPageBreak/>
        <w:t>Indikátory</w:t>
      </w:r>
    </w:p>
    <w:p w:rsidR="00F75719" w:rsidRDefault="00240CC3" w:rsidP="00C865D3">
      <w:pPr>
        <w:jc w:val="both"/>
        <w:rPr>
          <w:sz w:val="22"/>
          <w:szCs w:val="22"/>
        </w:rPr>
      </w:pPr>
      <w:r w:rsidRPr="00D139E4">
        <w:rPr>
          <w:sz w:val="22"/>
          <w:szCs w:val="22"/>
        </w:rPr>
        <w:t xml:space="preserve">Ve většině projektů jsou stanovena data naplnění monitorovacích indikátorů na konec projektu, vzhledem k posunu </w:t>
      </w:r>
      <w:r w:rsidR="00D43F7F">
        <w:rPr>
          <w:sz w:val="22"/>
          <w:szCs w:val="22"/>
        </w:rPr>
        <w:t>termínů</w:t>
      </w:r>
      <w:r w:rsidRPr="00D139E4">
        <w:rPr>
          <w:sz w:val="22"/>
          <w:szCs w:val="22"/>
        </w:rPr>
        <w:t xml:space="preserve"> dokončení projektů dochází k posunu data naplnění monitorovacího indikátoru. Tedy k posunu plnění monitorovacích indikátorů přispívají jen dokončené projekty. V roce 2014 byla vyhlášena výzva 22. Projekty v této výzvě výrazně přispějí k plnění </w:t>
      </w:r>
      <w:r>
        <w:rPr>
          <w:sz w:val="22"/>
          <w:szCs w:val="22"/>
        </w:rPr>
        <w:t>i</w:t>
      </w:r>
      <w:r w:rsidRPr="00D139E4">
        <w:rPr>
          <w:sz w:val="22"/>
          <w:szCs w:val="22"/>
        </w:rPr>
        <w:t>ndikátoru  150114 - Počet nové plně elektronizované agendy místní veřejné správy.</w:t>
      </w:r>
    </w:p>
    <w:p w:rsidR="00C865D3" w:rsidRPr="00C865D3" w:rsidRDefault="00C865D3" w:rsidP="00C865D3">
      <w:pPr>
        <w:jc w:val="both"/>
        <w:rPr>
          <w:sz w:val="22"/>
          <w:szCs w:val="22"/>
        </w:rPr>
      </w:pPr>
    </w:p>
    <w:p w:rsidR="00D82438" w:rsidRPr="00F75719" w:rsidRDefault="00D82438" w:rsidP="00E6269C">
      <w:pPr>
        <w:pStyle w:val="Tabulkanzev"/>
      </w:pPr>
      <w:bookmarkStart w:id="166" w:name="_Toc416431828"/>
      <w:r w:rsidRPr="00F75719">
        <w:t>Indikátory výstupu</w:t>
      </w:r>
      <w:r w:rsidR="0061390C">
        <w:t xml:space="preserve"> v PO 2</w:t>
      </w:r>
      <w:bookmarkEnd w:id="166"/>
    </w:p>
    <w:tbl>
      <w:tblPr>
        <w:tblW w:w="13880" w:type="dxa"/>
        <w:tblInd w:w="65" w:type="dxa"/>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60"/>
        <w:gridCol w:w="3023"/>
        <w:gridCol w:w="896"/>
        <w:gridCol w:w="880"/>
        <w:gridCol w:w="960"/>
        <w:gridCol w:w="680"/>
        <w:gridCol w:w="680"/>
        <w:gridCol w:w="680"/>
        <w:gridCol w:w="680"/>
        <w:gridCol w:w="680"/>
        <w:gridCol w:w="680"/>
        <w:gridCol w:w="680"/>
        <w:gridCol w:w="680"/>
        <w:gridCol w:w="841"/>
        <w:gridCol w:w="880"/>
      </w:tblGrid>
      <w:tr w:rsidR="00F75719" w:rsidRPr="00F75719" w:rsidTr="00F75719">
        <w:trPr>
          <w:trHeight w:val="765"/>
        </w:trPr>
        <w:tc>
          <w:tcPr>
            <w:tcW w:w="96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Kód NČI</w:t>
            </w:r>
          </w:p>
        </w:tc>
        <w:tc>
          <w:tcPr>
            <w:tcW w:w="3154" w:type="dxa"/>
            <w:shd w:val="clear" w:color="000000" w:fill="C4D79B"/>
            <w:vAlign w:val="center"/>
            <w:hideMark/>
          </w:tcPr>
          <w:p w:rsidR="00F75719" w:rsidRPr="00F75719" w:rsidRDefault="00F75719" w:rsidP="00F75719">
            <w:pPr>
              <w:jc w:val="center"/>
              <w:rPr>
                <w:b/>
                <w:bCs/>
                <w:color w:val="000000"/>
              </w:rPr>
            </w:pPr>
            <w:r w:rsidRPr="00F75719">
              <w:rPr>
                <w:b/>
                <w:bCs/>
                <w:color w:val="000000"/>
              </w:rPr>
              <w:t>Název indikátoru</w:t>
            </w:r>
          </w:p>
        </w:tc>
        <w:tc>
          <w:tcPr>
            <w:tcW w:w="766" w:type="dxa"/>
            <w:shd w:val="clear" w:color="000000" w:fill="C4D79B"/>
            <w:vAlign w:val="center"/>
            <w:hideMark/>
          </w:tcPr>
          <w:p w:rsidR="00F75719" w:rsidRPr="00F75719" w:rsidRDefault="00F75719" w:rsidP="00F75719">
            <w:pPr>
              <w:jc w:val="center"/>
              <w:rPr>
                <w:b/>
                <w:bCs/>
                <w:color w:val="000000"/>
              </w:rPr>
            </w:pPr>
            <w:r w:rsidRPr="00F75719">
              <w:rPr>
                <w:b/>
                <w:bCs/>
                <w:color w:val="000000"/>
              </w:rPr>
              <w:t>Měrná jednotka</w:t>
            </w:r>
          </w:p>
        </w:tc>
        <w:tc>
          <w:tcPr>
            <w:tcW w:w="8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 xml:space="preserve">Zdroj </w:t>
            </w:r>
          </w:p>
        </w:tc>
        <w:tc>
          <w:tcPr>
            <w:tcW w:w="96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 xml:space="preserve">Hodnota </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2007</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2008</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2009</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2010</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2011</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2012</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2013</w:t>
            </w:r>
          </w:p>
        </w:tc>
        <w:tc>
          <w:tcPr>
            <w:tcW w:w="6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2014</w:t>
            </w:r>
          </w:p>
        </w:tc>
        <w:tc>
          <w:tcPr>
            <w:tcW w:w="840" w:type="dxa"/>
            <w:shd w:val="clear" w:color="000000" w:fill="C4D79B"/>
            <w:vAlign w:val="center"/>
            <w:hideMark/>
          </w:tcPr>
          <w:p w:rsidR="00F75719" w:rsidRPr="00F75719" w:rsidRDefault="00F75719" w:rsidP="00F75719">
            <w:pPr>
              <w:jc w:val="center"/>
              <w:rPr>
                <w:b/>
                <w:bCs/>
                <w:color w:val="000000"/>
              </w:rPr>
            </w:pPr>
            <w:r w:rsidRPr="00F75719">
              <w:rPr>
                <w:b/>
                <w:bCs/>
                <w:color w:val="000000"/>
              </w:rPr>
              <w:t>Cílová hodnota 2015</w:t>
            </w:r>
          </w:p>
        </w:tc>
        <w:tc>
          <w:tcPr>
            <w:tcW w:w="880" w:type="dxa"/>
            <w:shd w:val="clear" w:color="000000" w:fill="C4D79B"/>
            <w:noWrap/>
            <w:vAlign w:val="center"/>
            <w:hideMark/>
          </w:tcPr>
          <w:p w:rsidR="00F75719" w:rsidRPr="00F75719" w:rsidRDefault="00F75719" w:rsidP="00F75719">
            <w:pPr>
              <w:jc w:val="center"/>
              <w:rPr>
                <w:b/>
                <w:bCs/>
                <w:color w:val="000000"/>
              </w:rPr>
            </w:pPr>
            <w:r w:rsidRPr="00F75719">
              <w:rPr>
                <w:b/>
                <w:bCs/>
                <w:color w:val="000000"/>
              </w:rPr>
              <w:t xml:space="preserve">Celkem </w:t>
            </w:r>
          </w:p>
        </w:tc>
      </w:tr>
      <w:tr w:rsidR="00F75719" w:rsidRPr="00F75719" w:rsidTr="00F75719">
        <w:trPr>
          <w:trHeight w:val="300"/>
        </w:trPr>
        <w:tc>
          <w:tcPr>
            <w:tcW w:w="96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150105</w:t>
            </w:r>
          </w:p>
        </w:tc>
        <w:tc>
          <w:tcPr>
            <w:tcW w:w="3154" w:type="dxa"/>
            <w:vMerge w:val="restart"/>
            <w:shd w:val="clear" w:color="000000" w:fill="FFFFFF"/>
            <w:vAlign w:val="center"/>
            <w:hideMark/>
          </w:tcPr>
          <w:p w:rsidR="00F75719" w:rsidRPr="00F75719" w:rsidRDefault="00F75719" w:rsidP="00F75719">
            <w:pPr>
              <w:rPr>
                <w:color w:val="000000"/>
                <w:sz w:val="18"/>
                <w:szCs w:val="18"/>
              </w:rPr>
            </w:pPr>
            <w:r w:rsidRPr="00F75719">
              <w:rPr>
                <w:color w:val="000000"/>
                <w:sz w:val="18"/>
                <w:szCs w:val="18"/>
              </w:rPr>
              <w:t xml:space="preserve">Počet kontaktních míst veřejné správy (Czech Point) </w:t>
            </w:r>
          </w:p>
        </w:tc>
        <w:tc>
          <w:tcPr>
            <w:tcW w:w="766"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Počet</w:t>
            </w:r>
          </w:p>
        </w:tc>
        <w:tc>
          <w:tcPr>
            <w:tcW w:w="880" w:type="dxa"/>
            <w:vMerge w:val="restart"/>
            <w:shd w:val="clear" w:color="auto" w:fill="auto"/>
            <w:vAlign w:val="center"/>
            <w:hideMark/>
          </w:tcPr>
          <w:p w:rsidR="00F75719" w:rsidRPr="00F75719" w:rsidRDefault="00F75719" w:rsidP="00F75719">
            <w:pPr>
              <w:rPr>
                <w:color w:val="000000"/>
                <w:sz w:val="18"/>
                <w:szCs w:val="18"/>
              </w:rPr>
            </w:pPr>
            <w:r w:rsidRPr="00F75719">
              <w:rPr>
                <w:color w:val="000000"/>
                <w:sz w:val="18"/>
                <w:szCs w:val="18"/>
              </w:rPr>
              <w:t>ŘO IOP</w:t>
            </w: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Dosažená</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1300</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1300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4470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6557</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6557</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6557</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6559</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6559</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6559</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Výchozí</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1300</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1300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1300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4470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6557</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6557</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6557</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6559</w:t>
            </w:r>
          </w:p>
        </w:tc>
        <w:tc>
          <w:tcPr>
            <w:tcW w:w="84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 xml:space="preserve">N/A </w:t>
            </w:r>
          </w:p>
        </w:tc>
        <w:tc>
          <w:tcPr>
            <w:tcW w:w="8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1300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Plánovaná</w:t>
            </w:r>
          </w:p>
        </w:tc>
        <w:tc>
          <w:tcPr>
            <w:tcW w:w="5440" w:type="dxa"/>
            <w:gridSpan w:val="8"/>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N/A</w:t>
            </w:r>
          </w:p>
        </w:tc>
        <w:tc>
          <w:tcPr>
            <w:tcW w:w="84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6 244</w:t>
            </w:r>
          </w:p>
        </w:tc>
        <w:tc>
          <w:tcPr>
            <w:tcW w:w="88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6 244</w:t>
            </w:r>
          </w:p>
        </w:tc>
      </w:tr>
      <w:tr w:rsidR="00F75719" w:rsidRPr="00F75719" w:rsidTr="00F75719">
        <w:trPr>
          <w:trHeight w:val="300"/>
        </w:trPr>
        <w:tc>
          <w:tcPr>
            <w:tcW w:w="96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150117</w:t>
            </w:r>
          </w:p>
        </w:tc>
        <w:tc>
          <w:tcPr>
            <w:tcW w:w="3154" w:type="dxa"/>
            <w:vMerge w:val="restart"/>
            <w:shd w:val="clear" w:color="000000" w:fill="FFFFFF"/>
            <w:vAlign w:val="center"/>
            <w:hideMark/>
          </w:tcPr>
          <w:p w:rsidR="00F75719" w:rsidRPr="00F75719" w:rsidRDefault="00F75719" w:rsidP="00F75719">
            <w:pPr>
              <w:rPr>
                <w:color w:val="000000"/>
                <w:sz w:val="18"/>
                <w:szCs w:val="18"/>
              </w:rPr>
            </w:pPr>
            <w:r w:rsidRPr="00F75719">
              <w:rPr>
                <w:color w:val="000000"/>
                <w:sz w:val="18"/>
                <w:szCs w:val="18"/>
              </w:rPr>
              <w:t>Podíl registrů místní veřejné správy napojených na centrální registry</w:t>
            </w:r>
          </w:p>
        </w:tc>
        <w:tc>
          <w:tcPr>
            <w:tcW w:w="766"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w:t>
            </w:r>
          </w:p>
        </w:tc>
        <w:tc>
          <w:tcPr>
            <w:tcW w:w="88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ŘO IOP</w:t>
            </w: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Dosažená</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170450" w:rsidP="00F75719">
            <w:pPr>
              <w:jc w:val="right"/>
              <w:rPr>
                <w:color w:val="000000"/>
                <w:sz w:val="18"/>
                <w:szCs w:val="18"/>
              </w:rPr>
            </w:pPr>
            <w:r>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100</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100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Výchozí</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170450" w:rsidP="00F75719">
            <w:pPr>
              <w:jc w:val="right"/>
              <w:rPr>
                <w:color w:val="000000"/>
                <w:sz w:val="18"/>
                <w:szCs w:val="18"/>
              </w:rPr>
            </w:pPr>
            <w:r>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170450" w:rsidP="00F75719">
            <w:pPr>
              <w:jc w:val="right"/>
              <w:rPr>
                <w:color w:val="000000"/>
                <w:sz w:val="18"/>
                <w:szCs w:val="18"/>
              </w:rPr>
            </w:pPr>
            <w:r>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4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Plánovaná</w:t>
            </w:r>
          </w:p>
        </w:tc>
        <w:tc>
          <w:tcPr>
            <w:tcW w:w="5440" w:type="dxa"/>
            <w:gridSpan w:val="8"/>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N/A</w:t>
            </w:r>
          </w:p>
        </w:tc>
        <w:tc>
          <w:tcPr>
            <w:tcW w:w="84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75</w:t>
            </w:r>
          </w:p>
        </w:tc>
        <w:tc>
          <w:tcPr>
            <w:tcW w:w="88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75</w:t>
            </w:r>
          </w:p>
        </w:tc>
      </w:tr>
      <w:tr w:rsidR="00F75719" w:rsidRPr="00F75719" w:rsidTr="00F75719">
        <w:trPr>
          <w:trHeight w:val="300"/>
        </w:trPr>
        <w:tc>
          <w:tcPr>
            <w:tcW w:w="96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150115</w:t>
            </w:r>
          </w:p>
        </w:tc>
        <w:tc>
          <w:tcPr>
            <w:tcW w:w="3154" w:type="dxa"/>
            <w:vMerge w:val="restart"/>
            <w:shd w:val="clear" w:color="000000" w:fill="FFFFFF"/>
            <w:vAlign w:val="center"/>
            <w:hideMark/>
          </w:tcPr>
          <w:p w:rsidR="00F75719" w:rsidRPr="00F75719" w:rsidRDefault="00F75719" w:rsidP="00F75719">
            <w:pPr>
              <w:rPr>
                <w:color w:val="000000"/>
                <w:sz w:val="18"/>
                <w:szCs w:val="18"/>
              </w:rPr>
            </w:pPr>
            <w:r w:rsidRPr="00F75719">
              <w:rPr>
                <w:color w:val="000000"/>
                <w:sz w:val="18"/>
                <w:szCs w:val="18"/>
              </w:rPr>
              <w:t xml:space="preserve">Podíl lokálních sítí zapojených do KIVS </w:t>
            </w:r>
          </w:p>
        </w:tc>
        <w:tc>
          <w:tcPr>
            <w:tcW w:w="766"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w:t>
            </w:r>
          </w:p>
        </w:tc>
        <w:tc>
          <w:tcPr>
            <w:tcW w:w="88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ŘO IOP</w:t>
            </w: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Dosažená</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17,5</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27,5</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56,24</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56,24</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Výchozí</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17,5</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27,5</w:t>
            </w:r>
          </w:p>
        </w:tc>
        <w:tc>
          <w:tcPr>
            <w:tcW w:w="84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10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Plánovaná</w:t>
            </w:r>
          </w:p>
        </w:tc>
        <w:tc>
          <w:tcPr>
            <w:tcW w:w="4760" w:type="dxa"/>
            <w:gridSpan w:val="7"/>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N/A</w:t>
            </w:r>
          </w:p>
        </w:tc>
        <w:tc>
          <w:tcPr>
            <w:tcW w:w="680" w:type="dxa"/>
            <w:shd w:val="clear" w:color="auto" w:fill="auto"/>
            <w:noWrap/>
            <w:vAlign w:val="bottom"/>
            <w:hideMark/>
          </w:tcPr>
          <w:p w:rsidR="00F75719" w:rsidRPr="00F75719" w:rsidRDefault="00F75719" w:rsidP="00F75719">
            <w:pPr>
              <w:jc w:val="right"/>
              <w:rPr>
                <w:rFonts w:ascii="Calibri" w:hAnsi="Calibri"/>
                <w:color w:val="000000"/>
                <w:sz w:val="22"/>
                <w:szCs w:val="22"/>
              </w:rPr>
            </w:pPr>
            <w:r w:rsidRPr="00F75719">
              <w:rPr>
                <w:rFonts w:ascii="Calibri" w:hAnsi="Calibri"/>
                <w:color w:val="000000"/>
                <w:sz w:val="22"/>
                <w:szCs w:val="22"/>
              </w:rPr>
              <w:t> </w:t>
            </w:r>
          </w:p>
        </w:tc>
        <w:tc>
          <w:tcPr>
            <w:tcW w:w="84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85</w:t>
            </w:r>
          </w:p>
        </w:tc>
        <w:tc>
          <w:tcPr>
            <w:tcW w:w="88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85</w:t>
            </w:r>
          </w:p>
        </w:tc>
      </w:tr>
      <w:tr w:rsidR="00F75719" w:rsidRPr="00F75719" w:rsidTr="00F75719">
        <w:trPr>
          <w:trHeight w:val="300"/>
        </w:trPr>
        <w:tc>
          <w:tcPr>
            <w:tcW w:w="96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150116</w:t>
            </w:r>
          </w:p>
        </w:tc>
        <w:tc>
          <w:tcPr>
            <w:tcW w:w="3154" w:type="dxa"/>
            <w:vMerge w:val="restart"/>
            <w:shd w:val="clear" w:color="000000" w:fill="FFFFFF"/>
            <w:vAlign w:val="center"/>
            <w:hideMark/>
          </w:tcPr>
          <w:p w:rsidR="00F75719" w:rsidRPr="00F75719" w:rsidRDefault="00F75719" w:rsidP="00F75719">
            <w:pPr>
              <w:rPr>
                <w:color w:val="000000"/>
                <w:sz w:val="18"/>
                <w:szCs w:val="18"/>
              </w:rPr>
            </w:pPr>
            <w:r w:rsidRPr="00F75719">
              <w:rPr>
                <w:color w:val="000000"/>
                <w:sz w:val="18"/>
                <w:szCs w:val="18"/>
              </w:rPr>
              <w:t>Podíl regionálních portálů integrovaných s Portálem veřejné správy</w:t>
            </w:r>
          </w:p>
        </w:tc>
        <w:tc>
          <w:tcPr>
            <w:tcW w:w="766"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w:t>
            </w:r>
          </w:p>
        </w:tc>
        <w:tc>
          <w:tcPr>
            <w:tcW w:w="88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ŘO IOP</w:t>
            </w: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Dosažená</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170450" w:rsidP="00F75719">
            <w:pPr>
              <w:jc w:val="right"/>
              <w:rPr>
                <w:color w:val="000000"/>
                <w:sz w:val="18"/>
                <w:szCs w:val="18"/>
              </w:rPr>
            </w:pPr>
            <w:r>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170450" w:rsidP="00F75719">
            <w:pPr>
              <w:jc w:val="right"/>
              <w:rPr>
                <w:color w:val="000000"/>
                <w:sz w:val="18"/>
                <w:szCs w:val="18"/>
              </w:rPr>
            </w:pPr>
            <w:r>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11,1</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60,6</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60,6</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Výchozí</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170450" w:rsidP="00F75719">
            <w:pPr>
              <w:jc w:val="right"/>
              <w:rPr>
                <w:color w:val="000000"/>
                <w:sz w:val="18"/>
                <w:szCs w:val="18"/>
              </w:rPr>
            </w:pPr>
            <w:r>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170450" w:rsidP="00F75719">
            <w:pPr>
              <w:jc w:val="right"/>
              <w:rPr>
                <w:color w:val="000000"/>
                <w:sz w:val="18"/>
                <w:szCs w:val="18"/>
              </w:rPr>
            </w:pPr>
            <w:r>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11,1</w:t>
            </w:r>
          </w:p>
        </w:tc>
        <w:tc>
          <w:tcPr>
            <w:tcW w:w="84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Plánovaná</w:t>
            </w:r>
          </w:p>
        </w:tc>
        <w:tc>
          <w:tcPr>
            <w:tcW w:w="5440" w:type="dxa"/>
            <w:gridSpan w:val="8"/>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N/A</w:t>
            </w:r>
          </w:p>
        </w:tc>
        <w:tc>
          <w:tcPr>
            <w:tcW w:w="84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75</w:t>
            </w:r>
          </w:p>
        </w:tc>
        <w:tc>
          <w:tcPr>
            <w:tcW w:w="88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75</w:t>
            </w:r>
          </w:p>
        </w:tc>
      </w:tr>
      <w:tr w:rsidR="00F75719" w:rsidRPr="00F75719" w:rsidTr="00F75719">
        <w:trPr>
          <w:trHeight w:val="300"/>
        </w:trPr>
        <w:tc>
          <w:tcPr>
            <w:tcW w:w="96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150114</w:t>
            </w:r>
          </w:p>
        </w:tc>
        <w:tc>
          <w:tcPr>
            <w:tcW w:w="3154" w:type="dxa"/>
            <w:vMerge w:val="restart"/>
            <w:shd w:val="clear" w:color="000000" w:fill="FFFFFF"/>
            <w:vAlign w:val="center"/>
            <w:hideMark/>
          </w:tcPr>
          <w:p w:rsidR="00F75719" w:rsidRPr="00F75719" w:rsidRDefault="00F75719" w:rsidP="00F75719">
            <w:pPr>
              <w:rPr>
                <w:color w:val="000000"/>
                <w:sz w:val="18"/>
                <w:szCs w:val="18"/>
              </w:rPr>
            </w:pPr>
            <w:r w:rsidRPr="00F75719">
              <w:rPr>
                <w:color w:val="000000"/>
                <w:sz w:val="18"/>
                <w:szCs w:val="18"/>
              </w:rPr>
              <w:t>Počet nové plně elektronizované agendy místní veřejné správy</w:t>
            </w:r>
          </w:p>
        </w:tc>
        <w:tc>
          <w:tcPr>
            <w:tcW w:w="766"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Počet</w:t>
            </w:r>
          </w:p>
        </w:tc>
        <w:tc>
          <w:tcPr>
            <w:tcW w:w="88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ŘO IOP</w:t>
            </w: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Dosažená</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AE6F72" w:rsidP="00F75719">
            <w:pPr>
              <w:jc w:val="right"/>
              <w:rPr>
                <w:color w:val="000000"/>
                <w:sz w:val="18"/>
                <w:szCs w:val="18"/>
              </w:rPr>
            </w:pPr>
            <w:r>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17</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53</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73</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73</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Výchozí</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AE6F72" w:rsidP="00F75719">
            <w:pPr>
              <w:jc w:val="right"/>
              <w:rPr>
                <w:color w:val="000000"/>
                <w:sz w:val="18"/>
                <w:szCs w:val="18"/>
              </w:rPr>
            </w:pPr>
            <w:r>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17</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53</w:t>
            </w:r>
          </w:p>
        </w:tc>
        <w:tc>
          <w:tcPr>
            <w:tcW w:w="84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Plánovaná</w:t>
            </w:r>
          </w:p>
        </w:tc>
        <w:tc>
          <w:tcPr>
            <w:tcW w:w="5440" w:type="dxa"/>
            <w:gridSpan w:val="8"/>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N/A</w:t>
            </w:r>
          </w:p>
        </w:tc>
        <w:tc>
          <w:tcPr>
            <w:tcW w:w="84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126</w:t>
            </w:r>
          </w:p>
        </w:tc>
        <w:tc>
          <w:tcPr>
            <w:tcW w:w="88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126</w:t>
            </w:r>
          </w:p>
        </w:tc>
      </w:tr>
      <w:tr w:rsidR="00F75719" w:rsidRPr="00F75719" w:rsidTr="00F75719">
        <w:trPr>
          <w:trHeight w:val="300"/>
        </w:trPr>
        <w:tc>
          <w:tcPr>
            <w:tcW w:w="96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150112</w:t>
            </w:r>
          </w:p>
        </w:tc>
        <w:tc>
          <w:tcPr>
            <w:tcW w:w="3154" w:type="dxa"/>
            <w:vMerge w:val="restart"/>
            <w:shd w:val="clear" w:color="000000" w:fill="FFFFFF"/>
            <w:vAlign w:val="center"/>
            <w:hideMark/>
          </w:tcPr>
          <w:p w:rsidR="00F75719" w:rsidRPr="00F75719" w:rsidRDefault="00F75719" w:rsidP="00F75719">
            <w:pPr>
              <w:rPr>
                <w:color w:val="000000"/>
                <w:sz w:val="18"/>
                <w:szCs w:val="18"/>
              </w:rPr>
            </w:pPr>
            <w:r w:rsidRPr="00F75719">
              <w:rPr>
                <w:color w:val="000000"/>
                <w:sz w:val="18"/>
                <w:szCs w:val="18"/>
              </w:rPr>
              <w:t>Podíl digitalizovaných dokumentů</w:t>
            </w:r>
          </w:p>
        </w:tc>
        <w:tc>
          <w:tcPr>
            <w:tcW w:w="766"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w:t>
            </w:r>
          </w:p>
        </w:tc>
        <w:tc>
          <w:tcPr>
            <w:tcW w:w="88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ŘO IOP</w:t>
            </w: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Dosažená</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AB0C0A" w:rsidP="00F75719">
            <w:pPr>
              <w:jc w:val="right"/>
              <w:rPr>
                <w:color w:val="000000"/>
                <w:sz w:val="18"/>
                <w:szCs w:val="18"/>
              </w:rPr>
            </w:pPr>
            <w:r>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2,13</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0,93</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9,11</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24,1</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24,1</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Výchozí</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AB0C0A" w:rsidP="00F75719">
            <w:pPr>
              <w:jc w:val="right"/>
              <w:rPr>
                <w:color w:val="000000"/>
                <w:sz w:val="18"/>
                <w:szCs w:val="18"/>
              </w:rPr>
            </w:pPr>
            <w:r>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2,13</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0,93</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9,11</w:t>
            </w:r>
          </w:p>
        </w:tc>
        <w:tc>
          <w:tcPr>
            <w:tcW w:w="84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 xml:space="preserve">N/A </w:t>
            </w:r>
          </w:p>
        </w:tc>
        <w:tc>
          <w:tcPr>
            <w:tcW w:w="8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Plánovaná</w:t>
            </w:r>
          </w:p>
        </w:tc>
        <w:tc>
          <w:tcPr>
            <w:tcW w:w="5440" w:type="dxa"/>
            <w:gridSpan w:val="8"/>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N/A</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20</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20</w:t>
            </w:r>
          </w:p>
        </w:tc>
      </w:tr>
      <w:tr w:rsidR="00F75719" w:rsidRPr="00F75719" w:rsidTr="00F75719">
        <w:trPr>
          <w:trHeight w:val="300"/>
        </w:trPr>
        <w:tc>
          <w:tcPr>
            <w:tcW w:w="96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150113</w:t>
            </w:r>
          </w:p>
        </w:tc>
        <w:tc>
          <w:tcPr>
            <w:tcW w:w="3154" w:type="dxa"/>
            <w:vMerge w:val="restart"/>
            <w:shd w:val="clear" w:color="000000" w:fill="FFFFFF"/>
            <w:vAlign w:val="center"/>
            <w:hideMark/>
          </w:tcPr>
          <w:p w:rsidR="00F75719" w:rsidRPr="00F75719" w:rsidRDefault="00F75719" w:rsidP="00F75719">
            <w:pPr>
              <w:rPr>
                <w:color w:val="000000"/>
                <w:sz w:val="18"/>
                <w:szCs w:val="18"/>
              </w:rPr>
            </w:pPr>
            <w:r w:rsidRPr="00F75719">
              <w:rPr>
                <w:color w:val="000000"/>
                <w:sz w:val="18"/>
                <w:szCs w:val="18"/>
              </w:rPr>
              <w:t>Podíl úřadů s elektronickou spisovou službou a elektronicky řízeným oběhem dokumentů</w:t>
            </w:r>
          </w:p>
        </w:tc>
        <w:tc>
          <w:tcPr>
            <w:tcW w:w="766"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w:t>
            </w:r>
          </w:p>
        </w:tc>
        <w:tc>
          <w:tcPr>
            <w:tcW w:w="880" w:type="dxa"/>
            <w:vMerge w:val="restart"/>
            <w:shd w:val="clear" w:color="auto" w:fill="auto"/>
            <w:noWrap/>
            <w:vAlign w:val="center"/>
            <w:hideMark/>
          </w:tcPr>
          <w:p w:rsidR="00F75719" w:rsidRPr="00F75719" w:rsidRDefault="00F75719" w:rsidP="00F75719">
            <w:pPr>
              <w:rPr>
                <w:color w:val="000000"/>
                <w:sz w:val="18"/>
                <w:szCs w:val="18"/>
              </w:rPr>
            </w:pPr>
            <w:r w:rsidRPr="00F75719">
              <w:rPr>
                <w:color w:val="000000"/>
                <w:sz w:val="18"/>
                <w:szCs w:val="18"/>
              </w:rPr>
              <w:t>ŘO IOP</w:t>
            </w:r>
          </w:p>
        </w:tc>
        <w:tc>
          <w:tcPr>
            <w:tcW w:w="960" w:type="dxa"/>
            <w:shd w:val="clear" w:color="000000" w:fill="FFFFFF"/>
            <w:noWrap/>
            <w:vAlign w:val="bottom"/>
            <w:hideMark/>
          </w:tcPr>
          <w:p w:rsidR="00F75719" w:rsidRPr="00F75719" w:rsidRDefault="00F75719" w:rsidP="00F75719">
            <w:pPr>
              <w:jc w:val="center"/>
              <w:rPr>
                <w:color w:val="000000"/>
                <w:sz w:val="18"/>
                <w:szCs w:val="18"/>
              </w:rPr>
            </w:pPr>
            <w:r w:rsidRPr="00F75719">
              <w:rPr>
                <w:color w:val="000000"/>
                <w:sz w:val="18"/>
                <w:szCs w:val="18"/>
              </w:rPr>
              <w:t>Dosažená</w:t>
            </w:r>
          </w:p>
        </w:tc>
        <w:tc>
          <w:tcPr>
            <w:tcW w:w="6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20</w:t>
            </w:r>
          </w:p>
        </w:tc>
        <w:tc>
          <w:tcPr>
            <w:tcW w:w="680" w:type="dxa"/>
            <w:shd w:val="clear" w:color="000000" w:fill="FFFFFF"/>
            <w:noWrap/>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FFFFFF"/>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FFFFFF"/>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FFFFFF"/>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45,27</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52,91</w:t>
            </w:r>
          </w:p>
        </w:tc>
        <w:tc>
          <w:tcPr>
            <w:tcW w:w="680" w:type="dxa"/>
            <w:shd w:val="clear" w:color="000000" w:fill="FFFFFF"/>
            <w:vAlign w:val="bottom"/>
            <w:hideMark/>
          </w:tcPr>
          <w:p w:rsidR="00F75719" w:rsidRPr="00F75719" w:rsidRDefault="00F75719" w:rsidP="00F75719">
            <w:pPr>
              <w:jc w:val="right"/>
              <w:rPr>
                <w:color w:val="000000"/>
                <w:sz w:val="18"/>
                <w:szCs w:val="18"/>
              </w:rPr>
            </w:pPr>
            <w:r w:rsidRPr="00F75719">
              <w:rPr>
                <w:color w:val="000000"/>
                <w:sz w:val="18"/>
                <w:szCs w:val="18"/>
              </w:rPr>
              <w:t>54,03</w:t>
            </w:r>
          </w:p>
        </w:tc>
        <w:tc>
          <w:tcPr>
            <w:tcW w:w="84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FFFFFF"/>
            <w:noWrap/>
            <w:vAlign w:val="bottom"/>
            <w:hideMark/>
          </w:tcPr>
          <w:p w:rsidR="00F75719" w:rsidRPr="00F75719" w:rsidRDefault="00F75719" w:rsidP="00F75719">
            <w:pPr>
              <w:jc w:val="right"/>
              <w:rPr>
                <w:color w:val="000000"/>
                <w:sz w:val="18"/>
                <w:szCs w:val="18"/>
              </w:rPr>
            </w:pPr>
            <w:r w:rsidRPr="00F75719">
              <w:rPr>
                <w:color w:val="000000"/>
                <w:sz w:val="18"/>
                <w:szCs w:val="18"/>
              </w:rPr>
              <w:t>54,03</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000000" w:fill="D8E4BC"/>
            <w:noWrap/>
            <w:vAlign w:val="bottom"/>
            <w:hideMark/>
          </w:tcPr>
          <w:p w:rsidR="00F75719" w:rsidRPr="00F75719" w:rsidRDefault="00F75719" w:rsidP="00F75719">
            <w:pPr>
              <w:jc w:val="center"/>
              <w:rPr>
                <w:color w:val="000000"/>
                <w:sz w:val="18"/>
                <w:szCs w:val="18"/>
              </w:rPr>
            </w:pPr>
            <w:r w:rsidRPr="00F75719">
              <w:rPr>
                <w:color w:val="000000"/>
                <w:sz w:val="18"/>
                <w:szCs w:val="18"/>
              </w:rPr>
              <w:t>Výchozí</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20</w:t>
            </w:r>
          </w:p>
        </w:tc>
        <w:tc>
          <w:tcPr>
            <w:tcW w:w="6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20</w:t>
            </w:r>
          </w:p>
        </w:tc>
        <w:tc>
          <w:tcPr>
            <w:tcW w:w="680" w:type="dxa"/>
            <w:shd w:val="clear" w:color="000000" w:fill="D8E4BC"/>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D8E4BC"/>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D8E4BC"/>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D8E4BC"/>
            <w:vAlign w:val="bottom"/>
            <w:hideMark/>
          </w:tcPr>
          <w:p w:rsidR="00F75719" w:rsidRPr="00F75719" w:rsidRDefault="00AB0C0A" w:rsidP="00F75719">
            <w:pPr>
              <w:jc w:val="right"/>
              <w:rPr>
                <w:color w:val="000000"/>
                <w:sz w:val="18"/>
                <w:szCs w:val="18"/>
              </w:rPr>
            </w:pPr>
            <w:r>
              <w:rPr>
                <w:color w:val="000000"/>
                <w:sz w:val="18"/>
                <w:szCs w:val="18"/>
              </w:rPr>
              <w:t>20</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45,27</w:t>
            </w:r>
          </w:p>
        </w:tc>
        <w:tc>
          <w:tcPr>
            <w:tcW w:w="680" w:type="dxa"/>
            <w:shd w:val="clear" w:color="000000" w:fill="D8E4BC"/>
            <w:vAlign w:val="bottom"/>
            <w:hideMark/>
          </w:tcPr>
          <w:p w:rsidR="00F75719" w:rsidRPr="00F75719" w:rsidRDefault="00F75719" w:rsidP="00F75719">
            <w:pPr>
              <w:jc w:val="right"/>
              <w:rPr>
                <w:color w:val="000000"/>
                <w:sz w:val="18"/>
                <w:szCs w:val="18"/>
              </w:rPr>
            </w:pPr>
            <w:r w:rsidRPr="00F75719">
              <w:rPr>
                <w:color w:val="000000"/>
                <w:sz w:val="18"/>
                <w:szCs w:val="18"/>
              </w:rPr>
              <w:t>52,91</w:t>
            </w:r>
          </w:p>
        </w:tc>
        <w:tc>
          <w:tcPr>
            <w:tcW w:w="84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N/A</w:t>
            </w:r>
          </w:p>
        </w:tc>
        <w:tc>
          <w:tcPr>
            <w:tcW w:w="880" w:type="dxa"/>
            <w:shd w:val="clear" w:color="000000" w:fill="D8E4BC"/>
            <w:noWrap/>
            <w:vAlign w:val="bottom"/>
            <w:hideMark/>
          </w:tcPr>
          <w:p w:rsidR="00F75719" w:rsidRPr="00F75719" w:rsidRDefault="00F75719" w:rsidP="00F75719">
            <w:pPr>
              <w:jc w:val="right"/>
              <w:rPr>
                <w:color w:val="000000"/>
                <w:sz w:val="18"/>
                <w:szCs w:val="18"/>
              </w:rPr>
            </w:pPr>
            <w:r w:rsidRPr="00F75719">
              <w:rPr>
                <w:color w:val="000000"/>
                <w:sz w:val="18"/>
                <w:szCs w:val="18"/>
              </w:rPr>
              <w:t>20</w:t>
            </w:r>
          </w:p>
        </w:tc>
      </w:tr>
      <w:tr w:rsidR="00F75719" w:rsidRPr="00F75719" w:rsidTr="00F75719">
        <w:trPr>
          <w:trHeight w:val="300"/>
        </w:trPr>
        <w:tc>
          <w:tcPr>
            <w:tcW w:w="960" w:type="dxa"/>
            <w:vMerge/>
            <w:vAlign w:val="center"/>
            <w:hideMark/>
          </w:tcPr>
          <w:p w:rsidR="00F75719" w:rsidRPr="00F75719" w:rsidRDefault="00F75719" w:rsidP="00F75719">
            <w:pPr>
              <w:rPr>
                <w:color w:val="000000"/>
                <w:sz w:val="18"/>
                <w:szCs w:val="18"/>
              </w:rPr>
            </w:pPr>
          </w:p>
        </w:tc>
        <w:tc>
          <w:tcPr>
            <w:tcW w:w="3154" w:type="dxa"/>
            <w:vMerge/>
            <w:vAlign w:val="center"/>
            <w:hideMark/>
          </w:tcPr>
          <w:p w:rsidR="00F75719" w:rsidRPr="00F75719" w:rsidRDefault="00F75719" w:rsidP="00F75719">
            <w:pPr>
              <w:rPr>
                <w:color w:val="000000"/>
                <w:sz w:val="18"/>
                <w:szCs w:val="18"/>
              </w:rPr>
            </w:pPr>
          </w:p>
        </w:tc>
        <w:tc>
          <w:tcPr>
            <w:tcW w:w="766" w:type="dxa"/>
            <w:vMerge/>
            <w:vAlign w:val="center"/>
            <w:hideMark/>
          </w:tcPr>
          <w:p w:rsidR="00F75719" w:rsidRPr="00F75719" w:rsidRDefault="00F75719" w:rsidP="00F75719">
            <w:pPr>
              <w:rPr>
                <w:color w:val="000000"/>
                <w:sz w:val="18"/>
                <w:szCs w:val="18"/>
              </w:rPr>
            </w:pPr>
          </w:p>
        </w:tc>
        <w:tc>
          <w:tcPr>
            <w:tcW w:w="880" w:type="dxa"/>
            <w:vMerge/>
            <w:vAlign w:val="center"/>
            <w:hideMark/>
          </w:tcPr>
          <w:p w:rsidR="00F75719" w:rsidRPr="00F75719" w:rsidRDefault="00F75719" w:rsidP="00F75719">
            <w:pPr>
              <w:rPr>
                <w:color w:val="000000"/>
                <w:sz w:val="18"/>
                <w:szCs w:val="18"/>
              </w:rPr>
            </w:pPr>
          </w:p>
        </w:tc>
        <w:tc>
          <w:tcPr>
            <w:tcW w:w="960" w:type="dxa"/>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Plánovaná</w:t>
            </w:r>
          </w:p>
        </w:tc>
        <w:tc>
          <w:tcPr>
            <w:tcW w:w="5440" w:type="dxa"/>
            <w:gridSpan w:val="8"/>
            <w:shd w:val="clear" w:color="auto" w:fill="auto"/>
            <w:noWrap/>
            <w:vAlign w:val="bottom"/>
            <w:hideMark/>
          </w:tcPr>
          <w:p w:rsidR="00F75719" w:rsidRPr="00F75719" w:rsidRDefault="00F75719" w:rsidP="00F75719">
            <w:pPr>
              <w:jc w:val="center"/>
              <w:rPr>
                <w:color w:val="000000"/>
                <w:sz w:val="18"/>
                <w:szCs w:val="18"/>
              </w:rPr>
            </w:pPr>
            <w:r w:rsidRPr="00F75719">
              <w:rPr>
                <w:color w:val="000000"/>
                <w:sz w:val="18"/>
                <w:szCs w:val="18"/>
              </w:rPr>
              <w:t>N/A</w:t>
            </w:r>
          </w:p>
        </w:tc>
        <w:tc>
          <w:tcPr>
            <w:tcW w:w="84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100</w:t>
            </w:r>
          </w:p>
        </w:tc>
        <w:tc>
          <w:tcPr>
            <w:tcW w:w="880" w:type="dxa"/>
            <w:shd w:val="clear" w:color="auto" w:fill="auto"/>
            <w:noWrap/>
            <w:vAlign w:val="bottom"/>
            <w:hideMark/>
          </w:tcPr>
          <w:p w:rsidR="00F75719" w:rsidRPr="00F75719" w:rsidRDefault="00F75719" w:rsidP="00F75719">
            <w:pPr>
              <w:jc w:val="right"/>
              <w:rPr>
                <w:color w:val="000000"/>
                <w:sz w:val="18"/>
                <w:szCs w:val="18"/>
              </w:rPr>
            </w:pPr>
            <w:r w:rsidRPr="00F75719">
              <w:rPr>
                <w:color w:val="000000"/>
                <w:sz w:val="18"/>
                <w:szCs w:val="18"/>
              </w:rPr>
              <w:t>100</w:t>
            </w:r>
          </w:p>
        </w:tc>
      </w:tr>
    </w:tbl>
    <w:p w:rsidR="00487714" w:rsidRPr="009026D3" w:rsidRDefault="00487714" w:rsidP="00487714">
      <w:pPr>
        <w:spacing w:line="276" w:lineRule="auto"/>
        <w:jc w:val="both"/>
        <w:rPr>
          <w:b/>
          <w:i/>
          <w:color w:val="0070C0"/>
          <w:sz w:val="18"/>
          <w:szCs w:val="18"/>
        </w:rPr>
      </w:pPr>
      <w:r w:rsidRPr="00B00087">
        <w:rPr>
          <w:i/>
          <w:sz w:val="18"/>
          <w:szCs w:val="18"/>
        </w:rPr>
        <w:t xml:space="preserve">Zdroj: MSC 2007 ke dni </w:t>
      </w:r>
      <w:r w:rsidR="005E4379">
        <w:rPr>
          <w:i/>
          <w:sz w:val="18"/>
          <w:szCs w:val="18"/>
        </w:rPr>
        <w:t>2</w:t>
      </w:r>
      <w:r w:rsidR="005E4379" w:rsidRPr="00453C61">
        <w:rPr>
          <w:i/>
          <w:sz w:val="18"/>
          <w:szCs w:val="18"/>
        </w:rPr>
        <w:t>. 3. 2015</w:t>
      </w:r>
    </w:p>
    <w:p w:rsidR="006C0645" w:rsidRPr="0001374B" w:rsidRDefault="006C0645" w:rsidP="006C0645">
      <w:pPr>
        <w:jc w:val="both"/>
        <w:rPr>
          <w:b/>
          <w:i/>
          <w:sz w:val="18"/>
          <w:szCs w:val="18"/>
        </w:rPr>
      </w:pPr>
    </w:p>
    <w:p w:rsidR="00A75862" w:rsidRDefault="00A75862" w:rsidP="00F95266">
      <w:pPr>
        <w:jc w:val="center"/>
      </w:pPr>
    </w:p>
    <w:p w:rsidR="00E91432" w:rsidRDefault="00A75862" w:rsidP="00E6269C">
      <w:pPr>
        <w:pStyle w:val="Tabulkanzev"/>
      </w:pPr>
      <w:bookmarkStart w:id="167" w:name="_Toc416431829"/>
      <w:r w:rsidRPr="009026D3">
        <w:t>Indikátory výsledku</w:t>
      </w:r>
      <w:r w:rsidR="0061390C">
        <w:t xml:space="preserve"> v PO 2</w:t>
      </w:r>
      <w:bookmarkEnd w:id="167"/>
    </w:p>
    <w:tbl>
      <w:tblPr>
        <w:tblW w:w="13880" w:type="dxa"/>
        <w:tblInd w:w="65" w:type="dxa"/>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60"/>
        <w:gridCol w:w="3023"/>
        <w:gridCol w:w="896"/>
        <w:gridCol w:w="880"/>
        <w:gridCol w:w="960"/>
        <w:gridCol w:w="680"/>
        <w:gridCol w:w="680"/>
        <w:gridCol w:w="680"/>
        <w:gridCol w:w="680"/>
        <w:gridCol w:w="680"/>
        <w:gridCol w:w="680"/>
        <w:gridCol w:w="680"/>
        <w:gridCol w:w="680"/>
        <w:gridCol w:w="841"/>
        <w:gridCol w:w="880"/>
      </w:tblGrid>
      <w:tr w:rsidR="00C835A8" w:rsidRPr="00C835A8" w:rsidTr="00AF41D8">
        <w:trPr>
          <w:trHeight w:val="765"/>
        </w:trPr>
        <w:tc>
          <w:tcPr>
            <w:tcW w:w="96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Kód NČI</w:t>
            </w:r>
          </w:p>
        </w:tc>
        <w:tc>
          <w:tcPr>
            <w:tcW w:w="3154" w:type="dxa"/>
            <w:shd w:val="clear" w:color="000000" w:fill="C4D79B"/>
            <w:vAlign w:val="center"/>
            <w:hideMark/>
          </w:tcPr>
          <w:p w:rsidR="00C835A8" w:rsidRPr="00C835A8" w:rsidRDefault="00C835A8" w:rsidP="00C835A8">
            <w:pPr>
              <w:jc w:val="center"/>
              <w:rPr>
                <w:b/>
                <w:bCs/>
                <w:color w:val="000000"/>
              </w:rPr>
            </w:pPr>
            <w:r w:rsidRPr="00C835A8">
              <w:rPr>
                <w:b/>
                <w:bCs/>
                <w:color w:val="000000"/>
              </w:rPr>
              <w:t>Název indikátoru</w:t>
            </w:r>
          </w:p>
        </w:tc>
        <w:tc>
          <w:tcPr>
            <w:tcW w:w="766" w:type="dxa"/>
            <w:shd w:val="clear" w:color="000000" w:fill="C4D79B"/>
            <w:vAlign w:val="center"/>
            <w:hideMark/>
          </w:tcPr>
          <w:p w:rsidR="00C835A8" w:rsidRPr="00C835A8" w:rsidRDefault="00C835A8" w:rsidP="00C835A8">
            <w:pPr>
              <w:jc w:val="center"/>
              <w:rPr>
                <w:b/>
                <w:bCs/>
                <w:color w:val="000000"/>
              </w:rPr>
            </w:pPr>
            <w:r w:rsidRPr="00C835A8">
              <w:rPr>
                <w:b/>
                <w:bCs/>
                <w:color w:val="000000"/>
              </w:rPr>
              <w:t>Měrná jednotka</w:t>
            </w:r>
          </w:p>
        </w:tc>
        <w:tc>
          <w:tcPr>
            <w:tcW w:w="8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 xml:space="preserve">Zdroj </w:t>
            </w:r>
          </w:p>
        </w:tc>
        <w:tc>
          <w:tcPr>
            <w:tcW w:w="96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 xml:space="preserve">Hodnota </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2007</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2008</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2009</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2010</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2011</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2012</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2013</w:t>
            </w:r>
          </w:p>
        </w:tc>
        <w:tc>
          <w:tcPr>
            <w:tcW w:w="6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2014</w:t>
            </w:r>
          </w:p>
        </w:tc>
        <w:tc>
          <w:tcPr>
            <w:tcW w:w="840" w:type="dxa"/>
            <w:shd w:val="clear" w:color="000000" w:fill="C4D79B"/>
            <w:vAlign w:val="center"/>
            <w:hideMark/>
          </w:tcPr>
          <w:p w:rsidR="00C835A8" w:rsidRPr="00C835A8" w:rsidRDefault="00C835A8" w:rsidP="00C835A8">
            <w:pPr>
              <w:jc w:val="center"/>
              <w:rPr>
                <w:b/>
                <w:bCs/>
                <w:color w:val="000000"/>
              </w:rPr>
            </w:pPr>
            <w:r w:rsidRPr="00C835A8">
              <w:rPr>
                <w:b/>
                <w:bCs/>
                <w:color w:val="000000"/>
              </w:rPr>
              <w:t>Cílová hodnota 2015</w:t>
            </w:r>
          </w:p>
        </w:tc>
        <w:tc>
          <w:tcPr>
            <w:tcW w:w="880" w:type="dxa"/>
            <w:shd w:val="clear" w:color="000000" w:fill="C4D79B"/>
            <w:noWrap/>
            <w:vAlign w:val="center"/>
            <w:hideMark/>
          </w:tcPr>
          <w:p w:rsidR="00C835A8" w:rsidRPr="00C835A8" w:rsidRDefault="00C835A8" w:rsidP="00C835A8">
            <w:pPr>
              <w:jc w:val="center"/>
              <w:rPr>
                <w:b/>
                <w:bCs/>
                <w:color w:val="000000"/>
              </w:rPr>
            </w:pPr>
            <w:r w:rsidRPr="00C835A8">
              <w:rPr>
                <w:b/>
                <w:bCs/>
                <w:color w:val="000000"/>
              </w:rPr>
              <w:t xml:space="preserve">Celkem </w:t>
            </w:r>
          </w:p>
        </w:tc>
      </w:tr>
      <w:tr w:rsidR="00C835A8" w:rsidRPr="00C835A8" w:rsidTr="003D50AF">
        <w:trPr>
          <w:trHeight w:val="300"/>
        </w:trPr>
        <w:tc>
          <w:tcPr>
            <w:tcW w:w="960" w:type="dxa"/>
            <w:vMerge w:val="restart"/>
            <w:shd w:val="clear" w:color="auto" w:fill="auto"/>
            <w:noWrap/>
            <w:vAlign w:val="center"/>
            <w:hideMark/>
          </w:tcPr>
          <w:p w:rsidR="00C835A8" w:rsidRPr="00C835A8" w:rsidRDefault="00C835A8" w:rsidP="00191959">
            <w:pPr>
              <w:rPr>
                <w:color w:val="000000"/>
                <w:sz w:val="18"/>
                <w:szCs w:val="18"/>
              </w:rPr>
            </w:pPr>
            <w:r w:rsidRPr="00C835A8">
              <w:rPr>
                <w:color w:val="000000"/>
                <w:sz w:val="18"/>
                <w:szCs w:val="18"/>
              </w:rPr>
              <w:t>152000</w:t>
            </w:r>
          </w:p>
        </w:tc>
        <w:tc>
          <w:tcPr>
            <w:tcW w:w="3154" w:type="dxa"/>
            <w:vMerge w:val="restart"/>
            <w:shd w:val="clear" w:color="000000" w:fill="FFFFFF"/>
            <w:vAlign w:val="center"/>
            <w:hideMark/>
          </w:tcPr>
          <w:p w:rsidR="00C835A8" w:rsidRPr="00C835A8" w:rsidRDefault="00C835A8" w:rsidP="00191959">
            <w:pPr>
              <w:rPr>
                <w:sz w:val="18"/>
                <w:szCs w:val="18"/>
              </w:rPr>
            </w:pPr>
            <w:r w:rsidRPr="00C835A8">
              <w:rPr>
                <w:sz w:val="18"/>
                <w:szCs w:val="18"/>
              </w:rPr>
              <w:t xml:space="preserve">Dostupnost služeb </w:t>
            </w:r>
            <w:proofErr w:type="spellStart"/>
            <w:r w:rsidRPr="00C835A8">
              <w:rPr>
                <w:sz w:val="18"/>
                <w:szCs w:val="18"/>
              </w:rPr>
              <w:t>eGovernmentu</w:t>
            </w:r>
            <w:proofErr w:type="spellEnd"/>
            <w:r w:rsidRPr="00C835A8">
              <w:rPr>
                <w:sz w:val="18"/>
                <w:szCs w:val="18"/>
              </w:rPr>
              <w:t xml:space="preserve"> on-line</w:t>
            </w:r>
          </w:p>
        </w:tc>
        <w:tc>
          <w:tcPr>
            <w:tcW w:w="766" w:type="dxa"/>
            <w:vMerge w:val="restart"/>
            <w:shd w:val="clear" w:color="auto" w:fill="auto"/>
            <w:noWrap/>
            <w:vAlign w:val="center"/>
            <w:hideMark/>
          </w:tcPr>
          <w:p w:rsidR="00C835A8" w:rsidRPr="00C835A8" w:rsidRDefault="00C835A8" w:rsidP="00191959">
            <w:pPr>
              <w:rPr>
                <w:color w:val="000000"/>
                <w:sz w:val="18"/>
                <w:szCs w:val="18"/>
              </w:rPr>
            </w:pPr>
            <w:r w:rsidRPr="00C835A8">
              <w:rPr>
                <w:color w:val="000000"/>
                <w:sz w:val="18"/>
                <w:szCs w:val="18"/>
              </w:rPr>
              <w:t>%</w:t>
            </w:r>
          </w:p>
        </w:tc>
        <w:tc>
          <w:tcPr>
            <w:tcW w:w="880" w:type="dxa"/>
            <w:vMerge w:val="restart"/>
            <w:shd w:val="clear" w:color="auto" w:fill="auto"/>
            <w:vAlign w:val="center"/>
            <w:hideMark/>
          </w:tcPr>
          <w:p w:rsidR="00C835A8" w:rsidRPr="00C835A8" w:rsidRDefault="00C835A8" w:rsidP="00191959">
            <w:pPr>
              <w:rPr>
                <w:color w:val="000000"/>
                <w:sz w:val="18"/>
                <w:szCs w:val="18"/>
              </w:rPr>
            </w:pPr>
            <w:proofErr w:type="spellStart"/>
            <w:r w:rsidRPr="00C835A8">
              <w:rPr>
                <w:color w:val="000000"/>
                <w:sz w:val="18"/>
                <w:szCs w:val="18"/>
              </w:rPr>
              <w:t>Eurostat</w:t>
            </w:r>
            <w:proofErr w:type="spellEnd"/>
          </w:p>
        </w:tc>
        <w:tc>
          <w:tcPr>
            <w:tcW w:w="960" w:type="dxa"/>
            <w:shd w:val="clear" w:color="auto" w:fill="auto"/>
            <w:noWrap/>
            <w:vAlign w:val="bottom"/>
            <w:hideMark/>
          </w:tcPr>
          <w:p w:rsidR="00C835A8" w:rsidRPr="00C835A8" w:rsidRDefault="00C835A8" w:rsidP="00C835A8">
            <w:pPr>
              <w:jc w:val="center"/>
              <w:rPr>
                <w:color w:val="000000"/>
                <w:sz w:val="18"/>
                <w:szCs w:val="18"/>
              </w:rPr>
            </w:pPr>
            <w:r w:rsidRPr="00C835A8">
              <w:rPr>
                <w:color w:val="000000"/>
                <w:sz w:val="18"/>
                <w:szCs w:val="18"/>
              </w:rPr>
              <w:t>Dosažená</w:t>
            </w:r>
          </w:p>
        </w:tc>
        <w:tc>
          <w:tcPr>
            <w:tcW w:w="68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57,5</w:t>
            </w:r>
          </w:p>
        </w:tc>
        <w:tc>
          <w:tcPr>
            <w:tcW w:w="680" w:type="dxa"/>
            <w:shd w:val="clear" w:color="auto" w:fill="auto"/>
            <w:noWrap/>
            <w:vAlign w:val="bottom"/>
            <w:hideMark/>
          </w:tcPr>
          <w:p w:rsidR="00C835A8" w:rsidRPr="00C835A8" w:rsidRDefault="00F200AF" w:rsidP="00C835A8">
            <w:pPr>
              <w:jc w:val="right"/>
              <w:rPr>
                <w:color w:val="000000"/>
                <w:sz w:val="18"/>
                <w:szCs w:val="18"/>
              </w:rPr>
            </w:pPr>
            <w:r>
              <w:rPr>
                <w:color w:val="000000"/>
                <w:sz w:val="18"/>
                <w:szCs w:val="18"/>
              </w:rPr>
              <w:t>57,5</w:t>
            </w:r>
          </w:p>
        </w:tc>
        <w:tc>
          <w:tcPr>
            <w:tcW w:w="680" w:type="dxa"/>
            <w:shd w:val="clear" w:color="auto" w:fill="auto"/>
            <w:vAlign w:val="bottom"/>
            <w:hideMark/>
          </w:tcPr>
          <w:p w:rsidR="00C835A8" w:rsidRPr="00C835A8" w:rsidRDefault="00C835A8" w:rsidP="00C835A8">
            <w:pPr>
              <w:jc w:val="right"/>
              <w:rPr>
                <w:color w:val="000000"/>
                <w:sz w:val="18"/>
                <w:szCs w:val="18"/>
              </w:rPr>
            </w:pPr>
            <w:r w:rsidRPr="00C835A8">
              <w:rPr>
                <w:color w:val="000000"/>
                <w:sz w:val="18"/>
                <w:szCs w:val="18"/>
              </w:rPr>
              <w:t>62,5</w:t>
            </w:r>
          </w:p>
        </w:tc>
        <w:tc>
          <w:tcPr>
            <w:tcW w:w="680" w:type="dxa"/>
            <w:shd w:val="clear" w:color="auto" w:fill="auto"/>
            <w:vAlign w:val="bottom"/>
            <w:hideMark/>
          </w:tcPr>
          <w:p w:rsidR="00C835A8" w:rsidRPr="00C835A8" w:rsidRDefault="00C835A8" w:rsidP="00C835A8">
            <w:pPr>
              <w:jc w:val="right"/>
              <w:rPr>
                <w:color w:val="000000"/>
                <w:sz w:val="18"/>
                <w:szCs w:val="18"/>
              </w:rPr>
            </w:pPr>
            <w:r w:rsidRPr="00C835A8">
              <w:rPr>
                <w:color w:val="000000"/>
                <w:sz w:val="18"/>
                <w:szCs w:val="18"/>
              </w:rPr>
              <w:t>73,75</w:t>
            </w:r>
          </w:p>
        </w:tc>
        <w:tc>
          <w:tcPr>
            <w:tcW w:w="680" w:type="dxa"/>
            <w:shd w:val="clear" w:color="auto" w:fill="auto"/>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680" w:type="dxa"/>
            <w:shd w:val="clear" w:color="auto" w:fill="auto"/>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680" w:type="dxa"/>
            <w:shd w:val="clear" w:color="auto" w:fill="auto"/>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680" w:type="dxa"/>
            <w:shd w:val="clear" w:color="auto" w:fill="auto"/>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84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88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0</w:t>
            </w:r>
          </w:p>
        </w:tc>
      </w:tr>
      <w:tr w:rsidR="00AF41D8" w:rsidRPr="00C835A8" w:rsidTr="005E645A">
        <w:trPr>
          <w:trHeight w:val="300"/>
        </w:trPr>
        <w:tc>
          <w:tcPr>
            <w:tcW w:w="960" w:type="dxa"/>
            <w:vMerge/>
            <w:vAlign w:val="center"/>
            <w:hideMark/>
          </w:tcPr>
          <w:p w:rsidR="00C835A8" w:rsidRPr="00C835A8" w:rsidRDefault="00C835A8" w:rsidP="00191959">
            <w:pPr>
              <w:rPr>
                <w:color w:val="000000"/>
                <w:sz w:val="18"/>
                <w:szCs w:val="18"/>
              </w:rPr>
            </w:pPr>
          </w:p>
        </w:tc>
        <w:tc>
          <w:tcPr>
            <w:tcW w:w="3154" w:type="dxa"/>
            <w:vMerge/>
            <w:vAlign w:val="center"/>
            <w:hideMark/>
          </w:tcPr>
          <w:p w:rsidR="00C835A8" w:rsidRPr="00C835A8" w:rsidRDefault="00C835A8" w:rsidP="00191959">
            <w:pPr>
              <w:rPr>
                <w:sz w:val="18"/>
                <w:szCs w:val="18"/>
              </w:rPr>
            </w:pPr>
          </w:p>
        </w:tc>
        <w:tc>
          <w:tcPr>
            <w:tcW w:w="766" w:type="dxa"/>
            <w:vMerge/>
            <w:vAlign w:val="center"/>
            <w:hideMark/>
          </w:tcPr>
          <w:p w:rsidR="00C835A8" w:rsidRPr="00C835A8" w:rsidRDefault="00C835A8" w:rsidP="00191959">
            <w:pPr>
              <w:rPr>
                <w:color w:val="000000"/>
                <w:sz w:val="18"/>
                <w:szCs w:val="18"/>
              </w:rPr>
            </w:pPr>
          </w:p>
        </w:tc>
        <w:tc>
          <w:tcPr>
            <w:tcW w:w="880" w:type="dxa"/>
            <w:vMerge/>
            <w:vAlign w:val="center"/>
            <w:hideMark/>
          </w:tcPr>
          <w:p w:rsidR="00C835A8" w:rsidRPr="00C835A8" w:rsidRDefault="00C835A8" w:rsidP="00191959">
            <w:pPr>
              <w:rPr>
                <w:color w:val="000000"/>
                <w:sz w:val="18"/>
                <w:szCs w:val="18"/>
              </w:rPr>
            </w:pPr>
          </w:p>
        </w:tc>
        <w:tc>
          <w:tcPr>
            <w:tcW w:w="960" w:type="dxa"/>
            <w:shd w:val="clear" w:color="auto" w:fill="D6E3BC" w:themeFill="accent3" w:themeFillTint="66"/>
            <w:noWrap/>
            <w:vAlign w:val="bottom"/>
            <w:hideMark/>
          </w:tcPr>
          <w:p w:rsidR="00C835A8" w:rsidRPr="00C835A8" w:rsidRDefault="00C835A8" w:rsidP="00C835A8">
            <w:pPr>
              <w:jc w:val="center"/>
              <w:rPr>
                <w:color w:val="000000"/>
                <w:sz w:val="18"/>
                <w:szCs w:val="18"/>
              </w:rPr>
            </w:pPr>
            <w:r w:rsidRPr="00C835A8">
              <w:rPr>
                <w:color w:val="000000"/>
                <w:sz w:val="18"/>
                <w:szCs w:val="18"/>
              </w:rPr>
              <w:t>Výchozí</w:t>
            </w:r>
          </w:p>
        </w:tc>
        <w:tc>
          <w:tcPr>
            <w:tcW w:w="680" w:type="dxa"/>
            <w:shd w:val="clear" w:color="auto" w:fill="D6E3BC" w:themeFill="accent3" w:themeFillTint="66"/>
            <w:noWrap/>
            <w:vAlign w:val="bottom"/>
            <w:hideMark/>
          </w:tcPr>
          <w:p w:rsidR="00C835A8" w:rsidRPr="00C835A8" w:rsidRDefault="00C835A8" w:rsidP="00C835A8">
            <w:pPr>
              <w:jc w:val="right"/>
              <w:rPr>
                <w:color w:val="000000"/>
                <w:sz w:val="18"/>
                <w:szCs w:val="18"/>
              </w:rPr>
            </w:pPr>
            <w:r w:rsidRPr="00C835A8">
              <w:rPr>
                <w:color w:val="000000"/>
                <w:sz w:val="18"/>
                <w:szCs w:val="18"/>
              </w:rPr>
              <w:t>30</w:t>
            </w:r>
          </w:p>
        </w:tc>
        <w:tc>
          <w:tcPr>
            <w:tcW w:w="680" w:type="dxa"/>
            <w:shd w:val="clear" w:color="auto" w:fill="D6E3BC" w:themeFill="accent3" w:themeFillTint="66"/>
            <w:noWrap/>
            <w:vAlign w:val="bottom"/>
            <w:hideMark/>
          </w:tcPr>
          <w:p w:rsidR="00C835A8" w:rsidRPr="00C835A8" w:rsidRDefault="00C835A8" w:rsidP="00C835A8">
            <w:pPr>
              <w:jc w:val="right"/>
              <w:rPr>
                <w:color w:val="000000"/>
                <w:sz w:val="18"/>
                <w:szCs w:val="18"/>
              </w:rPr>
            </w:pPr>
            <w:r w:rsidRPr="00C835A8">
              <w:rPr>
                <w:color w:val="000000"/>
                <w:sz w:val="18"/>
                <w:szCs w:val="18"/>
              </w:rPr>
              <w:t>57,5</w:t>
            </w:r>
          </w:p>
        </w:tc>
        <w:tc>
          <w:tcPr>
            <w:tcW w:w="680" w:type="dxa"/>
            <w:shd w:val="clear" w:color="auto" w:fill="D6E3BC" w:themeFill="accent3" w:themeFillTint="66"/>
            <w:vAlign w:val="bottom"/>
            <w:hideMark/>
          </w:tcPr>
          <w:p w:rsidR="00C835A8" w:rsidRPr="00C835A8" w:rsidRDefault="00F200AF" w:rsidP="00C835A8">
            <w:pPr>
              <w:jc w:val="right"/>
              <w:rPr>
                <w:color w:val="000000"/>
                <w:sz w:val="18"/>
                <w:szCs w:val="18"/>
              </w:rPr>
            </w:pPr>
            <w:r>
              <w:rPr>
                <w:color w:val="000000"/>
                <w:sz w:val="18"/>
                <w:szCs w:val="18"/>
              </w:rPr>
              <w:t>57,5</w:t>
            </w:r>
          </w:p>
        </w:tc>
        <w:tc>
          <w:tcPr>
            <w:tcW w:w="680" w:type="dxa"/>
            <w:shd w:val="clear" w:color="auto" w:fill="D6E3BC" w:themeFill="accent3" w:themeFillTint="66"/>
            <w:vAlign w:val="bottom"/>
            <w:hideMark/>
          </w:tcPr>
          <w:p w:rsidR="00C835A8" w:rsidRPr="00C835A8" w:rsidRDefault="00C835A8" w:rsidP="00C835A8">
            <w:pPr>
              <w:jc w:val="right"/>
              <w:rPr>
                <w:color w:val="000000"/>
                <w:sz w:val="18"/>
                <w:szCs w:val="18"/>
              </w:rPr>
            </w:pPr>
            <w:r w:rsidRPr="00C835A8">
              <w:rPr>
                <w:color w:val="000000"/>
                <w:sz w:val="18"/>
                <w:szCs w:val="18"/>
              </w:rPr>
              <w:t>62,5</w:t>
            </w:r>
          </w:p>
        </w:tc>
        <w:tc>
          <w:tcPr>
            <w:tcW w:w="680" w:type="dxa"/>
            <w:shd w:val="clear" w:color="auto" w:fill="D6E3BC" w:themeFill="accent3" w:themeFillTint="66"/>
            <w:vAlign w:val="bottom"/>
            <w:hideMark/>
          </w:tcPr>
          <w:p w:rsidR="00C835A8" w:rsidRPr="00C835A8" w:rsidRDefault="00C835A8" w:rsidP="00C835A8">
            <w:pPr>
              <w:jc w:val="right"/>
              <w:rPr>
                <w:color w:val="000000"/>
                <w:sz w:val="18"/>
                <w:szCs w:val="18"/>
              </w:rPr>
            </w:pPr>
            <w:r w:rsidRPr="00C835A8">
              <w:rPr>
                <w:color w:val="000000"/>
                <w:sz w:val="18"/>
                <w:szCs w:val="18"/>
              </w:rPr>
              <w:t>73,75</w:t>
            </w:r>
          </w:p>
        </w:tc>
        <w:tc>
          <w:tcPr>
            <w:tcW w:w="680" w:type="dxa"/>
            <w:shd w:val="clear" w:color="auto" w:fill="D6E3BC" w:themeFill="accent3" w:themeFillTint="66"/>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680" w:type="dxa"/>
            <w:shd w:val="clear" w:color="auto" w:fill="D6E3BC" w:themeFill="accent3" w:themeFillTint="66"/>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680" w:type="dxa"/>
            <w:shd w:val="clear" w:color="auto" w:fill="D6E3BC" w:themeFill="accent3" w:themeFillTint="66"/>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840" w:type="dxa"/>
            <w:shd w:val="clear" w:color="auto" w:fill="D6E3BC" w:themeFill="accent3" w:themeFillTint="66"/>
            <w:noWrap/>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880" w:type="dxa"/>
            <w:shd w:val="clear" w:color="auto" w:fill="D6E3BC" w:themeFill="accent3" w:themeFillTint="66"/>
            <w:noWrap/>
            <w:vAlign w:val="bottom"/>
            <w:hideMark/>
          </w:tcPr>
          <w:p w:rsidR="00C835A8" w:rsidRPr="00C835A8" w:rsidRDefault="00C835A8" w:rsidP="00C835A8">
            <w:pPr>
              <w:jc w:val="right"/>
              <w:rPr>
                <w:color w:val="000000"/>
                <w:sz w:val="18"/>
                <w:szCs w:val="18"/>
              </w:rPr>
            </w:pPr>
            <w:r w:rsidRPr="00C835A8">
              <w:rPr>
                <w:color w:val="000000"/>
                <w:sz w:val="18"/>
                <w:szCs w:val="18"/>
              </w:rPr>
              <w:t>30</w:t>
            </w:r>
          </w:p>
        </w:tc>
      </w:tr>
      <w:tr w:rsidR="00C835A8" w:rsidRPr="00C835A8" w:rsidTr="00AF41D8">
        <w:trPr>
          <w:trHeight w:val="300"/>
        </w:trPr>
        <w:tc>
          <w:tcPr>
            <w:tcW w:w="960" w:type="dxa"/>
            <w:vMerge/>
            <w:vAlign w:val="center"/>
            <w:hideMark/>
          </w:tcPr>
          <w:p w:rsidR="00C835A8" w:rsidRPr="00C835A8" w:rsidRDefault="00C835A8" w:rsidP="00191959">
            <w:pPr>
              <w:rPr>
                <w:color w:val="000000"/>
                <w:sz w:val="18"/>
                <w:szCs w:val="18"/>
              </w:rPr>
            </w:pPr>
          </w:p>
        </w:tc>
        <w:tc>
          <w:tcPr>
            <w:tcW w:w="3154" w:type="dxa"/>
            <w:vMerge/>
            <w:vAlign w:val="center"/>
            <w:hideMark/>
          </w:tcPr>
          <w:p w:rsidR="00C835A8" w:rsidRPr="00C835A8" w:rsidRDefault="00C835A8" w:rsidP="00191959">
            <w:pPr>
              <w:rPr>
                <w:sz w:val="18"/>
                <w:szCs w:val="18"/>
              </w:rPr>
            </w:pPr>
          </w:p>
        </w:tc>
        <w:tc>
          <w:tcPr>
            <w:tcW w:w="766" w:type="dxa"/>
            <w:vMerge/>
            <w:vAlign w:val="center"/>
            <w:hideMark/>
          </w:tcPr>
          <w:p w:rsidR="00C835A8" w:rsidRPr="00C835A8" w:rsidRDefault="00C835A8" w:rsidP="00191959">
            <w:pPr>
              <w:rPr>
                <w:color w:val="000000"/>
                <w:sz w:val="18"/>
                <w:szCs w:val="18"/>
              </w:rPr>
            </w:pPr>
          </w:p>
        </w:tc>
        <w:tc>
          <w:tcPr>
            <w:tcW w:w="880" w:type="dxa"/>
            <w:vMerge/>
            <w:vAlign w:val="center"/>
            <w:hideMark/>
          </w:tcPr>
          <w:p w:rsidR="00C835A8" w:rsidRPr="00C835A8" w:rsidRDefault="00C835A8" w:rsidP="00191959">
            <w:pPr>
              <w:rPr>
                <w:color w:val="000000"/>
                <w:sz w:val="18"/>
                <w:szCs w:val="18"/>
              </w:rPr>
            </w:pPr>
          </w:p>
        </w:tc>
        <w:tc>
          <w:tcPr>
            <w:tcW w:w="960" w:type="dxa"/>
            <w:shd w:val="clear" w:color="auto" w:fill="auto"/>
            <w:noWrap/>
            <w:vAlign w:val="bottom"/>
            <w:hideMark/>
          </w:tcPr>
          <w:p w:rsidR="00C835A8" w:rsidRPr="00C835A8" w:rsidRDefault="00C835A8" w:rsidP="00C835A8">
            <w:pPr>
              <w:jc w:val="center"/>
              <w:rPr>
                <w:color w:val="000000"/>
                <w:sz w:val="18"/>
                <w:szCs w:val="18"/>
              </w:rPr>
            </w:pPr>
            <w:r w:rsidRPr="00C835A8">
              <w:rPr>
                <w:color w:val="000000"/>
                <w:sz w:val="18"/>
                <w:szCs w:val="18"/>
              </w:rPr>
              <w:t>Plánovaná</w:t>
            </w:r>
          </w:p>
        </w:tc>
        <w:tc>
          <w:tcPr>
            <w:tcW w:w="5440" w:type="dxa"/>
            <w:gridSpan w:val="8"/>
            <w:shd w:val="clear" w:color="auto" w:fill="auto"/>
            <w:noWrap/>
            <w:vAlign w:val="bottom"/>
            <w:hideMark/>
          </w:tcPr>
          <w:p w:rsidR="00C835A8" w:rsidRPr="00C835A8" w:rsidRDefault="00C835A8" w:rsidP="00C835A8">
            <w:pPr>
              <w:jc w:val="center"/>
              <w:rPr>
                <w:color w:val="000000"/>
                <w:sz w:val="18"/>
                <w:szCs w:val="18"/>
              </w:rPr>
            </w:pPr>
            <w:r w:rsidRPr="00C835A8">
              <w:rPr>
                <w:color w:val="000000"/>
                <w:sz w:val="18"/>
                <w:szCs w:val="18"/>
              </w:rPr>
              <w:t>N/A</w:t>
            </w:r>
          </w:p>
        </w:tc>
        <w:tc>
          <w:tcPr>
            <w:tcW w:w="84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75</w:t>
            </w:r>
          </w:p>
        </w:tc>
        <w:tc>
          <w:tcPr>
            <w:tcW w:w="88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75</w:t>
            </w:r>
          </w:p>
        </w:tc>
      </w:tr>
      <w:tr w:rsidR="00AF41D8" w:rsidRPr="00C835A8" w:rsidTr="003D50AF">
        <w:trPr>
          <w:trHeight w:val="300"/>
        </w:trPr>
        <w:tc>
          <w:tcPr>
            <w:tcW w:w="960" w:type="dxa"/>
            <w:vMerge w:val="restart"/>
            <w:shd w:val="clear" w:color="auto" w:fill="auto"/>
            <w:noWrap/>
            <w:vAlign w:val="center"/>
            <w:hideMark/>
          </w:tcPr>
          <w:p w:rsidR="00C835A8" w:rsidRPr="00C835A8" w:rsidRDefault="00C835A8" w:rsidP="00191959">
            <w:pPr>
              <w:rPr>
                <w:color w:val="000000"/>
                <w:sz w:val="18"/>
                <w:szCs w:val="18"/>
              </w:rPr>
            </w:pPr>
            <w:r w:rsidRPr="00C835A8">
              <w:rPr>
                <w:color w:val="000000"/>
                <w:sz w:val="18"/>
                <w:szCs w:val="18"/>
              </w:rPr>
              <w:t>152105</w:t>
            </w:r>
          </w:p>
        </w:tc>
        <w:tc>
          <w:tcPr>
            <w:tcW w:w="3154" w:type="dxa"/>
            <w:vMerge w:val="restart"/>
            <w:shd w:val="clear" w:color="000000" w:fill="FFFFFF"/>
            <w:vAlign w:val="center"/>
            <w:hideMark/>
          </w:tcPr>
          <w:p w:rsidR="00C835A8" w:rsidRPr="00C835A8" w:rsidRDefault="00C835A8" w:rsidP="00191959">
            <w:pPr>
              <w:rPr>
                <w:sz w:val="18"/>
                <w:szCs w:val="18"/>
              </w:rPr>
            </w:pPr>
            <w:r w:rsidRPr="00C835A8">
              <w:rPr>
                <w:sz w:val="18"/>
                <w:szCs w:val="18"/>
              </w:rPr>
              <w:t xml:space="preserve">Snížení administrativního zatížení občanů, podnikatelů a veřejného sektoru </w:t>
            </w:r>
          </w:p>
        </w:tc>
        <w:tc>
          <w:tcPr>
            <w:tcW w:w="766" w:type="dxa"/>
            <w:vMerge w:val="restart"/>
            <w:shd w:val="clear" w:color="auto" w:fill="auto"/>
            <w:noWrap/>
            <w:vAlign w:val="center"/>
            <w:hideMark/>
          </w:tcPr>
          <w:p w:rsidR="00C835A8" w:rsidRPr="00C835A8" w:rsidRDefault="00C835A8" w:rsidP="00191959">
            <w:pPr>
              <w:rPr>
                <w:color w:val="000000"/>
                <w:sz w:val="18"/>
                <w:szCs w:val="18"/>
              </w:rPr>
            </w:pPr>
            <w:r w:rsidRPr="00C835A8">
              <w:rPr>
                <w:color w:val="000000"/>
                <w:sz w:val="18"/>
                <w:szCs w:val="18"/>
              </w:rPr>
              <w:t>%</w:t>
            </w:r>
          </w:p>
        </w:tc>
        <w:tc>
          <w:tcPr>
            <w:tcW w:w="880" w:type="dxa"/>
            <w:vMerge w:val="restart"/>
            <w:shd w:val="clear" w:color="auto" w:fill="auto"/>
            <w:noWrap/>
            <w:vAlign w:val="center"/>
            <w:hideMark/>
          </w:tcPr>
          <w:p w:rsidR="00C835A8" w:rsidRPr="00C835A8" w:rsidRDefault="00C835A8" w:rsidP="00191959">
            <w:pPr>
              <w:rPr>
                <w:color w:val="000000"/>
                <w:sz w:val="18"/>
                <w:szCs w:val="18"/>
              </w:rPr>
            </w:pPr>
            <w:r w:rsidRPr="00C835A8">
              <w:rPr>
                <w:color w:val="000000"/>
                <w:sz w:val="18"/>
                <w:szCs w:val="18"/>
              </w:rPr>
              <w:t>ŘO IOP</w:t>
            </w:r>
          </w:p>
        </w:tc>
        <w:tc>
          <w:tcPr>
            <w:tcW w:w="960" w:type="dxa"/>
            <w:shd w:val="clear" w:color="auto" w:fill="auto"/>
            <w:noWrap/>
            <w:vAlign w:val="bottom"/>
            <w:hideMark/>
          </w:tcPr>
          <w:p w:rsidR="00C835A8" w:rsidRPr="00C835A8" w:rsidRDefault="00C835A8" w:rsidP="00C835A8">
            <w:pPr>
              <w:jc w:val="center"/>
              <w:rPr>
                <w:color w:val="000000"/>
                <w:sz w:val="18"/>
                <w:szCs w:val="18"/>
              </w:rPr>
            </w:pPr>
            <w:r w:rsidRPr="00C835A8">
              <w:rPr>
                <w:color w:val="000000"/>
                <w:sz w:val="18"/>
                <w:szCs w:val="18"/>
              </w:rPr>
              <w:t>Dosažená</w:t>
            </w:r>
          </w:p>
        </w:tc>
        <w:tc>
          <w:tcPr>
            <w:tcW w:w="680" w:type="dxa"/>
            <w:shd w:val="clear" w:color="auto" w:fill="auto"/>
            <w:noWrap/>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auto"/>
            <w:noWrap/>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auto"/>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auto"/>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auto"/>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auto"/>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auto"/>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auto"/>
            <w:vAlign w:val="bottom"/>
            <w:hideMark/>
          </w:tcPr>
          <w:p w:rsidR="00C835A8" w:rsidRPr="00C835A8" w:rsidRDefault="00F200AF" w:rsidP="00C835A8">
            <w:pPr>
              <w:jc w:val="right"/>
              <w:rPr>
                <w:color w:val="000000"/>
                <w:sz w:val="18"/>
                <w:szCs w:val="18"/>
              </w:rPr>
            </w:pPr>
            <w:r>
              <w:rPr>
                <w:color w:val="000000"/>
                <w:sz w:val="18"/>
                <w:szCs w:val="18"/>
              </w:rPr>
              <w:t>100</w:t>
            </w:r>
          </w:p>
        </w:tc>
        <w:tc>
          <w:tcPr>
            <w:tcW w:w="84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880" w:type="dxa"/>
            <w:shd w:val="clear" w:color="auto" w:fill="auto"/>
            <w:noWrap/>
            <w:vAlign w:val="bottom"/>
            <w:hideMark/>
          </w:tcPr>
          <w:p w:rsidR="00C835A8" w:rsidRPr="00C835A8" w:rsidRDefault="00F200AF" w:rsidP="00C835A8">
            <w:pPr>
              <w:jc w:val="right"/>
              <w:rPr>
                <w:color w:val="000000"/>
                <w:sz w:val="18"/>
                <w:szCs w:val="18"/>
              </w:rPr>
            </w:pPr>
            <w:r>
              <w:rPr>
                <w:color w:val="000000"/>
                <w:sz w:val="18"/>
                <w:szCs w:val="18"/>
              </w:rPr>
              <w:t>100</w:t>
            </w:r>
          </w:p>
        </w:tc>
      </w:tr>
      <w:tr w:rsidR="00AF41D8" w:rsidRPr="00C835A8" w:rsidTr="005E645A">
        <w:trPr>
          <w:trHeight w:val="300"/>
        </w:trPr>
        <w:tc>
          <w:tcPr>
            <w:tcW w:w="960" w:type="dxa"/>
            <w:vMerge/>
            <w:vAlign w:val="center"/>
            <w:hideMark/>
          </w:tcPr>
          <w:p w:rsidR="00C835A8" w:rsidRPr="00C835A8" w:rsidRDefault="00C835A8" w:rsidP="00C835A8">
            <w:pPr>
              <w:rPr>
                <w:color w:val="000000"/>
                <w:sz w:val="18"/>
                <w:szCs w:val="18"/>
              </w:rPr>
            </w:pPr>
          </w:p>
        </w:tc>
        <w:tc>
          <w:tcPr>
            <w:tcW w:w="3154" w:type="dxa"/>
            <w:vMerge/>
            <w:vAlign w:val="center"/>
            <w:hideMark/>
          </w:tcPr>
          <w:p w:rsidR="00C835A8" w:rsidRPr="00C835A8" w:rsidRDefault="00C835A8" w:rsidP="00C835A8">
            <w:pPr>
              <w:rPr>
                <w:sz w:val="18"/>
                <w:szCs w:val="18"/>
              </w:rPr>
            </w:pPr>
          </w:p>
        </w:tc>
        <w:tc>
          <w:tcPr>
            <w:tcW w:w="766" w:type="dxa"/>
            <w:vMerge/>
            <w:vAlign w:val="center"/>
            <w:hideMark/>
          </w:tcPr>
          <w:p w:rsidR="00C835A8" w:rsidRPr="00C835A8" w:rsidRDefault="00C835A8" w:rsidP="00C835A8">
            <w:pPr>
              <w:rPr>
                <w:color w:val="000000"/>
                <w:sz w:val="18"/>
                <w:szCs w:val="18"/>
              </w:rPr>
            </w:pPr>
          </w:p>
        </w:tc>
        <w:tc>
          <w:tcPr>
            <w:tcW w:w="880" w:type="dxa"/>
            <w:vMerge/>
            <w:vAlign w:val="center"/>
            <w:hideMark/>
          </w:tcPr>
          <w:p w:rsidR="00C835A8" w:rsidRPr="00C835A8" w:rsidRDefault="00C835A8" w:rsidP="00C835A8">
            <w:pPr>
              <w:rPr>
                <w:color w:val="000000"/>
                <w:sz w:val="18"/>
                <w:szCs w:val="18"/>
              </w:rPr>
            </w:pPr>
          </w:p>
        </w:tc>
        <w:tc>
          <w:tcPr>
            <w:tcW w:w="960" w:type="dxa"/>
            <w:shd w:val="clear" w:color="auto" w:fill="D6E3BC" w:themeFill="accent3" w:themeFillTint="66"/>
            <w:noWrap/>
            <w:vAlign w:val="bottom"/>
            <w:hideMark/>
          </w:tcPr>
          <w:p w:rsidR="00C835A8" w:rsidRPr="00C835A8" w:rsidRDefault="00C835A8" w:rsidP="00C835A8">
            <w:pPr>
              <w:jc w:val="center"/>
              <w:rPr>
                <w:color w:val="000000"/>
                <w:sz w:val="18"/>
                <w:szCs w:val="18"/>
              </w:rPr>
            </w:pPr>
            <w:r w:rsidRPr="00C835A8">
              <w:rPr>
                <w:color w:val="000000"/>
                <w:sz w:val="18"/>
                <w:szCs w:val="18"/>
              </w:rPr>
              <w:t>Výchozí</w:t>
            </w:r>
          </w:p>
        </w:tc>
        <w:tc>
          <w:tcPr>
            <w:tcW w:w="680" w:type="dxa"/>
            <w:shd w:val="clear" w:color="auto" w:fill="D6E3BC" w:themeFill="accent3" w:themeFillTint="66"/>
            <w:noWrap/>
            <w:vAlign w:val="bottom"/>
            <w:hideMark/>
          </w:tcPr>
          <w:p w:rsidR="00C835A8" w:rsidRPr="00C835A8" w:rsidRDefault="00C835A8" w:rsidP="00C835A8">
            <w:pPr>
              <w:jc w:val="right"/>
              <w:rPr>
                <w:color w:val="000000"/>
                <w:sz w:val="18"/>
                <w:szCs w:val="18"/>
              </w:rPr>
            </w:pPr>
            <w:r w:rsidRPr="00C835A8">
              <w:rPr>
                <w:color w:val="000000"/>
                <w:sz w:val="18"/>
                <w:szCs w:val="18"/>
              </w:rPr>
              <w:t>100</w:t>
            </w:r>
          </w:p>
        </w:tc>
        <w:tc>
          <w:tcPr>
            <w:tcW w:w="680" w:type="dxa"/>
            <w:shd w:val="clear" w:color="auto" w:fill="D6E3BC" w:themeFill="accent3" w:themeFillTint="66"/>
            <w:noWrap/>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D6E3BC" w:themeFill="accent3" w:themeFillTint="66"/>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D6E3BC" w:themeFill="accent3" w:themeFillTint="66"/>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D6E3BC" w:themeFill="accent3" w:themeFillTint="66"/>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D6E3BC" w:themeFill="accent3" w:themeFillTint="66"/>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D6E3BC" w:themeFill="accent3" w:themeFillTint="66"/>
            <w:vAlign w:val="bottom"/>
            <w:hideMark/>
          </w:tcPr>
          <w:p w:rsidR="00C835A8" w:rsidRPr="00C835A8" w:rsidRDefault="00F200AF" w:rsidP="00C835A8">
            <w:pPr>
              <w:jc w:val="right"/>
              <w:rPr>
                <w:color w:val="000000"/>
                <w:sz w:val="18"/>
                <w:szCs w:val="18"/>
              </w:rPr>
            </w:pPr>
            <w:r>
              <w:rPr>
                <w:color w:val="000000"/>
                <w:sz w:val="18"/>
                <w:szCs w:val="18"/>
              </w:rPr>
              <w:t>100</w:t>
            </w:r>
          </w:p>
        </w:tc>
        <w:tc>
          <w:tcPr>
            <w:tcW w:w="680" w:type="dxa"/>
            <w:shd w:val="clear" w:color="auto" w:fill="D6E3BC" w:themeFill="accent3" w:themeFillTint="66"/>
            <w:vAlign w:val="bottom"/>
            <w:hideMark/>
          </w:tcPr>
          <w:p w:rsidR="00C835A8" w:rsidRPr="00C835A8" w:rsidRDefault="00F200AF" w:rsidP="00C835A8">
            <w:pPr>
              <w:jc w:val="right"/>
              <w:rPr>
                <w:color w:val="000000"/>
                <w:sz w:val="18"/>
                <w:szCs w:val="18"/>
              </w:rPr>
            </w:pPr>
            <w:r>
              <w:rPr>
                <w:color w:val="000000"/>
                <w:sz w:val="18"/>
                <w:szCs w:val="18"/>
              </w:rPr>
              <w:t>100</w:t>
            </w:r>
          </w:p>
        </w:tc>
        <w:tc>
          <w:tcPr>
            <w:tcW w:w="840" w:type="dxa"/>
            <w:shd w:val="clear" w:color="auto" w:fill="D6E3BC" w:themeFill="accent3" w:themeFillTint="66"/>
            <w:noWrap/>
            <w:vAlign w:val="bottom"/>
            <w:hideMark/>
          </w:tcPr>
          <w:p w:rsidR="00C835A8" w:rsidRPr="00C835A8" w:rsidRDefault="00C835A8" w:rsidP="00C835A8">
            <w:pPr>
              <w:jc w:val="right"/>
              <w:rPr>
                <w:color w:val="000000"/>
                <w:sz w:val="18"/>
                <w:szCs w:val="18"/>
              </w:rPr>
            </w:pPr>
            <w:r w:rsidRPr="00C835A8">
              <w:rPr>
                <w:color w:val="000000"/>
                <w:sz w:val="18"/>
                <w:szCs w:val="18"/>
              </w:rPr>
              <w:t>N/A</w:t>
            </w:r>
          </w:p>
        </w:tc>
        <w:tc>
          <w:tcPr>
            <w:tcW w:w="880" w:type="dxa"/>
            <w:shd w:val="clear" w:color="auto" w:fill="D6E3BC" w:themeFill="accent3" w:themeFillTint="66"/>
            <w:noWrap/>
            <w:vAlign w:val="bottom"/>
            <w:hideMark/>
          </w:tcPr>
          <w:p w:rsidR="00C835A8" w:rsidRPr="00C835A8" w:rsidRDefault="00C835A8" w:rsidP="00C835A8">
            <w:pPr>
              <w:jc w:val="right"/>
              <w:rPr>
                <w:color w:val="000000"/>
                <w:sz w:val="18"/>
                <w:szCs w:val="18"/>
              </w:rPr>
            </w:pPr>
            <w:r w:rsidRPr="00C835A8">
              <w:rPr>
                <w:color w:val="000000"/>
                <w:sz w:val="18"/>
                <w:szCs w:val="18"/>
              </w:rPr>
              <w:t>100</w:t>
            </w:r>
          </w:p>
        </w:tc>
      </w:tr>
      <w:tr w:rsidR="00C835A8" w:rsidRPr="00C835A8" w:rsidTr="00AF41D8">
        <w:trPr>
          <w:trHeight w:val="300"/>
        </w:trPr>
        <w:tc>
          <w:tcPr>
            <w:tcW w:w="960" w:type="dxa"/>
            <w:vMerge/>
            <w:vAlign w:val="center"/>
            <w:hideMark/>
          </w:tcPr>
          <w:p w:rsidR="00C835A8" w:rsidRPr="00C835A8" w:rsidRDefault="00C835A8" w:rsidP="00C835A8">
            <w:pPr>
              <w:rPr>
                <w:color w:val="000000"/>
                <w:sz w:val="18"/>
                <w:szCs w:val="18"/>
              </w:rPr>
            </w:pPr>
          </w:p>
        </w:tc>
        <w:tc>
          <w:tcPr>
            <w:tcW w:w="3154" w:type="dxa"/>
            <w:vMerge/>
            <w:vAlign w:val="center"/>
            <w:hideMark/>
          </w:tcPr>
          <w:p w:rsidR="00C835A8" w:rsidRPr="00C835A8" w:rsidRDefault="00C835A8" w:rsidP="00C835A8">
            <w:pPr>
              <w:rPr>
                <w:sz w:val="18"/>
                <w:szCs w:val="18"/>
              </w:rPr>
            </w:pPr>
          </w:p>
        </w:tc>
        <w:tc>
          <w:tcPr>
            <w:tcW w:w="766" w:type="dxa"/>
            <w:vMerge/>
            <w:vAlign w:val="center"/>
            <w:hideMark/>
          </w:tcPr>
          <w:p w:rsidR="00C835A8" w:rsidRPr="00C835A8" w:rsidRDefault="00C835A8" w:rsidP="00C835A8">
            <w:pPr>
              <w:rPr>
                <w:color w:val="000000"/>
                <w:sz w:val="18"/>
                <w:szCs w:val="18"/>
              </w:rPr>
            </w:pPr>
          </w:p>
        </w:tc>
        <w:tc>
          <w:tcPr>
            <w:tcW w:w="880" w:type="dxa"/>
            <w:vMerge/>
            <w:vAlign w:val="center"/>
            <w:hideMark/>
          </w:tcPr>
          <w:p w:rsidR="00C835A8" w:rsidRPr="00C835A8" w:rsidRDefault="00C835A8" w:rsidP="00C835A8">
            <w:pPr>
              <w:rPr>
                <w:color w:val="000000"/>
                <w:sz w:val="18"/>
                <w:szCs w:val="18"/>
              </w:rPr>
            </w:pPr>
          </w:p>
        </w:tc>
        <w:tc>
          <w:tcPr>
            <w:tcW w:w="960" w:type="dxa"/>
            <w:shd w:val="clear" w:color="auto" w:fill="auto"/>
            <w:noWrap/>
            <w:vAlign w:val="bottom"/>
            <w:hideMark/>
          </w:tcPr>
          <w:p w:rsidR="00C835A8" w:rsidRPr="00C835A8" w:rsidRDefault="00C835A8" w:rsidP="00C835A8">
            <w:pPr>
              <w:jc w:val="center"/>
              <w:rPr>
                <w:color w:val="000000"/>
                <w:sz w:val="18"/>
                <w:szCs w:val="18"/>
              </w:rPr>
            </w:pPr>
            <w:r w:rsidRPr="00C835A8">
              <w:rPr>
                <w:color w:val="000000"/>
                <w:sz w:val="18"/>
                <w:szCs w:val="18"/>
              </w:rPr>
              <w:t>Plánovaná</w:t>
            </w:r>
          </w:p>
        </w:tc>
        <w:tc>
          <w:tcPr>
            <w:tcW w:w="5440" w:type="dxa"/>
            <w:gridSpan w:val="8"/>
            <w:shd w:val="clear" w:color="auto" w:fill="auto"/>
            <w:noWrap/>
            <w:vAlign w:val="bottom"/>
            <w:hideMark/>
          </w:tcPr>
          <w:p w:rsidR="00C835A8" w:rsidRPr="00C835A8" w:rsidRDefault="00C835A8" w:rsidP="00C835A8">
            <w:pPr>
              <w:jc w:val="center"/>
              <w:rPr>
                <w:color w:val="000000"/>
                <w:sz w:val="18"/>
                <w:szCs w:val="18"/>
              </w:rPr>
            </w:pPr>
            <w:r w:rsidRPr="00C835A8">
              <w:rPr>
                <w:color w:val="000000"/>
                <w:sz w:val="18"/>
                <w:szCs w:val="18"/>
              </w:rPr>
              <w:t>N/A</w:t>
            </w:r>
          </w:p>
        </w:tc>
        <w:tc>
          <w:tcPr>
            <w:tcW w:w="84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75</w:t>
            </w:r>
          </w:p>
        </w:tc>
        <w:tc>
          <w:tcPr>
            <w:tcW w:w="880" w:type="dxa"/>
            <w:shd w:val="clear" w:color="auto" w:fill="auto"/>
            <w:noWrap/>
            <w:vAlign w:val="bottom"/>
            <w:hideMark/>
          </w:tcPr>
          <w:p w:rsidR="00C835A8" w:rsidRPr="00C835A8" w:rsidRDefault="00C835A8" w:rsidP="00C835A8">
            <w:pPr>
              <w:jc w:val="right"/>
              <w:rPr>
                <w:color w:val="000000"/>
                <w:sz w:val="18"/>
                <w:szCs w:val="18"/>
              </w:rPr>
            </w:pPr>
            <w:r w:rsidRPr="00C835A8">
              <w:rPr>
                <w:color w:val="000000"/>
                <w:sz w:val="18"/>
                <w:szCs w:val="18"/>
              </w:rPr>
              <w:t>75</w:t>
            </w:r>
          </w:p>
        </w:tc>
      </w:tr>
    </w:tbl>
    <w:p w:rsidR="00487714" w:rsidRPr="009026D3" w:rsidRDefault="00487714" w:rsidP="00487714">
      <w:pPr>
        <w:spacing w:line="276" w:lineRule="auto"/>
        <w:jc w:val="both"/>
        <w:rPr>
          <w:b/>
          <w:i/>
          <w:color w:val="0070C0"/>
          <w:sz w:val="18"/>
          <w:szCs w:val="18"/>
        </w:rPr>
      </w:pPr>
      <w:r w:rsidRPr="00B00087">
        <w:rPr>
          <w:i/>
          <w:sz w:val="18"/>
          <w:szCs w:val="18"/>
        </w:rPr>
        <w:t xml:space="preserve">Zdroj: MSC 2007 ke dni </w:t>
      </w:r>
      <w:r w:rsidR="005E4379">
        <w:rPr>
          <w:i/>
          <w:sz w:val="18"/>
          <w:szCs w:val="18"/>
        </w:rPr>
        <w:t>2</w:t>
      </w:r>
      <w:r w:rsidR="005E4379" w:rsidRPr="00453C61">
        <w:rPr>
          <w:i/>
          <w:sz w:val="18"/>
          <w:szCs w:val="18"/>
        </w:rPr>
        <w:t>. 3. 2015</w:t>
      </w:r>
    </w:p>
    <w:p w:rsidR="00E91432" w:rsidRPr="009026D3" w:rsidRDefault="00E91432" w:rsidP="00E91432"/>
    <w:p w:rsidR="00A75862" w:rsidRDefault="00A75862" w:rsidP="009D7E01">
      <w:pPr>
        <w:jc w:val="both"/>
      </w:pPr>
    </w:p>
    <w:p w:rsidR="00A75862" w:rsidRDefault="00A75862" w:rsidP="009D7E01">
      <w:pPr>
        <w:jc w:val="both"/>
      </w:pPr>
    </w:p>
    <w:p w:rsidR="00A75862" w:rsidRDefault="00A75862" w:rsidP="009D7E01">
      <w:pPr>
        <w:jc w:val="both"/>
      </w:pPr>
    </w:p>
    <w:p w:rsidR="00A75862" w:rsidRDefault="00A75862" w:rsidP="009D7E01">
      <w:pPr>
        <w:jc w:val="both"/>
        <w:rPr>
          <w:b/>
          <w:sz w:val="24"/>
          <w:szCs w:val="24"/>
        </w:rPr>
        <w:sectPr w:rsidR="00A75862" w:rsidSect="003F08D8">
          <w:pgSz w:w="16838" w:h="11906" w:orient="landscape"/>
          <w:pgMar w:top="1417" w:right="1417" w:bottom="1417" w:left="1417" w:header="708" w:footer="708" w:gutter="0"/>
          <w:cols w:space="708"/>
          <w:docGrid w:linePitch="272"/>
        </w:sectPr>
      </w:pPr>
    </w:p>
    <w:p w:rsidR="00A75862" w:rsidRDefault="00386E13" w:rsidP="009D7E01">
      <w:pPr>
        <w:jc w:val="both"/>
        <w:rPr>
          <w:b/>
          <w:sz w:val="24"/>
          <w:szCs w:val="24"/>
        </w:rPr>
      </w:pPr>
      <w:r w:rsidRPr="00796E0A">
        <w:rPr>
          <w:b/>
          <w:sz w:val="24"/>
          <w:szCs w:val="24"/>
        </w:rPr>
        <w:lastRenderedPageBreak/>
        <w:t>3.</w:t>
      </w:r>
      <w:r>
        <w:rPr>
          <w:b/>
          <w:sz w:val="24"/>
          <w:szCs w:val="24"/>
        </w:rPr>
        <w:t>2</w:t>
      </w:r>
      <w:r w:rsidRPr="00796E0A">
        <w:rPr>
          <w:b/>
          <w:sz w:val="24"/>
          <w:szCs w:val="24"/>
        </w:rPr>
        <w:t>.</w:t>
      </w:r>
      <w:r>
        <w:rPr>
          <w:b/>
          <w:sz w:val="24"/>
          <w:szCs w:val="24"/>
        </w:rPr>
        <w:t>1.</w:t>
      </w:r>
      <w:r w:rsidRPr="00796E0A">
        <w:rPr>
          <w:b/>
          <w:sz w:val="24"/>
          <w:szCs w:val="24"/>
        </w:rPr>
        <w:t xml:space="preserve"> B Kvalitativní</w:t>
      </w:r>
      <w:r w:rsidR="00A75862" w:rsidRPr="00796E0A">
        <w:rPr>
          <w:b/>
          <w:sz w:val="24"/>
          <w:szCs w:val="24"/>
        </w:rPr>
        <w:t xml:space="preserve"> analýza</w:t>
      </w:r>
    </w:p>
    <w:p w:rsidR="00882EDA" w:rsidRDefault="00882EDA" w:rsidP="00C12EB3">
      <w:pPr>
        <w:jc w:val="both"/>
        <w:rPr>
          <w:b/>
          <w:sz w:val="24"/>
          <w:szCs w:val="24"/>
        </w:rPr>
      </w:pPr>
    </w:p>
    <w:p w:rsidR="00A75862" w:rsidRDefault="00A75862" w:rsidP="00C12EB3">
      <w:pPr>
        <w:jc w:val="both"/>
        <w:rPr>
          <w:b/>
          <w:sz w:val="22"/>
          <w:szCs w:val="22"/>
        </w:rPr>
      </w:pPr>
      <w:r w:rsidRPr="00B52CF0">
        <w:rPr>
          <w:b/>
          <w:sz w:val="22"/>
          <w:szCs w:val="22"/>
        </w:rPr>
        <w:t>Finanční pokrok</w:t>
      </w:r>
    </w:p>
    <w:p w:rsidR="001614D7" w:rsidRDefault="005D0B45" w:rsidP="00555962">
      <w:pPr>
        <w:spacing w:after="120"/>
        <w:jc w:val="both"/>
        <w:rPr>
          <w:color w:val="0070C0"/>
          <w:sz w:val="22"/>
          <w:szCs w:val="22"/>
        </w:rPr>
      </w:pPr>
      <w:r w:rsidRPr="005D0B45">
        <w:rPr>
          <w:sz w:val="22"/>
          <w:szCs w:val="22"/>
        </w:rPr>
        <w:t>Faktory ovlivňující finanční pokrok v oblasti intervence jsou zejména veřejné zakázky, které významnou měrou zpožďují realizaci projektů a tím i čerpání finančních prostředků</w:t>
      </w:r>
      <w:r>
        <w:rPr>
          <w:color w:val="0070C0"/>
          <w:sz w:val="22"/>
          <w:szCs w:val="22"/>
        </w:rPr>
        <w:t>.</w:t>
      </w:r>
    </w:p>
    <w:p w:rsidR="007E34AA" w:rsidRPr="007E34AA" w:rsidRDefault="007E34AA" w:rsidP="00555962">
      <w:pPr>
        <w:spacing w:after="120"/>
        <w:jc w:val="both"/>
        <w:rPr>
          <w:color w:val="0070C0"/>
          <w:sz w:val="22"/>
          <w:szCs w:val="22"/>
        </w:rPr>
      </w:pPr>
    </w:p>
    <w:p w:rsidR="003D79C3" w:rsidRDefault="003D79C3" w:rsidP="00813E1E">
      <w:pPr>
        <w:pStyle w:val="Tabulkanzev"/>
      </w:pPr>
      <w:bookmarkStart w:id="168" w:name="_Toc416431830"/>
      <w:r>
        <w:t>Finanční stav PO 2 k </w:t>
      </w:r>
      <w:bookmarkEnd w:id="168"/>
      <w:r w:rsidR="00813E1E">
        <w:t>31. 12. 2014</w:t>
      </w:r>
    </w:p>
    <w:tbl>
      <w:tblPr>
        <w:tblW w:w="885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4"/>
        <w:gridCol w:w="1413"/>
        <w:gridCol w:w="1319"/>
        <w:gridCol w:w="854"/>
        <w:gridCol w:w="1342"/>
        <w:gridCol w:w="778"/>
        <w:gridCol w:w="1342"/>
        <w:gridCol w:w="754"/>
      </w:tblGrid>
      <w:tr w:rsidR="00617920" w:rsidRPr="003D79C3" w:rsidTr="00617920">
        <w:trPr>
          <w:trHeight w:val="828"/>
        </w:trPr>
        <w:tc>
          <w:tcPr>
            <w:tcW w:w="1054" w:type="dxa"/>
            <w:vMerge w:val="restart"/>
            <w:shd w:val="clear" w:color="000000" w:fill="C4D79B"/>
            <w:vAlign w:val="center"/>
            <w:hideMark/>
          </w:tcPr>
          <w:p w:rsidR="003D79C3" w:rsidRPr="003D79C3" w:rsidRDefault="003D79C3" w:rsidP="003D79C3">
            <w:pPr>
              <w:jc w:val="center"/>
              <w:rPr>
                <w:b/>
                <w:bCs/>
                <w:color w:val="000000"/>
                <w:sz w:val="18"/>
                <w:szCs w:val="18"/>
              </w:rPr>
            </w:pPr>
            <w:r w:rsidRPr="003D79C3">
              <w:rPr>
                <w:b/>
                <w:bCs/>
                <w:color w:val="000000"/>
                <w:sz w:val="18"/>
                <w:szCs w:val="18"/>
              </w:rPr>
              <w:t>Oblast podpory</w:t>
            </w:r>
          </w:p>
        </w:tc>
        <w:tc>
          <w:tcPr>
            <w:tcW w:w="1413" w:type="dxa"/>
            <w:shd w:val="clear" w:color="000000" w:fill="C4D79B"/>
            <w:vAlign w:val="center"/>
            <w:hideMark/>
          </w:tcPr>
          <w:p w:rsidR="003D79C3" w:rsidRPr="003D79C3" w:rsidRDefault="003D79C3" w:rsidP="003D79C3">
            <w:pPr>
              <w:jc w:val="center"/>
              <w:rPr>
                <w:b/>
                <w:bCs/>
                <w:color w:val="000000"/>
                <w:sz w:val="18"/>
                <w:szCs w:val="18"/>
              </w:rPr>
            </w:pPr>
            <w:r w:rsidRPr="003D79C3">
              <w:rPr>
                <w:b/>
                <w:bCs/>
                <w:color w:val="000000"/>
                <w:sz w:val="18"/>
                <w:szCs w:val="18"/>
              </w:rPr>
              <w:t>Alokace podpory 2007-2013</w:t>
            </w:r>
          </w:p>
        </w:tc>
        <w:tc>
          <w:tcPr>
            <w:tcW w:w="2173" w:type="dxa"/>
            <w:gridSpan w:val="2"/>
            <w:shd w:val="clear" w:color="000000" w:fill="C4D79B"/>
            <w:vAlign w:val="center"/>
            <w:hideMark/>
          </w:tcPr>
          <w:p w:rsidR="003D79C3" w:rsidRPr="003D79C3" w:rsidRDefault="003D79C3" w:rsidP="003D79C3">
            <w:pPr>
              <w:jc w:val="center"/>
              <w:rPr>
                <w:b/>
                <w:bCs/>
                <w:color w:val="000000"/>
                <w:sz w:val="18"/>
                <w:szCs w:val="18"/>
              </w:rPr>
            </w:pPr>
            <w:r w:rsidRPr="003D79C3">
              <w:rPr>
                <w:b/>
                <w:bCs/>
                <w:color w:val="000000"/>
                <w:sz w:val="18"/>
                <w:szCs w:val="18"/>
              </w:rPr>
              <w:t>Prostředky kryté Rozhodnutím / Smlouvou (dodatkem)</w:t>
            </w:r>
          </w:p>
        </w:tc>
        <w:tc>
          <w:tcPr>
            <w:tcW w:w="2120" w:type="dxa"/>
            <w:gridSpan w:val="2"/>
            <w:shd w:val="clear" w:color="000000" w:fill="C4D79B"/>
            <w:vAlign w:val="center"/>
            <w:hideMark/>
          </w:tcPr>
          <w:p w:rsidR="003D79C3" w:rsidRPr="003D79C3" w:rsidRDefault="003D79C3" w:rsidP="003D79C3">
            <w:pPr>
              <w:jc w:val="center"/>
              <w:rPr>
                <w:b/>
                <w:bCs/>
                <w:color w:val="000000"/>
                <w:sz w:val="18"/>
                <w:szCs w:val="18"/>
              </w:rPr>
            </w:pPr>
            <w:r w:rsidRPr="003D79C3">
              <w:rPr>
                <w:b/>
                <w:bCs/>
                <w:color w:val="000000"/>
                <w:sz w:val="18"/>
                <w:szCs w:val="18"/>
              </w:rPr>
              <w:t>Proplacené prostředky příjemcům (vyúčtované prostředky)</w:t>
            </w:r>
          </w:p>
        </w:tc>
        <w:tc>
          <w:tcPr>
            <w:tcW w:w="2096" w:type="dxa"/>
            <w:gridSpan w:val="2"/>
            <w:shd w:val="clear" w:color="000000" w:fill="C4D79B"/>
            <w:vAlign w:val="center"/>
            <w:hideMark/>
          </w:tcPr>
          <w:p w:rsidR="003D79C3" w:rsidRPr="003D79C3" w:rsidRDefault="003D79C3" w:rsidP="003D79C3">
            <w:pPr>
              <w:jc w:val="center"/>
              <w:rPr>
                <w:b/>
                <w:bCs/>
                <w:color w:val="000000"/>
                <w:sz w:val="18"/>
                <w:szCs w:val="18"/>
              </w:rPr>
            </w:pPr>
            <w:r w:rsidRPr="003D79C3">
              <w:rPr>
                <w:b/>
                <w:bCs/>
                <w:color w:val="000000"/>
                <w:sz w:val="18"/>
                <w:szCs w:val="18"/>
              </w:rPr>
              <w:t>Certifikované prostředky (včetně vratek)</w:t>
            </w:r>
          </w:p>
        </w:tc>
      </w:tr>
      <w:tr w:rsidR="003D79C3" w:rsidRPr="003D79C3" w:rsidTr="00617920">
        <w:trPr>
          <w:trHeight w:val="296"/>
        </w:trPr>
        <w:tc>
          <w:tcPr>
            <w:tcW w:w="1054" w:type="dxa"/>
            <w:vMerge/>
            <w:vAlign w:val="center"/>
            <w:hideMark/>
          </w:tcPr>
          <w:p w:rsidR="003D79C3" w:rsidRPr="003D79C3" w:rsidRDefault="003D79C3" w:rsidP="003D79C3">
            <w:pPr>
              <w:rPr>
                <w:b/>
                <w:bCs/>
                <w:color w:val="000000"/>
                <w:sz w:val="16"/>
                <w:szCs w:val="16"/>
              </w:rPr>
            </w:pPr>
          </w:p>
        </w:tc>
        <w:tc>
          <w:tcPr>
            <w:tcW w:w="1413" w:type="dxa"/>
            <w:shd w:val="clear" w:color="000000" w:fill="C4D79B"/>
            <w:vAlign w:val="bottom"/>
            <w:hideMark/>
          </w:tcPr>
          <w:p w:rsidR="003D79C3" w:rsidRPr="003D79C3" w:rsidRDefault="003D79C3" w:rsidP="003D79C3">
            <w:pPr>
              <w:jc w:val="center"/>
              <w:rPr>
                <w:color w:val="000000"/>
                <w:sz w:val="18"/>
                <w:szCs w:val="18"/>
              </w:rPr>
            </w:pPr>
            <w:r w:rsidRPr="003D79C3">
              <w:rPr>
                <w:color w:val="000000"/>
                <w:sz w:val="18"/>
                <w:szCs w:val="18"/>
              </w:rPr>
              <w:t>EUR</w:t>
            </w:r>
          </w:p>
        </w:tc>
        <w:tc>
          <w:tcPr>
            <w:tcW w:w="1319" w:type="dxa"/>
            <w:shd w:val="clear" w:color="000000" w:fill="C4D79B"/>
            <w:vAlign w:val="bottom"/>
            <w:hideMark/>
          </w:tcPr>
          <w:p w:rsidR="003D79C3" w:rsidRPr="003D79C3" w:rsidRDefault="003D79C3" w:rsidP="003D79C3">
            <w:pPr>
              <w:jc w:val="center"/>
              <w:rPr>
                <w:color w:val="000000"/>
                <w:sz w:val="18"/>
                <w:szCs w:val="18"/>
              </w:rPr>
            </w:pPr>
            <w:r w:rsidRPr="003D79C3">
              <w:rPr>
                <w:color w:val="000000"/>
                <w:sz w:val="18"/>
                <w:szCs w:val="18"/>
              </w:rPr>
              <w:t>EUR</w:t>
            </w:r>
          </w:p>
        </w:tc>
        <w:tc>
          <w:tcPr>
            <w:tcW w:w="854" w:type="dxa"/>
            <w:shd w:val="clear" w:color="000000" w:fill="C4D79B"/>
            <w:vAlign w:val="bottom"/>
            <w:hideMark/>
          </w:tcPr>
          <w:p w:rsidR="003D79C3" w:rsidRPr="003D79C3" w:rsidRDefault="003D79C3" w:rsidP="003D79C3">
            <w:pPr>
              <w:jc w:val="center"/>
              <w:rPr>
                <w:color w:val="000000"/>
                <w:sz w:val="18"/>
                <w:szCs w:val="18"/>
              </w:rPr>
            </w:pPr>
            <w:r w:rsidRPr="003D79C3">
              <w:rPr>
                <w:color w:val="000000"/>
                <w:sz w:val="18"/>
                <w:szCs w:val="18"/>
              </w:rPr>
              <w:t>%</w:t>
            </w:r>
          </w:p>
        </w:tc>
        <w:tc>
          <w:tcPr>
            <w:tcW w:w="1342" w:type="dxa"/>
            <w:shd w:val="clear" w:color="000000" w:fill="C4D79B"/>
            <w:vAlign w:val="bottom"/>
            <w:hideMark/>
          </w:tcPr>
          <w:p w:rsidR="003D79C3" w:rsidRPr="003D79C3" w:rsidRDefault="003D79C3" w:rsidP="003D79C3">
            <w:pPr>
              <w:jc w:val="center"/>
              <w:rPr>
                <w:color w:val="000000"/>
                <w:sz w:val="18"/>
                <w:szCs w:val="18"/>
              </w:rPr>
            </w:pPr>
            <w:r w:rsidRPr="003D79C3">
              <w:rPr>
                <w:color w:val="000000"/>
                <w:sz w:val="18"/>
                <w:szCs w:val="18"/>
              </w:rPr>
              <w:t>EUR</w:t>
            </w:r>
          </w:p>
        </w:tc>
        <w:tc>
          <w:tcPr>
            <w:tcW w:w="777" w:type="dxa"/>
            <w:shd w:val="clear" w:color="000000" w:fill="C4D79B"/>
            <w:vAlign w:val="bottom"/>
            <w:hideMark/>
          </w:tcPr>
          <w:p w:rsidR="003D79C3" w:rsidRPr="003D79C3" w:rsidRDefault="003D79C3" w:rsidP="003D79C3">
            <w:pPr>
              <w:jc w:val="center"/>
              <w:rPr>
                <w:color w:val="000000"/>
                <w:sz w:val="18"/>
                <w:szCs w:val="18"/>
              </w:rPr>
            </w:pPr>
            <w:r w:rsidRPr="003D79C3">
              <w:rPr>
                <w:color w:val="000000"/>
                <w:sz w:val="18"/>
                <w:szCs w:val="18"/>
              </w:rPr>
              <w:t>%</w:t>
            </w:r>
          </w:p>
        </w:tc>
        <w:tc>
          <w:tcPr>
            <w:tcW w:w="1342" w:type="dxa"/>
            <w:shd w:val="clear" w:color="000000" w:fill="C4D79B"/>
            <w:vAlign w:val="bottom"/>
            <w:hideMark/>
          </w:tcPr>
          <w:p w:rsidR="003D79C3" w:rsidRPr="003D79C3" w:rsidRDefault="003D79C3" w:rsidP="003D79C3">
            <w:pPr>
              <w:jc w:val="center"/>
              <w:rPr>
                <w:color w:val="000000"/>
                <w:sz w:val="18"/>
                <w:szCs w:val="18"/>
              </w:rPr>
            </w:pPr>
            <w:r w:rsidRPr="003D79C3">
              <w:rPr>
                <w:color w:val="000000"/>
                <w:sz w:val="18"/>
                <w:szCs w:val="18"/>
              </w:rPr>
              <w:t>EUR</w:t>
            </w:r>
          </w:p>
        </w:tc>
        <w:tc>
          <w:tcPr>
            <w:tcW w:w="754" w:type="dxa"/>
            <w:shd w:val="clear" w:color="000000" w:fill="C4D79B"/>
            <w:vAlign w:val="bottom"/>
            <w:hideMark/>
          </w:tcPr>
          <w:p w:rsidR="003D79C3" w:rsidRPr="003D79C3" w:rsidRDefault="003D79C3" w:rsidP="003D79C3">
            <w:pPr>
              <w:jc w:val="center"/>
              <w:rPr>
                <w:color w:val="000000"/>
                <w:sz w:val="18"/>
                <w:szCs w:val="18"/>
              </w:rPr>
            </w:pPr>
            <w:r w:rsidRPr="003D79C3">
              <w:rPr>
                <w:color w:val="000000"/>
                <w:sz w:val="18"/>
                <w:szCs w:val="18"/>
              </w:rPr>
              <w:t>%</w:t>
            </w:r>
          </w:p>
        </w:tc>
      </w:tr>
      <w:tr w:rsidR="003D79C3" w:rsidRPr="003D79C3" w:rsidTr="00617920">
        <w:trPr>
          <w:trHeight w:val="296"/>
        </w:trPr>
        <w:tc>
          <w:tcPr>
            <w:tcW w:w="1054" w:type="dxa"/>
            <w:vMerge/>
            <w:vAlign w:val="center"/>
            <w:hideMark/>
          </w:tcPr>
          <w:p w:rsidR="003D79C3" w:rsidRPr="003D79C3" w:rsidRDefault="003D79C3" w:rsidP="003D79C3">
            <w:pPr>
              <w:rPr>
                <w:b/>
                <w:bCs/>
                <w:color w:val="000000"/>
                <w:sz w:val="16"/>
                <w:szCs w:val="16"/>
              </w:rPr>
            </w:pPr>
          </w:p>
        </w:tc>
        <w:tc>
          <w:tcPr>
            <w:tcW w:w="1413" w:type="dxa"/>
            <w:shd w:val="clear" w:color="000000" w:fill="C4D79B"/>
            <w:vAlign w:val="bottom"/>
            <w:hideMark/>
          </w:tcPr>
          <w:p w:rsidR="003D79C3" w:rsidRPr="003D79C3" w:rsidRDefault="003D79C3" w:rsidP="003D79C3">
            <w:pPr>
              <w:jc w:val="center"/>
              <w:rPr>
                <w:b/>
                <w:bCs/>
                <w:color w:val="000000"/>
                <w:sz w:val="18"/>
                <w:szCs w:val="18"/>
              </w:rPr>
            </w:pPr>
            <w:r w:rsidRPr="003D79C3">
              <w:rPr>
                <w:b/>
                <w:bCs/>
                <w:color w:val="000000"/>
                <w:sz w:val="18"/>
                <w:szCs w:val="18"/>
              </w:rPr>
              <w:t xml:space="preserve">a </w:t>
            </w:r>
          </w:p>
        </w:tc>
        <w:tc>
          <w:tcPr>
            <w:tcW w:w="1319" w:type="dxa"/>
            <w:shd w:val="clear" w:color="000000" w:fill="C4D79B"/>
            <w:vAlign w:val="bottom"/>
            <w:hideMark/>
          </w:tcPr>
          <w:p w:rsidR="003D79C3" w:rsidRPr="003D79C3" w:rsidRDefault="003D79C3" w:rsidP="003D79C3">
            <w:pPr>
              <w:jc w:val="center"/>
              <w:rPr>
                <w:b/>
                <w:bCs/>
                <w:color w:val="000000"/>
                <w:sz w:val="18"/>
                <w:szCs w:val="18"/>
              </w:rPr>
            </w:pPr>
            <w:r w:rsidRPr="003D79C3">
              <w:rPr>
                <w:b/>
                <w:bCs/>
                <w:color w:val="000000"/>
                <w:sz w:val="18"/>
                <w:szCs w:val="18"/>
              </w:rPr>
              <w:t xml:space="preserve">b </w:t>
            </w:r>
          </w:p>
        </w:tc>
        <w:tc>
          <w:tcPr>
            <w:tcW w:w="854" w:type="dxa"/>
            <w:shd w:val="clear" w:color="000000" w:fill="C4D79B"/>
            <w:vAlign w:val="bottom"/>
            <w:hideMark/>
          </w:tcPr>
          <w:p w:rsidR="003D79C3" w:rsidRPr="003D79C3" w:rsidRDefault="003D79C3" w:rsidP="003D79C3">
            <w:pPr>
              <w:jc w:val="center"/>
              <w:rPr>
                <w:b/>
                <w:bCs/>
                <w:color w:val="000000"/>
                <w:sz w:val="18"/>
                <w:szCs w:val="18"/>
              </w:rPr>
            </w:pPr>
            <w:r w:rsidRPr="003D79C3">
              <w:rPr>
                <w:b/>
                <w:bCs/>
                <w:color w:val="000000"/>
                <w:sz w:val="18"/>
                <w:szCs w:val="18"/>
              </w:rPr>
              <w:t xml:space="preserve">b/a </w:t>
            </w:r>
          </w:p>
        </w:tc>
        <w:tc>
          <w:tcPr>
            <w:tcW w:w="1342" w:type="dxa"/>
            <w:shd w:val="clear" w:color="000000" w:fill="C4D79B"/>
            <w:vAlign w:val="bottom"/>
            <w:hideMark/>
          </w:tcPr>
          <w:p w:rsidR="003D79C3" w:rsidRPr="003D79C3" w:rsidRDefault="003D79C3" w:rsidP="003D79C3">
            <w:pPr>
              <w:jc w:val="center"/>
              <w:rPr>
                <w:b/>
                <w:bCs/>
                <w:color w:val="000000"/>
                <w:sz w:val="18"/>
                <w:szCs w:val="18"/>
              </w:rPr>
            </w:pPr>
            <w:r w:rsidRPr="003D79C3">
              <w:rPr>
                <w:b/>
                <w:bCs/>
                <w:color w:val="000000"/>
                <w:sz w:val="18"/>
                <w:szCs w:val="18"/>
              </w:rPr>
              <w:t xml:space="preserve">c </w:t>
            </w:r>
          </w:p>
        </w:tc>
        <w:tc>
          <w:tcPr>
            <w:tcW w:w="777" w:type="dxa"/>
            <w:shd w:val="clear" w:color="000000" w:fill="C4D79B"/>
            <w:vAlign w:val="bottom"/>
            <w:hideMark/>
          </w:tcPr>
          <w:p w:rsidR="003D79C3" w:rsidRPr="003D79C3" w:rsidRDefault="003D79C3" w:rsidP="003D79C3">
            <w:pPr>
              <w:jc w:val="center"/>
              <w:rPr>
                <w:b/>
                <w:bCs/>
                <w:color w:val="000000"/>
                <w:sz w:val="18"/>
                <w:szCs w:val="18"/>
              </w:rPr>
            </w:pPr>
            <w:r w:rsidRPr="003D79C3">
              <w:rPr>
                <w:b/>
                <w:bCs/>
                <w:color w:val="000000"/>
                <w:sz w:val="18"/>
                <w:szCs w:val="18"/>
              </w:rPr>
              <w:t xml:space="preserve">c/a </w:t>
            </w:r>
          </w:p>
        </w:tc>
        <w:tc>
          <w:tcPr>
            <w:tcW w:w="1342" w:type="dxa"/>
            <w:shd w:val="clear" w:color="000000" w:fill="C4D79B"/>
            <w:vAlign w:val="bottom"/>
            <w:hideMark/>
          </w:tcPr>
          <w:p w:rsidR="003D79C3" w:rsidRPr="003D79C3" w:rsidRDefault="003D79C3" w:rsidP="003D79C3">
            <w:pPr>
              <w:jc w:val="center"/>
              <w:rPr>
                <w:b/>
                <w:bCs/>
                <w:color w:val="000000"/>
                <w:sz w:val="18"/>
                <w:szCs w:val="18"/>
              </w:rPr>
            </w:pPr>
            <w:r w:rsidRPr="003D79C3">
              <w:rPr>
                <w:b/>
                <w:bCs/>
                <w:color w:val="000000"/>
                <w:sz w:val="18"/>
                <w:szCs w:val="18"/>
              </w:rPr>
              <w:t xml:space="preserve">d </w:t>
            </w:r>
          </w:p>
        </w:tc>
        <w:tc>
          <w:tcPr>
            <w:tcW w:w="754" w:type="dxa"/>
            <w:shd w:val="clear" w:color="000000" w:fill="C4D79B"/>
            <w:vAlign w:val="bottom"/>
            <w:hideMark/>
          </w:tcPr>
          <w:p w:rsidR="003D79C3" w:rsidRPr="003D79C3" w:rsidRDefault="003D79C3" w:rsidP="003D79C3">
            <w:pPr>
              <w:jc w:val="center"/>
              <w:rPr>
                <w:b/>
                <w:bCs/>
                <w:color w:val="000000"/>
                <w:sz w:val="18"/>
                <w:szCs w:val="18"/>
              </w:rPr>
            </w:pPr>
            <w:r w:rsidRPr="003D79C3">
              <w:rPr>
                <w:b/>
                <w:bCs/>
                <w:color w:val="000000"/>
                <w:sz w:val="18"/>
                <w:szCs w:val="18"/>
              </w:rPr>
              <w:t xml:space="preserve">d/a </w:t>
            </w:r>
          </w:p>
        </w:tc>
      </w:tr>
      <w:tr w:rsidR="003D79C3" w:rsidRPr="003D79C3" w:rsidTr="00617920">
        <w:trPr>
          <w:trHeight w:val="311"/>
        </w:trPr>
        <w:tc>
          <w:tcPr>
            <w:tcW w:w="1054" w:type="dxa"/>
            <w:shd w:val="clear" w:color="000000" w:fill="FFFFFF"/>
            <w:vAlign w:val="center"/>
            <w:hideMark/>
          </w:tcPr>
          <w:p w:rsidR="003D79C3" w:rsidRPr="003D79C3" w:rsidRDefault="003D79C3" w:rsidP="003D79C3">
            <w:pPr>
              <w:jc w:val="center"/>
              <w:rPr>
                <w:color w:val="000000"/>
                <w:sz w:val="18"/>
                <w:szCs w:val="18"/>
              </w:rPr>
            </w:pPr>
            <w:r w:rsidRPr="003D79C3">
              <w:rPr>
                <w:color w:val="000000"/>
                <w:sz w:val="18"/>
                <w:szCs w:val="18"/>
              </w:rPr>
              <w:t xml:space="preserve">2.1 </w:t>
            </w:r>
          </w:p>
        </w:tc>
        <w:tc>
          <w:tcPr>
            <w:tcW w:w="1413" w:type="dxa"/>
            <w:shd w:val="clear" w:color="000000" w:fill="FFFFFF"/>
            <w:noWrap/>
            <w:vAlign w:val="center"/>
            <w:hideMark/>
          </w:tcPr>
          <w:p w:rsidR="003D79C3" w:rsidRPr="003D79C3" w:rsidRDefault="003D79C3" w:rsidP="003D79C3">
            <w:pPr>
              <w:jc w:val="center"/>
              <w:rPr>
                <w:color w:val="000000"/>
                <w:sz w:val="18"/>
                <w:szCs w:val="18"/>
              </w:rPr>
            </w:pPr>
            <w:r w:rsidRPr="003D79C3">
              <w:rPr>
                <w:color w:val="000000"/>
                <w:sz w:val="18"/>
                <w:szCs w:val="18"/>
              </w:rPr>
              <w:t>174 718 668</w:t>
            </w:r>
          </w:p>
        </w:tc>
        <w:tc>
          <w:tcPr>
            <w:tcW w:w="1319" w:type="dxa"/>
            <w:shd w:val="clear" w:color="000000" w:fill="FFFFFF"/>
            <w:noWrap/>
            <w:vAlign w:val="center"/>
            <w:hideMark/>
          </w:tcPr>
          <w:p w:rsidR="003D79C3" w:rsidRPr="003D79C3" w:rsidRDefault="003D79C3" w:rsidP="003D79C3">
            <w:pPr>
              <w:jc w:val="center"/>
              <w:rPr>
                <w:color w:val="000000"/>
                <w:sz w:val="18"/>
                <w:szCs w:val="18"/>
              </w:rPr>
            </w:pPr>
            <w:r w:rsidRPr="003D79C3">
              <w:rPr>
                <w:color w:val="000000"/>
                <w:sz w:val="18"/>
                <w:szCs w:val="18"/>
              </w:rPr>
              <w:t>183 487 309</w:t>
            </w:r>
          </w:p>
        </w:tc>
        <w:tc>
          <w:tcPr>
            <w:tcW w:w="854" w:type="dxa"/>
            <w:shd w:val="clear" w:color="000000" w:fill="FFFFFF"/>
            <w:noWrap/>
            <w:vAlign w:val="center"/>
            <w:hideMark/>
          </w:tcPr>
          <w:p w:rsidR="003D79C3" w:rsidRPr="003D79C3" w:rsidRDefault="003D79C3" w:rsidP="003D79C3">
            <w:pPr>
              <w:jc w:val="center"/>
              <w:rPr>
                <w:color w:val="000000"/>
                <w:sz w:val="18"/>
                <w:szCs w:val="18"/>
              </w:rPr>
            </w:pPr>
            <w:r w:rsidRPr="003D79C3">
              <w:rPr>
                <w:color w:val="000000"/>
                <w:sz w:val="18"/>
                <w:szCs w:val="18"/>
              </w:rPr>
              <w:t>105,0%</w:t>
            </w:r>
          </w:p>
        </w:tc>
        <w:tc>
          <w:tcPr>
            <w:tcW w:w="1342" w:type="dxa"/>
            <w:shd w:val="clear" w:color="000000" w:fill="FFFFFF"/>
            <w:noWrap/>
            <w:vAlign w:val="center"/>
            <w:hideMark/>
          </w:tcPr>
          <w:p w:rsidR="003D79C3" w:rsidRPr="003D79C3" w:rsidRDefault="003D79C3" w:rsidP="003D79C3">
            <w:pPr>
              <w:jc w:val="center"/>
              <w:rPr>
                <w:color w:val="000000"/>
                <w:sz w:val="18"/>
                <w:szCs w:val="18"/>
              </w:rPr>
            </w:pPr>
            <w:r w:rsidRPr="003D79C3">
              <w:rPr>
                <w:color w:val="000000"/>
                <w:sz w:val="18"/>
                <w:szCs w:val="18"/>
              </w:rPr>
              <w:t>110 426 999</w:t>
            </w:r>
          </w:p>
        </w:tc>
        <w:tc>
          <w:tcPr>
            <w:tcW w:w="777" w:type="dxa"/>
            <w:shd w:val="clear" w:color="000000" w:fill="FFFFFF"/>
            <w:noWrap/>
            <w:vAlign w:val="center"/>
            <w:hideMark/>
          </w:tcPr>
          <w:p w:rsidR="003D79C3" w:rsidRPr="003D79C3" w:rsidRDefault="003D79C3" w:rsidP="003D79C3">
            <w:pPr>
              <w:jc w:val="center"/>
              <w:rPr>
                <w:color w:val="000000"/>
                <w:sz w:val="18"/>
                <w:szCs w:val="18"/>
              </w:rPr>
            </w:pPr>
            <w:r w:rsidRPr="003D79C3">
              <w:rPr>
                <w:color w:val="000000"/>
                <w:sz w:val="18"/>
                <w:szCs w:val="18"/>
              </w:rPr>
              <w:t>63,2%</w:t>
            </w:r>
          </w:p>
        </w:tc>
        <w:tc>
          <w:tcPr>
            <w:tcW w:w="1342" w:type="dxa"/>
            <w:shd w:val="clear" w:color="000000" w:fill="FFFFFF"/>
            <w:noWrap/>
            <w:vAlign w:val="center"/>
            <w:hideMark/>
          </w:tcPr>
          <w:p w:rsidR="003D79C3" w:rsidRPr="003D79C3" w:rsidRDefault="003D79C3" w:rsidP="003D79C3">
            <w:pPr>
              <w:jc w:val="center"/>
              <w:rPr>
                <w:color w:val="000000"/>
                <w:sz w:val="18"/>
                <w:szCs w:val="18"/>
              </w:rPr>
            </w:pPr>
            <w:r w:rsidRPr="003D79C3">
              <w:rPr>
                <w:color w:val="000000"/>
                <w:sz w:val="18"/>
                <w:szCs w:val="18"/>
              </w:rPr>
              <w:t>110 113 061</w:t>
            </w:r>
          </w:p>
        </w:tc>
        <w:tc>
          <w:tcPr>
            <w:tcW w:w="754" w:type="dxa"/>
            <w:shd w:val="clear" w:color="000000" w:fill="FFFFFF"/>
            <w:noWrap/>
            <w:vAlign w:val="center"/>
            <w:hideMark/>
          </w:tcPr>
          <w:p w:rsidR="003D79C3" w:rsidRPr="003D79C3" w:rsidRDefault="003D79C3" w:rsidP="003D79C3">
            <w:pPr>
              <w:jc w:val="center"/>
              <w:rPr>
                <w:color w:val="000000"/>
                <w:sz w:val="18"/>
                <w:szCs w:val="18"/>
              </w:rPr>
            </w:pPr>
            <w:r w:rsidRPr="003D79C3">
              <w:rPr>
                <w:color w:val="000000"/>
                <w:sz w:val="18"/>
                <w:szCs w:val="18"/>
              </w:rPr>
              <w:t>63,0%</w:t>
            </w:r>
          </w:p>
        </w:tc>
      </w:tr>
      <w:tr w:rsidR="003D79C3" w:rsidRPr="003D79C3" w:rsidTr="00617920">
        <w:trPr>
          <w:trHeight w:val="311"/>
        </w:trPr>
        <w:tc>
          <w:tcPr>
            <w:tcW w:w="1054" w:type="dxa"/>
            <w:shd w:val="clear" w:color="000000" w:fill="D9D9D9"/>
            <w:vAlign w:val="center"/>
            <w:hideMark/>
          </w:tcPr>
          <w:p w:rsidR="003D79C3" w:rsidRPr="003D79C3" w:rsidRDefault="003D79C3" w:rsidP="003D79C3">
            <w:pPr>
              <w:jc w:val="center"/>
              <w:rPr>
                <w:b/>
                <w:bCs/>
                <w:color w:val="000000"/>
                <w:sz w:val="18"/>
                <w:szCs w:val="18"/>
              </w:rPr>
            </w:pPr>
            <w:r w:rsidRPr="003D79C3">
              <w:rPr>
                <w:b/>
                <w:bCs/>
                <w:color w:val="000000"/>
                <w:sz w:val="18"/>
                <w:szCs w:val="18"/>
              </w:rPr>
              <w:t xml:space="preserve">PO </w:t>
            </w:r>
          </w:p>
        </w:tc>
        <w:tc>
          <w:tcPr>
            <w:tcW w:w="1413" w:type="dxa"/>
            <w:shd w:val="clear" w:color="000000" w:fill="D9D9D9"/>
            <w:noWrap/>
            <w:vAlign w:val="center"/>
            <w:hideMark/>
          </w:tcPr>
          <w:p w:rsidR="003D79C3" w:rsidRPr="003D79C3" w:rsidRDefault="003D79C3" w:rsidP="003D79C3">
            <w:pPr>
              <w:jc w:val="center"/>
              <w:rPr>
                <w:b/>
                <w:bCs/>
                <w:color w:val="000000"/>
                <w:sz w:val="18"/>
                <w:szCs w:val="18"/>
              </w:rPr>
            </w:pPr>
            <w:r w:rsidRPr="003D79C3">
              <w:rPr>
                <w:b/>
                <w:bCs/>
                <w:color w:val="000000"/>
                <w:sz w:val="18"/>
                <w:szCs w:val="18"/>
              </w:rPr>
              <w:t>174 718 668</w:t>
            </w:r>
          </w:p>
        </w:tc>
        <w:tc>
          <w:tcPr>
            <w:tcW w:w="1319" w:type="dxa"/>
            <w:shd w:val="clear" w:color="000000" w:fill="D9D9D9"/>
            <w:noWrap/>
            <w:vAlign w:val="center"/>
            <w:hideMark/>
          </w:tcPr>
          <w:p w:rsidR="003D79C3" w:rsidRPr="003D79C3" w:rsidRDefault="003D79C3" w:rsidP="003D79C3">
            <w:pPr>
              <w:jc w:val="center"/>
              <w:rPr>
                <w:b/>
                <w:bCs/>
                <w:color w:val="000000"/>
                <w:sz w:val="18"/>
                <w:szCs w:val="18"/>
              </w:rPr>
            </w:pPr>
            <w:r w:rsidRPr="003D79C3">
              <w:rPr>
                <w:b/>
                <w:bCs/>
                <w:color w:val="000000"/>
                <w:sz w:val="18"/>
                <w:szCs w:val="18"/>
              </w:rPr>
              <w:t>183 487 309</w:t>
            </w:r>
          </w:p>
        </w:tc>
        <w:tc>
          <w:tcPr>
            <w:tcW w:w="854" w:type="dxa"/>
            <w:shd w:val="clear" w:color="000000" w:fill="D9D9D9"/>
            <w:noWrap/>
            <w:vAlign w:val="center"/>
            <w:hideMark/>
          </w:tcPr>
          <w:p w:rsidR="003D79C3" w:rsidRPr="003D79C3" w:rsidRDefault="003D79C3" w:rsidP="003D79C3">
            <w:pPr>
              <w:jc w:val="center"/>
              <w:rPr>
                <w:b/>
                <w:bCs/>
                <w:color w:val="000000"/>
                <w:sz w:val="18"/>
                <w:szCs w:val="18"/>
              </w:rPr>
            </w:pPr>
            <w:r w:rsidRPr="003D79C3">
              <w:rPr>
                <w:b/>
                <w:bCs/>
                <w:color w:val="000000"/>
                <w:sz w:val="18"/>
                <w:szCs w:val="18"/>
              </w:rPr>
              <w:t>105,0%</w:t>
            </w:r>
          </w:p>
        </w:tc>
        <w:tc>
          <w:tcPr>
            <w:tcW w:w="1342" w:type="dxa"/>
            <w:shd w:val="clear" w:color="000000" w:fill="D9D9D9"/>
            <w:noWrap/>
            <w:vAlign w:val="center"/>
            <w:hideMark/>
          </w:tcPr>
          <w:p w:rsidR="003D79C3" w:rsidRPr="003D79C3" w:rsidRDefault="003D79C3" w:rsidP="003D79C3">
            <w:pPr>
              <w:jc w:val="center"/>
              <w:rPr>
                <w:b/>
                <w:bCs/>
                <w:color w:val="000000"/>
                <w:sz w:val="18"/>
                <w:szCs w:val="18"/>
              </w:rPr>
            </w:pPr>
            <w:r w:rsidRPr="003D79C3">
              <w:rPr>
                <w:b/>
                <w:bCs/>
                <w:color w:val="000000"/>
                <w:sz w:val="18"/>
                <w:szCs w:val="18"/>
              </w:rPr>
              <w:t>110 426 999</w:t>
            </w:r>
          </w:p>
        </w:tc>
        <w:tc>
          <w:tcPr>
            <w:tcW w:w="777" w:type="dxa"/>
            <w:shd w:val="clear" w:color="000000" w:fill="D9D9D9"/>
            <w:noWrap/>
            <w:vAlign w:val="center"/>
            <w:hideMark/>
          </w:tcPr>
          <w:p w:rsidR="003D79C3" w:rsidRPr="003D79C3" w:rsidRDefault="003D79C3" w:rsidP="003D79C3">
            <w:pPr>
              <w:jc w:val="center"/>
              <w:rPr>
                <w:b/>
                <w:bCs/>
                <w:color w:val="000000"/>
                <w:sz w:val="18"/>
                <w:szCs w:val="18"/>
              </w:rPr>
            </w:pPr>
            <w:r w:rsidRPr="003D79C3">
              <w:rPr>
                <w:b/>
                <w:bCs/>
                <w:color w:val="000000"/>
                <w:sz w:val="18"/>
                <w:szCs w:val="18"/>
              </w:rPr>
              <w:t>63,2%</w:t>
            </w:r>
          </w:p>
        </w:tc>
        <w:tc>
          <w:tcPr>
            <w:tcW w:w="1342" w:type="dxa"/>
            <w:shd w:val="clear" w:color="000000" w:fill="D9D9D9"/>
            <w:noWrap/>
            <w:vAlign w:val="center"/>
            <w:hideMark/>
          </w:tcPr>
          <w:p w:rsidR="003D79C3" w:rsidRPr="003D79C3" w:rsidRDefault="003D79C3" w:rsidP="003D79C3">
            <w:pPr>
              <w:jc w:val="center"/>
              <w:rPr>
                <w:b/>
                <w:bCs/>
                <w:color w:val="000000"/>
                <w:sz w:val="18"/>
                <w:szCs w:val="18"/>
              </w:rPr>
            </w:pPr>
            <w:r w:rsidRPr="003D79C3">
              <w:rPr>
                <w:b/>
                <w:bCs/>
                <w:color w:val="000000"/>
                <w:sz w:val="18"/>
                <w:szCs w:val="18"/>
              </w:rPr>
              <w:t>110 113 061</w:t>
            </w:r>
          </w:p>
        </w:tc>
        <w:tc>
          <w:tcPr>
            <w:tcW w:w="754" w:type="dxa"/>
            <w:shd w:val="clear" w:color="000000" w:fill="D9D9D9"/>
            <w:noWrap/>
            <w:vAlign w:val="center"/>
            <w:hideMark/>
          </w:tcPr>
          <w:p w:rsidR="003D79C3" w:rsidRPr="003D79C3" w:rsidRDefault="003D79C3" w:rsidP="003D79C3">
            <w:pPr>
              <w:jc w:val="center"/>
              <w:rPr>
                <w:b/>
                <w:bCs/>
                <w:color w:val="000000"/>
                <w:sz w:val="18"/>
                <w:szCs w:val="18"/>
              </w:rPr>
            </w:pPr>
            <w:r w:rsidRPr="003D79C3">
              <w:rPr>
                <w:b/>
                <w:bCs/>
                <w:color w:val="000000"/>
                <w:sz w:val="18"/>
                <w:szCs w:val="18"/>
              </w:rPr>
              <w:t>63,0%</w:t>
            </w:r>
          </w:p>
        </w:tc>
      </w:tr>
    </w:tbl>
    <w:p w:rsidR="00A75862" w:rsidRPr="00D95A18" w:rsidRDefault="00A75862" w:rsidP="008D0E57">
      <w:pPr>
        <w:spacing w:before="60"/>
        <w:rPr>
          <w:i/>
          <w:sz w:val="18"/>
          <w:szCs w:val="18"/>
        </w:rPr>
      </w:pPr>
      <w:r w:rsidRPr="00D95A18">
        <w:rPr>
          <w:i/>
          <w:sz w:val="18"/>
          <w:szCs w:val="18"/>
        </w:rPr>
        <w:t xml:space="preserve">Zdroj: MSC2007 ke dni </w:t>
      </w:r>
      <w:r w:rsidR="00813E1E">
        <w:rPr>
          <w:i/>
          <w:sz w:val="18"/>
          <w:szCs w:val="18"/>
        </w:rPr>
        <w:t>31</w:t>
      </w:r>
      <w:r w:rsidR="00813E1E" w:rsidRPr="00D95A18">
        <w:rPr>
          <w:i/>
          <w:sz w:val="18"/>
          <w:szCs w:val="18"/>
        </w:rPr>
        <w:t>. 12. 2014</w:t>
      </w:r>
    </w:p>
    <w:p w:rsidR="00A75862" w:rsidRPr="00D95A18" w:rsidRDefault="00A75862" w:rsidP="008D0E57">
      <w:pPr>
        <w:rPr>
          <w:i/>
          <w:sz w:val="18"/>
          <w:szCs w:val="18"/>
        </w:rPr>
      </w:pPr>
      <w:r w:rsidRPr="00D95A18">
        <w:rPr>
          <w:i/>
          <w:sz w:val="18"/>
          <w:szCs w:val="18"/>
        </w:rPr>
        <w:t xml:space="preserve">Kurz CZK/EUR: </w:t>
      </w:r>
      <w:r w:rsidR="003D79C3">
        <w:rPr>
          <w:i/>
          <w:sz w:val="18"/>
          <w:szCs w:val="18"/>
        </w:rPr>
        <w:t>27,728</w:t>
      </w:r>
    </w:p>
    <w:p w:rsidR="00124B28" w:rsidRDefault="00A7557F" w:rsidP="009026D3">
      <w:pPr>
        <w:rPr>
          <w:i/>
          <w:color w:val="000000"/>
          <w:sz w:val="18"/>
          <w:szCs w:val="18"/>
        </w:rPr>
      </w:pPr>
      <w:r w:rsidRPr="000435AC">
        <w:rPr>
          <w:i/>
          <w:color w:val="000000"/>
          <w:sz w:val="18"/>
          <w:szCs w:val="18"/>
        </w:rPr>
        <w:t xml:space="preserve">Zdroj financování: </w:t>
      </w:r>
      <w:r w:rsidR="004F2E98">
        <w:rPr>
          <w:i/>
          <w:color w:val="000000"/>
          <w:sz w:val="18"/>
          <w:szCs w:val="18"/>
        </w:rPr>
        <w:t>p</w:t>
      </w:r>
      <w:r w:rsidRPr="000435AC">
        <w:rPr>
          <w:i/>
          <w:color w:val="000000"/>
          <w:sz w:val="18"/>
          <w:szCs w:val="18"/>
        </w:rPr>
        <w:t>odíl EU</w:t>
      </w:r>
      <w:r w:rsidR="00632D57">
        <w:rPr>
          <w:i/>
          <w:color w:val="000000"/>
          <w:sz w:val="18"/>
          <w:szCs w:val="18"/>
        </w:rPr>
        <w:t xml:space="preserve"> </w:t>
      </w:r>
      <w:r w:rsidR="004F2E98">
        <w:rPr>
          <w:i/>
          <w:color w:val="000000"/>
          <w:sz w:val="18"/>
          <w:szCs w:val="18"/>
        </w:rPr>
        <w:t>+</w:t>
      </w:r>
      <w:r w:rsidR="00632D57">
        <w:rPr>
          <w:i/>
          <w:color w:val="000000"/>
          <w:sz w:val="18"/>
          <w:szCs w:val="18"/>
        </w:rPr>
        <w:t xml:space="preserve"> </w:t>
      </w:r>
      <w:r w:rsidR="004F2E98">
        <w:rPr>
          <w:i/>
          <w:color w:val="000000"/>
          <w:sz w:val="18"/>
          <w:szCs w:val="18"/>
        </w:rPr>
        <w:t>n</w:t>
      </w:r>
      <w:r>
        <w:rPr>
          <w:i/>
          <w:color w:val="000000"/>
          <w:sz w:val="18"/>
          <w:szCs w:val="18"/>
        </w:rPr>
        <w:t>árodní veřejné zdroje</w:t>
      </w:r>
      <w:r w:rsidR="00632D57">
        <w:rPr>
          <w:i/>
          <w:color w:val="000000"/>
          <w:sz w:val="18"/>
          <w:szCs w:val="18"/>
        </w:rPr>
        <w:t xml:space="preserve"> </w:t>
      </w:r>
      <w:r>
        <w:rPr>
          <w:i/>
          <w:color w:val="000000"/>
          <w:sz w:val="18"/>
          <w:szCs w:val="18"/>
        </w:rPr>
        <w:t>+</w:t>
      </w:r>
      <w:r w:rsidR="00632D57">
        <w:rPr>
          <w:i/>
          <w:color w:val="000000"/>
          <w:sz w:val="18"/>
          <w:szCs w:val="18"/>
        </w:rPr>
        <w:t xml:space="preserve"> </w:t>
      </w:r>
      <w:r w:rsidR="004F2E98">
        <w:rPr>
          <w:i/>
          <w:color w:val="000000"/>
          <w:sz w:val="18"/>
          <w:szCs w:val="18"/>
        </w:rPr>
        <w:t>s</w:t>
      </w:r>
      <w:r>
        <w:rPr>
          <w:i/>
          <w:color w:val="000000"/>
          <w:sz w:val="18"/>
          <w:szCs w:val="18"/>
        </w:rPr>
        <w:t>oukromé výdaje</w:t>
      </w:r>
      <w:r w:rsidRPr="000435AC">
        <w:rPr>
          <w:i/>
          <w:color w:val="000000"/>
          <w:sz w:val="18"/>
          <w:szCs w:val="18"/>
        </w:rPr>
        <w:t xml:space="preserve"> </w:t>
      </w:r>
    </w:p>
    <w:p w:rsidR="003D79C3" w:rsidRDefault="003D79C3" w:rsidP="009026D3">
      <w:pPr>
        <w:rPr>
          <w:i/>
          <w:color w:val="000000"/>
          <w:sz w:val="18"/>
          <w:szCs w:val="18"/>
        </w:rPr>
      </w:pPr>
    </w:p>
    <w:p w:rsidR="005D0B45" w:rsidRDefault="005D0B45" w:rsidP="009026D3">
      <w:pPr>
        <w:rPr>
          <w:i/>
          <w:color w:val="000000"/>
          <w:sz w:val="18"/>
          <w:szCs w:val="18"/>
        </w:rPr>
      </w:pPr>
    </w:p>
    <w:p w:rsidR="00C707CF" w:rsidRPr="005D0B45" w:rsidRDefault="00C707CF" w:rsidP="00C707CF">
      <w:pPr>
        <w:spacing w:after="120"/>
        <w:jc w:val="both"/>
        <w:rPr>
          <w:sz w:val="22"/>
          <w:szCs w:val="22"/>
        </w:rPr>
      </w:pPr>
      <w:r w:rsidRPr="005D0B45">
        <w:rPr>
          <w:sz w:val="22"/>
          <w:szCs w:val="22"/>
        </w:rPr>
        <w:t>K 31. 12. 2014 byly schváleny žádosti v celkové výši 155 mil. EUR, což představuje 105 % alokace pro tuto oblast intervence. V roce 2014 byl</w:t>
      </w:r>
      <w:r>
        <w:rPr>
          <w:sz w:val="22"/>
          <w:szCs w:val="22"/>
        </w:rPr>
        <w:t>o</w:t>
      </w:r>
      <w:r w:rsidRPr="005D0B45">
        <w:rPr>
          <w:sz w:val="22"/>
          <w:szCs w:val="22"/>
        </w:rPr>
        <w:t xml:space="preserve"> schválen</w:t>
      </w:r>
      <w:r>
        <w:rPr>
          <w:sz w:val="22"/>
          <w:szCs w:val="22"/>
        </w:rPr>
        <w:t>o</w:t>
      </w:r>
      <w:r w:rsidRPr="005D0B45">
        <w:rPr>
          <w:sz w:val="22"/>
          <w:szCs w:val="22"/>
        </w:rPr>
        <w:t xml:space="preserve"> 116 projektů z výzvy 22. Alokace byla mírně </w:t>
      </w:r>
      <w:proofErr w:type="spellStart"/>
      <w:r w:rsidRPr="005D0B45">
        <w:rPr>
          <w:sz w:val="22"/>
          <w:szCs w:val="22"/>
        </w:rPr>
        <w:t>přezávazkována</w:t>
      </w:r>
      <w:proofErr w:type="spellEnd"/>
      <w:r w:rsidRPr="005D0B45">
        <w:rPr>
          <w:sz w:val="22"/>
          <w:szCs w:val="22"/>
        </w:rPr>
        <w:t xml:space="preserve"> k zajištění celkového dočerpaní na konci roku 2015 </w:t>
      </w:r>
      <w:r>
        <w:rPr>
          <w:sz w:val="22"/>
          <w:szCs w:val="22"/>
        </w:rPr>
        <w:t xml:space="preserve">po </w:t>
      </w:r>
      <w:r w:rsidRPr="005D0B45">
        <w:rPr>
          <w:sz w:val="22"/>
          <w:szCs w:val="22"/>
        </w:rPr>
        <w:t>započtení předpokládaných úspor z projektů. Celkově byl</w:t>
      </w:r>
      <w:r>
        <w:rPr>
          <w:sz w:val="22"/>
          <w:szCs w:val="22"/>
        </w:rPr>
        <w:t>y</w:t>
      </w:r>
      <w:r w:rsidRPr="005D0B45">
        <w:rPr>
          <w:sz w:val="22"/>
          <w:szCs w:val="22"/>
        </w:rPr>
        <w:t xml:space="preserve"> za sledované období proplacené a certifikované výdaje za 10 procentních bodů alokace oblasti</w:t>
      </w:r>
      <w:r>
        <w:rPr>
          <w:sz w:val="22"/>
          <w:szCs w:val="22"/>
        </w:rPr>
        <w:t xml:space="preserve"> intervence</w:t>
      </w:r>
      <w:r w:rsidRPr="005D0B45">
        <w:rPr>
          <w:sz w:val="22"/>
          <w:szCs w:val="22"/>
        </w:rPr>
        <w:t>.</w:t>
      </w:r>
    </w:p>
    <w:p w:rsidR="005D0B45" w:rsidRDefault="005D0B45" w:rsidP="009026D3">
      <w:pPr>
        <w:rPr>
          <w:i/>
          <w:color w:val="000000"/>
          <w:sz w:val="18"/>
          <w:szCs w:val="18"/>
        </w:rPr>
      </w:pPr>
    </w:p>
    <w:p w:rsidR="008B1397" w:rsidRDefault="008B1397" w:rsidP="009026D3">
      <w:pPr>
        <w:rPr>
          <w:i/>
          <w:color w:val="000000"/>
          <w:sz w:val="18"/>
          <w:szCs w:val="18"/>
        </w:rPr>
      </w:pPr>
    </w:p>
    <w:p w:rsidR="008B1397" w:rsidRDefault="008B1397" w:rsidP="00813E1E">
      <w:pPr>
        <w:pStyle w:val="Tabulkanzev"/>
      </w:pPr>
      <w:bookmarkStart w:id="169" w:name="_Toc416431831"/>
      <w:r w:rsidRPr="009026D3">
        <w:t>F</w:t>
      </w:r>
      <w:r w:rsidR="00617920">
        <w:t>inanční pokrok PO 2 k </w:t>
      </w:r>
      <w:bookmarkEnd w:id="169"/>
      <w:r w:rsidR="00813E1E">
        <w:t>31. 12. 2014</w:t>
      </w:r>
    </w:p>
    <w:tbl>
      <w:tblPr>
        <w:tblW w:w="8883"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7"/>
        <w:gridCol w:w="1520"/>
        <w:gridCol w:w="1293"/>
        <w:gridCol w:w="823"/>
        <w:gridCol w:w="1475"/>
        <w:gridCol w:w="862"/>
        <w:gridCol w:w="1293"/>
        <w:gridCol w:w="720"/>
      </w:tblGrid>
      <w:tr w:rsidR="00617920" w:rsidRPr="00617920" w:rsidTr="00617920">
        <w:trPr>
          <w:trHeight w:val="789"/>
        </w:trPr>
        <w:tc>
          <w:tcPr>
            <w:tcW w:w="897" w:type="dxa"/>
            <w:vMerge w:val="restart"/>
            <w:shd w:val="clear" w:color="000000" w:fill="C4D79B"/>
            <w:vAlign w:val="center"/>
            <w:hideMark/>
          </w:tcPr>
          <w:p w:rsidR="00617920" w:rsidRPr="00617920" w:rsidRDefault="00617920" w:rsidP="00617920">
            <w:pPr>
              <w:jc w:val="center"/>
              <w:rPr>
                <w:b/>
                <w:bCs/>
                <w:color w:val="000000"/>
                <w:sz w:val="18"/>
                <w:szCs w:val="18"/>
              </w:rPr>
            </w:pPr>
            <w:r w:rsidRPr="00617920">
              <w:rPr>
                <w:b/>
                <w:bCs/>
                <w:color w:val="000000"/>
                <w:sz w:val="18"/>
                <w:szCs w:val="18"/>
              </w:rPr>
              <w:t>Oblast podpory</w:t>
            </w:r>
          </w:p>
        </w:tc>
        <w:tc>
          <w:tcPr>
            <w:tcW w:w="1520" w:type="dxa"/>
            <w:shd w:val="clear" w:color="000000" w:fill="C4D79B"/>
            <w:vAlign w:val="center"/>
            <w:hideMark/>
          </w:tcPr>
          <w:p w:rsidR="00617920" w:rsidRPr="00617920" w:rsidRDefault="00617920" w:rsidP="00617920">
            <w:pPr>
              <w:jc w:val="center"/>
              <w:rPr>
                <w:b/>
                <w:bCs/>
                <w:color w:val="000000"/>
                <w:sz w:val="18"/>
                <w:szCs w:val="18"/>
              </w:rPr>
            </w:pPr>
            <w:r w:rsidRPr="00617920">
              <w:rPr>
                <w:b/>
                <w:bCs/>
                <w:color w:val="000000"/>
                <w:sz w:val="18"/>
                <w:szCs w:val="18"/>
              </w:rPr>
              <w:t>Alokace podpory 2007-2013</w:t>
            </w:r>
          </w:p>
        </w:tc>
        <w:tc>
          <w:tcPr>
            <w:tcW w:w="2116" w:type="dxa"/>
            <w:gridSpan w:val="2"/>
            <w:shd w:val="clear" w:color="000000" w:fill="C4D79B"/>
            <w:vAlign w:val="center"/>
            <w:hideMark/>
          </w:tcPr>
          <w:p w:rsidR="00617920" w:rsidRPr="00617920" w:rsidRDefault="00617920" w:rsidP="00617920">
            <w:pPr>
              <w:jc w:val="center"/>
              <w:rPr>
                <w:b/>
                <w:bCs/>
                <w:color w:val="000000"/>
                <w:sz w:val="18"/>
                <w:szCs w:val="18"/>
              </w:rPr>
            </w:pPr>
            <w:r w:rsidRPr="00617920">
              <w:rPr>
                <w:b/>
                <w:bCs/>
                <w:color w:val="000000"/>
                <w:sz w:val="18"/>
                <w:szCs w:val="18"/>
              </w:rPr>
              <w:t>Prostředky kryté Rozhodnutím / Smlouvou (dodatkem)</w:t>
            </w:r>
          </w:p>
        </w:tc>
        <w:tc>
          <w:tcPr>
            <w:tcW w:w="2337" w:type="dxa"/>
            <w:gridSpan w:val="2"/>
            <w:shd w:val="clear" w:color="000000" w:fill="C4D79B"/>
            <w:vAlign w:val="center"/>
            <w:hideMark/>
          </w:tcPr>
          <w:p w:rsidR="00617920" w:rsidRPr="00617920" w:rsidRDefault="00617920" w:rsidP="00617920">
            <w:pPr>
              <w:jc w:val="center"/>
              <w:rPr>
                <w:b/>
                <w:bCs/>
                <w:color w:val="000000"/>
                <w:sz w:val="18"/>
                <w:szCs w:val="18"/>
              </w:rPr>
            </w:pPr>
            <w:r w:rsidRPr="00617920">
              <w:rPr>
                <w:b/>
                <w:bCs/>
                <w:color w:val="000000"/>
                <w:sz w:val="18"/>
                <w:szCs w:val="18"/>
              </w:rPr>
              <w:t>Proplacené prostředky příjemcům (vyúčtované prostředky)</w:t>
            </w:r>
          </w:p>
        </w:tc>
        <w:tc>
          <w:tcPr>
            <w:tcW w:w="2013" w:type="dxa"/>
            <w:gridSpan w:val="2"/>
            <w:shd w:val="clear" w:color="000000" w:fill="C4D79B"/>
            <w:vAlign w:val="center"/>
            <w:hideMark/>
          </w:tcPr>
          <w:p w:rsidR="00617920" w:rsidRPr="00617920" w:rsidRDefault="00617920" w:rsidP="00617920">
            <w:pPr>
              <w:jc w:val="center"/>
              <w:rPr>
                <w:b/>
                <w:bCs/>
                <w:color w:val="000000"/>
                <w:sz w:val="18"/>
                <w:szCs w:val="18"/>
              </w:rPr>
            </w:pPr>
            <w:r w:rsidRPr="00617920">
              <w:rPr>
                <w:b/>
                <w:bCs/>
                <w:color w:val="000000"/>
                <w:sz w:val="18"/>
                <w:szCs w:val="18"/>
              </w:rPr>
              <w:t>Certifikované prostředky (včetně vratek)</w:t>
            </w:r>
          </w:p>
        </w:tc>
      </w:tr>
      <w:tr w:rsidR="00617920" w:rsidRPr="00617920" w:rsidTr="00617920">
        <w:trPr>
          <w:trHeight w:val="287"/>
        </w:trPr>
        <w:tc>
          <w:tcPr>
            <w:tcW w:w="897" w:type="dxa"/>
            <w:vMerge/>
            <w:vAlign w:val="center"/>
            <w:hideMark/>
          </w:tcPr>
          <w:p w:rsidR="00617920" w:rsidRPr="00617920" w:rsidRDefault="00617920" w:rsidP="00617920">
            <w:pPr>
              <w:rPr>
                <w:b/>
                <w:bCs/>
                <w:color w:val="000000"/>
                <w:sz w:val="18"/>
                <w:szCs w:val="18"/>
              </w:rPr>
            </w:pPr>
          </w:p>
        </w:tc>
        <w:tc>
          <w:tcPr>
            <w:tcW w:w="1520" w:type="dxa"/>
            <w:shd w:val="clear" w:color="000000" w:fill="C4D79B"/>
            <w:vAlign w:val="bottom"/>
            <w:hideMark/>
          </w:tcPr>
          <w:p w:rsidR="00617920" w:rsidRPr="00617920" w:rsidRDefault="00617920" w:rsidP="00617920">
            <w:pPr>
              <w:jc w:val="center"/>
              <w:rPr>
                <w:color w:val="000000"/>
                <w:sz w:val="18"/>
                <w:szCs w:val="18"/>
              </w:rPr>
            </w:pPr>
            <w:r w:rsidRPr="00617920">
              <w:rPr>
                <w:color w:val="000000"/>
                <w:sz w:val="18"/>
                <w:szCs w:val="18"/>
              </w:rPr>
              <w:t>EUR</w:t>
            </w:r>
          </w:p>
        </w:tc>
        <w:tc>
          <w:tcPr>
            <w:tcW w:w="1293" w:type="dxa"/>
            <w:shd w:val="clear" w:color="000000" w:fill="C4D79B"/>
            <w:vAlign w:val="bottom"/>
            <w:hideMark/>
          </w:tcPr>
          <w:p w:rsidR="00617920" w:rsidRPr="00617920" w:rsidRDefault="00617920" w:rsidP="00617920">
            <w:pPr>
              <w:jc w:val="center"/>
              <w:rPr>
                <w:color w:val="000000"/>
                <w:sz w:val="18"/>
                <w:szCs w:val="18"/>
              </w:rPr>
            </w:pPr>
            <w:r w:rsidRPr="00617920">
              <w:rPr>
                <w:color w:val="000000"/>
                <w:sz w:val="18"/>
                <w:szCs w:val="18"/>
              </w:rPr>
              <w:t>EUR</w:t>
            </w:r>
          </w:p>
        </w:tc>
        <w:tc>
          <w:tcPr>
            <w:tcW w:w="822" w:type="dxa"/>
            <w:shd w:val="clear" w:color="000000" w:fill="C4D79B"/>
            <w:vAlign w:val="bottom"/>
            <w:hideMark/>
          </w:tcPr>
          <w:p w:rsidR="00617920" w:rsidRPr="00617920" w:rsidRDefault="00617920" w:rsidP="00617920">
            <w:pPr>
              <w:jc w:val="center"/>
              <w:rPr>
                <w:color w:val="000000"/>
                <w:sz w:val="18"/>
                <w:szCs w:val="18"/>
              </w:rPr>
            </w:pPr>
            <w:r w:rsidRPr="00617920">
              <w:rPr>
                <w:color w:val="000000"/>
                <w:sz w:val="18"/>
                <w:szCs w:val="18"/>
              </w:rPr>
              <w:t>%</w:t>
            </w:r>
          </w:p>
        </w:tc>
        <w:tc>
          <w:tcPr>
            <w:tcW w:w="1475" w:type="dxa"/>
            <w:shd w:val="clear" w:color="000000" w:fill="C4D79B"/>
            <w:vAlign w:val="bottom"/>
            <w:hideMark/>
          </w:tcPr>
          <w:p w:rsidR="00617920" w:rsidRPr="00617920" w:rsidRDefault="00617920" w:rsidP="00617920">
            <w:pPr>
              <w:jc w:val="center"/>
              <w:rPr>
                <w:color w:val="000000"/>
                <w:sz w:val="18"/>
                <w:szCs w:val="18"/>
              </w:rPr>
            </w:pPr>
            <w:r w:rsidRPr="00617920">
              <w:rPr>
                <w:color w:val="000000"/>
                <w:sz w:val="18"/>
                <w:szCs w:val="18"/>
              </w:rPr>
              <w:t>EUR</w:t>
            </w:r>
          </w:p>
        </w:tc>
        <w:tc>
          <w:tcPr>
            <w:tcW w:w="862" w:type="dxa"/>
            <w:shd w:val="clear" w:color="000000" w:fill="C4D79B"/>
            <w:vAlign w:val="bottom"/>
            <w:hideMark/>
          </w:tcPr>
          <w:p w:rsidR="00617920" w:rsidRPr="00617920" w:rsidRDefault="00617920" w:rsidP="00617920">
            <w:pPr>
              <w:jc w:val="center"/>
              <w:rPr>
                <w:color w:val="000000"/>
                <w:sz w:val="18"/>
                <w:szCs w:val="18"/>
              </w:rPr>
            </w:pPr>
            <w:r w:rsidRPr="00617920">
              <w:rPr>
                <w:color w:val="000000"/>
                <w:sz w:val="18"/>
                <w:szCs w:val="18"/>
              </w:rPr>
              <w:t>%</w:t>
            </w:r>
          </w:p>
        </w:tc>
        <w:tc>
          <w:tcPr>
            <w:tcW w:w="1293" w:type="dxa"/>
            <w:shd w:val="clear" w:color="000000" w:fill="C4D79B"/>
            <w:vAlign w:val="bottom"/>
            <w:hideMark/>
          </w:tcPr>
          <w:p w:rsidR="00617920" w:rsidRPr="00617920" w:rsidRDefault="00617920" w:rsidP="00617920">
            <w:pPr>
              <w:jc w:val="center"/>
              <w:rPr>
                <w:color w:val="000000"/>
                <w:sz w:val="18"/>
                <w:szCs w:val="18"/>
              </w:rPr>
            </w:pPr>
            <w:r w:rsidRPr="00617920">
              <w:rPr>
                <w:color w:val="000000"/>
                <w:sz w:val="18"/>
                <w:szCs w:val="18"/>
              </w:rPr>
              <w:t>EUR</w:t>
            </w:r>
          </w:p>
        </w:tc>
        <w:tc>
          <w:tcPr>
            <w:tcW w:w="720" w:type="dxa"/>
            <w:shd w:val="clear" w:color="000000" w:fill="C4D79B"/>
            <w:vAlign w:val="bottom"/>
            <w:hideMark/>
          </w:tcPr>
          <w:p w:rsidR="00617920" w:rsidRPr="00617920" w:rsidRDefault="00617920" w:rsidP="00617920">
            <w:pPr>
              <w:jc w:val="center"/>
              <w:rPr>
                <w:color w:val="000000"/>
                <w:sz w:val="18"/>
                <w:szCs w:val="18"/>
              </w:rPr>
            </w:pPr>
            <w:r w:rsidRPr="00617920">
              <w:rPr>
                <w:color w:val="000000"/>
                <w:sz w:val="18"/>
                <w:szCs w:val="18"/>
              </w:rPr>
              <w:t>%</w:t>
            </w:r>
          </w:p>
        </w:tc>
      </w:tr>
      <w:tr w:rsidR="00617920" w:rsidRPr="00617920" w:rsidTr="00617920">
        <w:trPr>
          <w:trHeight w:val="287"/>
        </w:trPr>
        <w:tc>
          <w:tcPr>
            <w:tcW w:w="897" w:type="dxa"/>
            <w:vMerge/>
            <w:vAlign w:val="center"/>
            <w:hideMark/>
          </w:tcPr>
          <w:p w:rsidR="00617920" w:rsidRPr="00617920" w:rsidRDefault="00617920" w:rsidP="00617920">
            <w:pPr>
              <w:rPr>
                <w:b/>
                <w:bCs/>
                <w:color w:val="000000"/>
                <w:sz w:val="18"/>
                <w:szCs w:val="18"/>
              </w:rPr>
            </w:pPr>
          </w:p>
        </w:tc>
        <w:tc>
          <w:tcPr>
            <w:tcW w:w="1520" w:type="dxa"/>
            <w:shd w:val="clear" w:color="000000" w:fill="C4D79B"/>
            <w:vAlign w:val="bottom"/>
            <w:hideMark/>
          </w:tcPr>
          <w:p w:rsidR="00617920" w:rsidRPr="00617920" w:rsidRDefault="00617920" w:rsidP="00617920">
            <w:pPr>
              <w:jc w:val="center"/>
              <w:rPr>
                <w:b/>
                <w:bCs/>
                <w:color w:val="000000"/>
                <w:sz w:val="18"/>
                <w:szCs w:val="18"/>
              </w:rPr>
            </w:pPr>
            <w:r w:rsidRPr="00617920">
              <w:rPr>
                <w:b/>
                <w:bCs/>
                <w:color w:val="000000"/>
                <w:sz w:val="18"/>
                <w:szCs w:val="18"/>
              </w:rPr>
              <w:t xml:space="preserve">a </w:t>
            </w:r>
          </w:p>
        </w:tc>
        <w:tc>
          <w:tcPr>
            <w:tcW w:w="1293" w:type="dxa"/>
            <w:shd w:val="clear" w:color="000000" w:fill="C4D79B"/>
            <w:vAlign w:val="bottom"/>
            <w:hideMark/>
          </w:tcPr>
          <w:p w:rsidR="00617920" w:rsidRPr="00617920" w:rsidRDefault="00617920" w:rsidP="00617920">
            <w:pPr>
              <w:jc w:val="center"/>
              <w:rPr>
                <w:b/>
                <w:bCs/>
                <w:color w:val="000000"/>
                <w:sz w:val="18"/>
                <w:szCs w:val="18"/>
              </w:rPr>
            </w:pPr>
            <w:r w:rsidRPr="00617920">
              <w:rPr>
                <w:b/>
                <w:bCs/>
                <w:color w:val="000000"/>
                <w:sz w:val="18"/>
                <w:szCs w:val="18"/>
              </w:rPr>
              <w:t xml:space="preserve">b </w:t>
            </w:r>
          </w:p>
        </w:tc>
        <w:tc>
          <w:tcPr>
            <w:tcW w:w="822" w:type="dxa"/>
            <w:shd w:val="clear" w:color="000000" w:fill="C4D79B"/>
            <w:vAlign w:val="bottom"/>
            <w:hideMark/>
          </w:tcPr>
          <w:p w:rsidR="00617920" w:rsidRPr="00617920" w:rsidRDefault="00617920" w:rsidP="00617920">
            <w:pPr>
              <w:jc w:val="center"/>
              <w:rPr>
                <w:b/>
                <w:bCs/>
                <w:color w:val="000000"/>
                <w:sz w:val="18"/>
                <w:szCs w:val="18"/>
              </w:rPr>
            </w:pPr>
            <w:r w:rsidRPr="00617920">
              <w:rPr>
                <w:b/>
                <w:bCs/>
                <w:color w:val="000000"/>
                <w:sz w:val="18"/>
                <w:szCs w:val="18"/>
              </w:rPr>
              <w:t xml:space="preserve">b/a </w:t>
            </w:r>
          </w:p>
        </w:tc>
        <w:tc>
          <w:tcPr>
            <w:tcW w:w="1475" w:type="dxa"/>
            <w:shd w:val="clear" w:color="000000" w:fill="C4D79B"/>
            <w:vAlign w:val="bottom"/>
            <w:hideMark/>
          </w:tcPr>
          <w:p w:rsidR="00617920" w:rsidRPr="00617920" w:rsidRDefault="00617920" w:rsidP="00617920">
            <w:pPr>
              <w:jc w:val="center"/>
              <w:rPr>
                <w:b/>
                <w:bCs/>
                <w:color w:val="000000"/>
                <w:sz w:val="18"/>
                <w:szCs w:val="18"/>
              </w:rPr>
            </w:pPr>
            <w:r w:rsidRPr="00617920">
              <w:rPr>
                <w:b/>
                <w:bCs/>
                <w:color w:val="000000"/>
                <w:sz w:val="18"/>
                <w:szCs w:val="18"/>
              </w:rPr>
              <w:t xml:space="preserve">c </w:t>
            </w:r>
          </w:p>
        </w:tc>
        <w:tc>
          <w:tcPr>
            <w:tcW w:w="862" w:type="dxa"/>
            <w:shd w:val="clear" w:color="000000" w:fill="C4D79B"/>
            <w:vAlign w:val="bottom"/>
            <w:hideMark/>
          </w:tcPr>
          <w:p w:rsidR="00617920" w:rsidRPr="00617920" w:rsidRDefault="00617920" w:rsidP="00617920">
            <w:pPr>
              <w:jc w:val="center"/>
              <w:rPr>
                <w:b/>
                <w:bCs/>
                <w:color w:val="000000"/>
                <w:sz w:val="18"/>
                <w:szCs w:val="18"/>
              </w:rPr>
            </w:pPr>
            <w:r w:rsidRPr="00617920">
              <w:rPr>
                <w:b/>
                <w:bCs/>
                <w:color w:val="000000"/>
                <w:sz w:val="18"/>
                <w:szCs w:val="18"/>
              </w:rPr>
              <w:t xml:space="preserve">c/a </w:t>
            </w:r>
          </w:p>
        </w:tc>
        <w:tc>
          <w:tcPr>
            <w:tcW w:w="1293" w:type="dxa"/>
            <w:shd w:val="clear" w:color="000000" w:fill="C4D79B"/>
            <w:vAlign w:val="bottom"/>
            <w:hideMark/>
          </w:tcPr>
          <w:p w:rsidR="00617920" w:rsidRPr="00617920" w:rsidRDefault="00617920" w:rsidP="00617920">
            <w:pPr>
              <w:jc w:val="center"/>
              <w:rPr>
                <w:b/>
                <w:bCs/>
                <w:color w:val="000000"/>
                <w:sz w:val="18"/>
                <w:szCs w:val="18"/>
              </w:rPr>
            </w:pPr>
            <w:r w:rsidRPr="00617920">
              <w:rPr>
                <w:b/>
                <w:bCs/>
                <w:color w:val="000000"/>
                <w:sz w:val="18"/>
                <w:szCs w:val="18"/>
              </w:rPr>
              <w:t xml:space="preserve">d </w:t>
            </w:r>
          </w:p>
        </w:tc>
        <w:tc>
          <w:tcPr>
            <w:tcW w:w="720" w:type="dxa"/>
            <w:shd w:val="clear" w:color="000000" w:fill="C4D79B"/>
            <w:vAlign w:val="bottom"/>
            <w:hideMark/>
          </w:tcPr>
          <w:p w:rsidR="00617920" w:rsidRPr="00617920" w:rsidRDefault="00617920" w:rsidP="00617920">
            <w:pPr>
              <w:jc w:val="center"/>
              <w:rPr>
                <w:b/>
                <w:bCs/>
                <w:color w:val="000000"/>
                <w:sz w:val="18"/>
                <w:szCs w:val="18"/>
              </w:rPr>
            </w:pPr>
            <w:r w:rsidRPr="00617920">
              <w:rPr>
                <w:b/>
                <w:bCs/>
                <w:color w:val="000000"/>
                <w:sz w:val="18"/>
                <w:szCs w:val="18"/>
              </w:rPr>
              <w:t xml:space="preserve">d/a </w:t>
            </w:r>
          </w:p>
        </w:tc>
      </w:tr>
      <w:tr w:rsidR="00617920" w:rsidRPr="00617920" w:rsidTr="00EC2FF8">
        <w:trPr>
          <w:trHeight w:val="301"/>
        </w:trPr>
        <w:tc>
          <w:tcPr>
            <w:tcW w:w="897" w:type="dxa"/>
            <w:shd w:val="clear" w:color="000000" w:fill="FFFFFF"/>
            <w:vAlign w:val="center"/>
            <w:hideMark/>
          </w:tcPr>
          <w:p w:rsidR="00617920" w:rsidRPr="00617920" w:rsidRDefault="00617920" w:rsidP="00EC2FF8">
            <w:pPr>
              <w:jc w:val="center"/>
              <w:rPr>
                <w:color w:val="000000"/>
                <w:sz w:val="18"/>
                <w:szCs w:val="18"/>
              </w:rPr>
            </w:pPr>
            <w:r w:rsidRPr="00617920">
              <w:rPr>
                <w:color w:val="000000"/>
                <w:sz w:val="18"/>
                <w:szCs w:val="18"/>
              </w:rPr>
              <w:t>2.1</w:t>
            </w:r>
          </w:p>
        </w:tc>
        <w:tc>
          <w:tcPr>
            <w:tcW w:w="1520" w:type="dxa"/>
            <w:shd w:val="clear" w:color="000000" w:fill="FFFFFF"/>
            <w:noWrap/>
            <w:vAlign w:val="center"/>
            <w:hideMark/>
          </w:tcPr>
          <w:p w:rsidR="00617920" w:rsidRPr="00617920" w:rsidRDefault="00617920" w:rsidP="00EC2FF8">
            <w:pPr>
              <w:jc w:val="center"/>
              <w:rPr>
                <w:color w:val="000000"/>
                <w:sz w:val="18"/>
                <w:szCs w:val="18"/>
              </w:rPr>
            </w:pPr>
            <w:r w:rsidRPr="00617920">
              <w:rPr>
                <w:color w:val="000000"/>
                <w:sz w:val="18"/>
                <w:szCs w:val="18"/>
              </w:rPr>
              <w:t>148 510 867</w:t>
            </w:r>
          </w:p>
        </w:tc>
        <w:tc>
          <w:tcPr>
            <w:tcW w:w="1293" w:type="dxa"/>
            <w:shd w:val="clear" w:color="000000" w:fill="FFFFFF"/>
            <w:noWrap/>
            <w:vAlign w:val="center"/>
            <w:hideMark/>
          </w:tcPr>
          <w:p w:rsidR="00617920" w:rsidRPr="00617920" w:rsidRDefault="00617920" w:rsidP="00EC2FF8">
            <w:pPr>
              <w:jc w:val="center"/>
              <w:rPr>
                <w:color w:val="000000"/>
                <w:sz w:val="18"/>
                <w:szCs w:val="18"/>
              </w:rPr>
            </w:pPr>
            <w:r w:rsidRPr="00617920">
              <w:rPr>
                <w:color w:val="000000"/>
                <w:sz w:val="18"/>
                <w:szCs w:val="18"/>
              </w:rPr>
              <w:t>155 964 076</w:t>
            </w:r>
          </w:p>
        </w:tc>
        <w:tc>
          <w:tcPr>
            <w:tcW w:w="822" w:type="dxa"/>
            <w:shd w:val="clear" w:color="000000" w:fill="FFFFFF"/>
            <w:noWrap/>
            <w:vAlign w:val="center"/>
            <w:hideMark/>
          </w:tcPr>
          <w:p w:rsidR="00617920" w:rsidRPr="00617920" w:rsidRDefault="00617920" w:rsidP="00EC2FF8">
            <w:pPr>
              <w:jc w:val="center"/>
              <w:rPr>
                <w:color w:val="000000"/>
                <w:sz w:val="18"/>
                <w:szCs w:val="18"/>
              </w:rPr>
            </w:pPr>
            <w:r w:rsidRPr="00617920">
              <w:rPr>
                <w:color w:val="000000"/>
                <w:sz w:val="18"/>
                <w:szCs w:val="18"/>
              </w:rPr>
              <w:t>105,0%</w:t>
            </w:r>
          </w:p>
        </w:tc>
        <w:tc>
          <w:tcPr>
            <w:tcW w:w="1475" w:type="dxa"/>
            <w:shd w:val="clear" w:color="000000" w:fill="FFFFFF"/>
            <w:noWrap/>
            <w:vAlign w:val="center"/>
            <w:hideMark/>
          </w:tcPr>
          <w:p w:rsidR="00617920" w:rsidRPr="00617920" w:rsidRDefault="00617920" w:rsidP="00EC2FF8">
            <w:pPr>
              <w:jc w:val="center"/>
              <w:rPr>
                <w:color w:val="000000"/>
                <w:sz w:val="18"/>
                <w:szCs w:val="18"/>
              </w:rPr>
            </w:pPr>
            <w:r w:rsidRPr="00617920">
              <w:rPr>
                <w:color w:val="000000"/>
                <w:sz w:val="18"/>
                <w:szCs w:val="18"/>
              </w:rPr>
              <w:t>93 841 502</w:t>
            </w:r>
          </w:p>
        </w:tc>
        <w:tc>
          <w:tcPr>
            <w:tcW w:w="862" w:type="dxa"/>
            <w:shd w:val="clear" w:color="000000" w:fill="FFFFFF"/>
            <w:noWrap/>
            <w:vAlign w:val="center"/>
            <w:hideMark/>
          </w:tcPr>
          <w:p w:rsidR="00617920" w:rsidRPr="00617920" w:rsidRDefault="00617920" w:rsidP="00EC2FF8">
            <w:pPr>
              <w:jc w:val="center"/>
              <w:rPr>
                <w:color w:val="000000"/>
                <w:sz w:val="18"/>
                <w:szCs w:val="18"/>
              </w:rPr>
            </w:pPr>
            <w:r w:rsidRPr="00617920">
              <w:rPr>
                <w:color w:val="000000"/>
                <w:sz w:val="18"/>
                <w:szCs w:val="18"/>
              </w:rPr>
              <w:t>63,2%</w:t>
            </w:r>
          </w:p>
        </w:tc>
        <w:tc>
          <w:tcPr>
            <w:tcW w:w="1293" w:type="dxa"/>
            <w:shd w:val="clear" w:color="000000" w:fill="FFFFFF"/>
            <w:noWrap/>
            <w:vAlign w:val="center"/>
            <w:hideMark/>
          </w:tcPr>
          <w:p w:rsidR="00617920" w:rsidRPr="00617920" w:rsidRDefault="00617920" w:rsidP="00EC2FF8">
            <w:pPr>
              <w:jc w:val="center"/>
              <w:rPr>
                <w:color w:val="000000"/>
                <w:sz w:val="18"/>
                <w:szCs w:val="18"/>
              </w:rPr>
            </w:pPr>
            <w:r w:rsidRPr="00617920">
              <w:rPr>
                <w:color w:val="000000"/>
                <w:sz w:val="18"/>
                <w:szCs w:val="18"/>
              </w:rPr>
              <w:t>93 595 972</w:t>
            </w:r>
          </w:p>
        </w:tc>
        <w:tc>
          <w:tcPr>
            <w:tcW w:w="720" w:type="dxa"/>
            <w:shd w:val="clear" w:color="000000" w:fill="FFFFFF"/>
            <w:noWrap/>
            <w:vAlign w:val="center"/>
            <w:hideMark/>
          </w:tcPr>
          <w:p w:rsidR="00617920" w:rsidRPr="00617920" w:rsidRDefault="00617920" w:rsidP="00EC2FF8">
            <w:pPr>
              <w:jc w:val="center"/>
              <w:rPr>
                <w:color w:val="000000"/>
                <w:sz w:val="18"/>
                <w:szCs w:val="18"/>
              </w:rPr>
            </w:pPr>
            <w:r w:rsidRPr="00617920">
              <w:rPr>
                <w:color w:val="000000"/>
                <w:sz w:val="18"/>
                <w:szCs w:val="18"/>
              </w:rPr>
              <w:t>63,0%</w:t>
            </w:r>
          </w:p>
        </w:tc>
      </w:tr>
      <w:tr w:rsidR="00617920" w:rsidRPr="00617920" w:rsidTr="00EC2FF8">
        <w:trPr>
          <w:trHeight w:val="301"/>
        </w:trPr>
        <w:tc>
          <w:tcPr>
            <w:tcW w:w="897" w:type="dxa"/>
            <w:shd w:val="clear" w:color="000000" w:fill="D9D9D9"/>
            <w:vAlign w:val="center"/>
            <w:hideMark/>
          </w:tcPr>
          <w:p w:rsidR="00617920" w:rsidRPr="00617920" w:rsidRDefault="00617920" w:rsidP="00EC2FF8">
            <w:pPr>
              <w:jc w:val="center"/>
              <w:rPr>
                <w:b/>
                <w:bCs/>
                <w:color w:val="000000"/>
                <w:sz w:val="18"/>
                <w:szCs w:val="18"/>
              </w:rPr>
            </w:pPr>
            <w:r w:rsidRPr="00617920">
              <w:rPr>
                <w:b/>
                <w:bCs/>
                <w:color w:val="000000"/>
                <w:sz w:val="18"/>
                <w:szCs w:val="18"/>
              </w:rPr>
              <w:t>PO 2</w:t>
            </w:r>
          </w:p>
        </w:tc>
        <w:tc>
          <w:tcPr>
            <w:tcW w:w="1520" w:type="dxa"/>
            <w:shd w:val="clear" w:color="000000" w:fill="D9D9D9"/>
            <w:noWrap/>
            <w:vAlign w:val="center"/>
            <w:hideMark/>
          </w:tcPr>
          <w:p w:rsidR="00617920" w:rsidRPr="00617920" w:rsidRDefault="00617920" w:rsidP="00EC2FF8">
            <w:pPr>
              <w:jc w:val="center"/>
              <w:rPr>
                <w:b/>
                <w:bCs/>
                <w:color w:val="000000"/>
                <w:sz w:val="18"/>
                <w:szCs w:val="18"/>
              </w:rPr>
            </w:pPr>
            <w:r w:rsidRPr="00617920">
              <w:rPr>
                <w:b/>
                <w:bCs/>
                <w:color w:val="000000"/>
                <w:sz w:val="18"/>
                <w:szCs w:val="18"/>
              </w:rPr>
              <w:t>148 510 867</w:t>
            </w:r>
          </w:p>
        </w:tc>
        <w:tc>
          <w:tcPr>
            <w:tcW w:w="1293" w:type="dxa"/>
            <w:shd w:val="clear" w:color="000000" w:fill="D9D9D9"/>
            <w:noWrap/>
            <w:vAlign w:val="center"/>
            <w:hideMark/>
          </w:tcPr>
          <w:p w:rsidR="00617920" w:rsidRPr="00617920" w:rsidRDefault="00617920" w:rsidP="00EC2FF8">
            <w:pPr>
              <w:jc w:val="center"/>
              <w:rPr>
                <w:b/>
                <w:bCs/>
                <w:color w:val="000000"/>
                <w:sz w:val="18"/>
                <w:szCs w:val="18"/>
              </w:rPr>
            </w:pPr>
            <w:r w:rsidRPr="00617920">
              <w:rPr>
                <w:b/>
                <w:bCs/>
                <w:color w:val="000000"/>
                <w:sz w:val="18"/>
                <w:szCs w:val="18"/>
              </w:rPr>
              <w:t>155 964 076</w:t>
            </w:r>
          </w:p>
        </w:tc>
        <w:tc>
          <w:tcPr>
            <w:tcW w:w="822" w:type="dxa"/>
            <w:shd w:val="clear" w:color="000000" w:fill="D9D9D9"/>
            <w:noWrap/>
            <w:vAlign w:val="center"/>
            <w:hideMark/>
          </w:tcPr>
          <w:p w:rsidR="00617920" w:rsidRPr="00617920" w:rsidRDefault="00617920" w:rsidP="00EC2FF8">
            <w:pPr>
              <w:jc w:val="center"/>
              <w:rPr>
                <w:b/>
                <w:bCs/>
                <w:color w:val="000000"/>
                <w:sz w:val="18"/>
                <w:szCs w:val="18"/>
              </w:rPr>
            </w:pPr>
            <w:r w:rsidRPr="00617920">
              <w:rPr>
                <w:b/>
                <w:bCs/>
                <w:color w:val="000000"/>
                <w:sz w:val="18"/>
                <w:szCs w:val="18"/>
              </w:rPr>
              <w:t>105,0%</w:t>
            </w:r>
          </w:p>
        </w:tc>
        <w:tc>
          <w:tcPr>
            <w:tcW w:w="1475" w:type="dxa"/>
            <w:shd w:val="clear" w:color="000000" w:fill="D9D9D9"/>
            <w:noWrap/>
            <w:vAlign w:val="center"/>
            <w:hideMark/>
          </w:tcPr>
          <w:p w:rsidR="00617920" w:rsidRPr="00617920" w:rsidRDefault="00617920" w:rsidP="00EC2FF8">
            <w:pPr>
              <w:jc w:val="center"/>
              <w:rPr>
                <w:b/>
                <w:bCs/>
                <w:color w:val="000000"/>
                <w:sz w:val="18"/>
                <w:szCs w:val="18"/>
              </w:rPr>
            </w:pPr>
            <w:r w:rsidRPr="00617920">
              <w:rPr>
                <w:b/>
                <w:bCs/>
                <w:color w:val="000000"/>
                <w:sz w:val="18"/>
                <w:szCs w:val="18"/>
              </w:rPr>
              <w:t>93 841 502</w:t>
            </w:r>
          </w:p>
        </w:tc>
        <w:tc>
          <w:tcPr>
            <w:tcW w:w="862" w:type="dxa"/>
            <w:shd w:val="clear" w:color="000000" w:fill="D9D9D9"/>
            <w:noWrap/>
            <w:vAlign w:val="center"/>
            <w:hideMark/>
          </w:tcPr>
          <w:p w:rsidR="00617920" w:rsidRPr="00617920" w:rsidRDefault="00617920" w:rsidP="00EC2FF8">
            <w:pPr>
              <w:jc w:val="center"/>
              <w:rPr>
                <w:b/>
                <w:bCs/>
                <w:color w:val="000000"/>
                <w:sz w:val="18"/>
                <w:szCs w:val="18"/>
              </w:rPr>
            </w:pPr>
            <w:r w:rsidRPr="00617920">
              <w:rPr>
                <w:b/>
                <w:bCs/>
                <w:color w:val="000000"/>
                <w:sz w:val="18"/>
                <w:szCs w:val="18"/>
              </w:rPr>
              <w:t>63,2%</w:t>
            </w:r>
          </w:p>
        </w:tc>
        <w:tc>
          <w:tcPr>
            <w:tcW w:w="1293" w:type="dxa"/>
            <w:shd w:val="clear" w:color="000000" w:fill="D9D9D9"/>
            <w:noWrap/>
            <w:vAlign w:val="center"/>
            <w:hideMark/>
          </w:tcPr>
          <w:p w:rsidR="00617920" w:rsidRPr="00617920" w:rsidRDefault="00617920" w:rsidP="00EC2FF8">
            <w:pPr>
              <w:jc w:val="center"/>
              <w:rPr>
                <w:b/>
                <w:bCs/>
                <w:color w:val="000000"/>
                <w:sz w:val="18"/>
                <w:szCs w:val="18"/>
              </w:rPr>
            </w:pPr>
            <w:r w:rsidRPr="00617920">
              <w:rPr>
                <w:b/>
                <w:bCs/>
                <w:color w:val="000000"/>
                <w:sz w:val="18"/>
                <w:szCs w:val="18"/>
              </w:rPr>
              <w:t>93 595 972</w:t>
            </w:r>
          </w:p>
        </w:tc>
        <w:tc>
          <w:tcPr>
            <w:tcW w:w="720" w:type="dxa"/>
            <w:shd w:val="clear" w:color="000000" w:fill="D9D9D9"/>
            <w:noWrap/>
            <w:vAlign w:val="center"/>
            <w:hideMark/>
          </w:tcPr>
          <w:p w:rsidR="00617920" w:rsidRPr="00617920" w:rsidRDefault="00617920" w:rsidP="00EC2FF8">
            <w:pPr>
              <w:jc w:val="center"/>
              <w:rPr>
                <w:b/>
                <w:bCs/>
                <w:color w:val="000000"/>
                <w:sz w:val="18"/>
                <w:szCs w:val="18"/>
              </w:rPr>
            </w:pPr>
            <w:r w:rsidRPr="00617920">
              <w:rPr>
                <w:b/>
                <w:bCs/>
                <w:color w:val="000000"/>
                <w:sz w:val="18"/>
                <w:szCs w:val="18"/>
              </w:rPr>
              <w:t>63,0%</w:t>
            </w:r>
          </w:p>
        </w:tc>
      </w:tr>
    </w:tbl>
    <w:p w:rsidR="00A75862" w:rsidRPr="00D95A18" w:rsidRDefault="00A75862" w:rsidP="008D0E57">
      <w:pPr>
        <w:spacing w:before="60"/>
        <w:rPr>
          <w:i/>
          <w:sz w:val="18"/>
          <w:szCs w:val="18"/>
        </w:rPr>
      </w:pPr>
      <w:r w:rsidRPr="00D95A18">
        <w:rPr>
          <w:i/>
          <w:sz w:val="18"/>
          <w:szCs w:val="18"/>
        </w:rPr>
        <w:t xml:space="preserve">Zdroj: MSC2007 ke dni </w:t>
      </w:r>
      <w:r w:rsidR="00813E1E">
        <w:rPr>
          <w:i/>
          <w:sz w:val="18"/>
          <w:szCs w:val="18"/>
        </w:rPr>
        <w:t>31</w:t>
      </w:r>
      <w:r w:rsidR="00813E1E" w:rsidRPr="00D95A18">
        <w:rPr>
          <w:i/>
          <w:sz w:val="18"/>
          <w:szCs w:val="18"/>
        </w:rPr>
        <w:t>. 12. 2014</w:t>
      </w:r>
    </w:p>
    <w:p w:rsidR="00A75862" w:rsidRPr="00D95A18" w:rsidRDefault="00A75862" w:rsidP="008D0E57">
      <w:pPr>
        <w:rPr>
          <w:i/>
          <w:sz w:val="18"/>
          <w:szCs w:val="18"/>
        </w:rPr>
      </w:pPr>
      <w:r w:rsidRPr="00D95A18">
        <w:rPr>
          <w:i/>
          <w:sz w:val="18"/>
          <w:szCs w:val="18"/>
        </w:rPr>
        <w:t xml:space="preserve">Kurz CZK/EUR: </w:t>
      </w:r>
      <w:r w:rsidR="00EC2FF8">
        <w:rPr>
          <w:i/>
          <w:sz w:val="18"/>
          <w:szCs w:val="18"/>
        </w:rPr>
        <w:t>27,728</w:t>
      </w:r>
    </w:p>
    <w:p w:rsidR="008B02C8" w:rsidRDefault="008B02C8" w:rsidP="008D0E57">
      <w:pPr>
        <w:jc w:val="both"/>
        <w:rPr>
          <w:i/>
          <w:color w:val="000000"/>
          <w:sz w:val="18"/>
          <w:szCs w:val="18"/>
        </w:rPr>
      </w:pPr>
      <w:r w:rsidRPr="000435AC">
        <w:rPr>
          <w:i/>
          <w:color w:val="000000"/>
          <w:sz w:val="18"/>
          <w:szCs w:val="18"/>
        </w:rPr>
        <w:t xml:space="preserve">Zdroj financování: </w:t>
      </w:r>
      <w:r w:rsidR="004F2E98">
        <w:rPr>
          <w:i/>
          <w:color w:val="000000"/>
          <w:sz w:val="18"/>
          <w:szCs w:val="18"/>
        </w:rPr>
        <w:t>p</w:t>
      </w:r>
      <w:r w:rsidR="003A2C08">
        <w:rPr>
          <w:i/>
          <w:color w:val="000000"/>
          <w:sz w:val="18"/>
          <w:szCs w:val="18"/>
        </w:rPr>
        <w:t>odíl EU</w:t>
      </w:r>
      <w:r w:rsidRPr="000435AC">
        <w:rPr>
          <w:i/>
          <w:color w:val="000000"/>
          <w:sz w:val="18"/>
          <w:szCs w:val="18"/>
        </w:rPr>
        <w:t xml:space="preserve"> </w:t>
      </w:r>
    </w:p>
    <w:p w:rsidR="00A75862" w:rsidRPr="00D95A18" w:rsidRDefault="00A75862" w:rsidP="008D0E57">
      <w:pPr>
        <w:jc w:val="both"/>
        <w:rPr>
          <w:sz w:val="22"/>
          <w:szCs w:val="22"/>
        </w:rPr>
      </w:pPr>
    </w:p>
    <w:p w:rsidR="004646F9" w:rsidRDefault="004646F9" w:rsidP="00C12EB3">
      <w:pPr>
        <w:jc w:val="both"/>
        <w:rPr>
          <w:sz w:val="22"/>
          <w:szCs w:val="22"/>
          <w:u w:val="single"/>
        </w:rPr>
      </w:pPr>
    </w:p>
    <w:p w:rsidR="00A75862" w:rsidRDefault="00A75862" w:rsidP="00C12EB3">
      <w:pPr>
        <w:jc w:val="both"/>
        <w:rPr>
          <w:sz w:val="22"/>
          <w:szCs w:val="22"/>
          <w:u w:val="single"/>
        </w:rPr>
      </w:pPr>
      <w:r w:rsidRPr="002D519D">
        <w:rPr>
          <w:sz w:val="22"/>
          <w:szCs w:val="22"/>
          <w:u w:val="single"/>
        </w:rPr>
        <w:t>Statistika vyřazování projektů</w:t>
      </w:r>
    </w:p>
    <w:p w:rsidR="00D96C93" w:rsidRDefault="00C707CF" w:rsidP="00A13D07">
      <w:pPr>
        <w:spacing w:after="120"/>
        <w:jc w:val="both"/>
        <w:rPr>
          <w:sz w:val="22"/>
          <w:szCs w:val="22"/>
        </w:rPr>
      </w:pPr>
      <w:r w:rsidRPr="0050559F">
        <w:rPr>
          <w:sz w:val="22"/>
          <w:szCs w:val="22"/>
        </w:rPr>
        <w:t>Ve sledovaném období odstoupilo 6 projektů. Důvode</w:t>
      </w:r>
      <w:r>
        <w:rPr>
          <w:sz w:val="22"/>
          <w:szCs w:val="22"/>
        </w:rPr>
        <w:t>m</w:t>
      </w:r>
      <w:r w:rsidRPr="0050559F">
        <w:rPr>
          <w:sz w:val="22"/>
          <w:szCs w:val="22"/>
        </w:rPr>
        <w:t xml:space="preserve"> byla nemožnost dodržet harmonogram pro potíže s veřejnými zakázkami. Docházelo k neúměrnému prodlužování jejich realizace a nebylo možné dodržet harmonogramy projektů.</w:t>
      </w:r>
    </w:p>
    <w:p w:rsidR="00A13D07" w:rsidRDefault="00A13D07" w:rsidP="00A13D07">
      <w:pPr>
        <w:spacing w:after="120"/>
        <w:jc w:val="both"/>
        <w:rPr>
          <w:sz w:val="22"/>
          <w:szCs w:val="22"/>
        </w:rPr>
      </w:pPr>
    </w:p>
    <w:p w:rsidR="00A13D07" w:rsidRDefault="00A13D07" w:rsidP="00A13D07">
      <w:pPr>
        <w:spacing w:after="120"/>
        <w:jc w:val="both"/>
        <w:rPr>
          <w:sz w:val="22"/>
          <w:szCs w:val="22"/>
        </w:rPr>
      </w:pPr>
    </w:p>
    <w:p w:rsidR="00A13D07" w:rsidRDefault="00A13D07" w:rsidP="00A13D07">
      <w:pPr>
        <w:spacing w:after="120"/>
        <w:jc w:val="both"/>
        <w:rPr>
          <w:sz w:val="22"/>
          <w:szCs w:val="22"/>
        </w:rPr>
      </w:pPr>
    </w:p>
    <w:p w:rsidR="00A13D07" w:rsidRDefault="00A13D07" w:rsidP="00A13D07">
      <w:pPr>
        <w:spacing w:after="120"/>
        <w:jc w:val="both"/>
        <w:rPr>
          <w:sz w:val="22"/>
          <w:szCs w:val="22"/>
        </w:rPr>
      </w:pPr>
    </w:p>
    <w:p w:rsidR="00A13D07" w:rsidRDefault="00A13D07" w:rsidP="00A13D07">
      <w:pPr>
        <w:spacing w:after="120"/>
        <w:jc w:val="both"/>
        <w:rPr>
          <w:sz w:val="22"/>
          <w:szCs w:val="22"/>
        </w:rPr>
      </w:pPr>
    </w:p>
    <w:p w:rsidR="00813E1E" w:rsidRPr="00C62B28" w:rsidRDefault="00813E1E" w:rsidP="00776FC8">
      <w:pPr>
        <w:rPr>
          <w:sz w:val="22"/>
          <w:szCs w:val="22"/>
        </w:rPr>
      </w:pPr>
    </w:p>
    <w:p w:rsidR="00D96C93" w:rsidRDefault="00C66053" w:rsidP="00813E1E">
      <w:pPr>
        <w:pStyle w:val="Tabulkanzev"/>
      </w:pPr>
      <w:bookmarkStart w:id="170" w:name="_Toc416431832"/>
      <w:r w:rsidRPr="00B52CF0">
        <w:lastRenderedPageBreak/>
        <w:t>Tabulka vyřazených projektů</w:t>
      </w:r>
      <w:r>
        <w:t xml:space="preserve"> v oblasti intervence 2.1</w:t>
      </w:r>
      <w:bookmarkEnd w:id="170"/>
    </w:p>
    <w:tbl>
      <w:tblPr>
        <w:tblW w:w="8949" w:type="dxa"/>
        <w:tblInd w:w="47" w:type="dxa"/>
        <w:tblCellMar>
          <w:left w:w="70" w:type="dxa"/>
          <w:right w:w="70" w:type="dxa"/>
        </w:tblCellMar>
        <w:tblLook w:val="04A0" w:firstRow="1" w:lastRow="0" w:firstColumn="1" w:lastColumn="0" w:noHBand="0" w:noVBand="1"/>
      </w:tblPr>
      <w:tblGrid>
        <w:gridCol w:w="4575"/>
        <w:gridCol w:w="1071"/>
        <w:gridCol w:w="1161"/>
        <w:gridCol w:w="1071"/>
        <w:gridCol w:w="1071"/>
      </w:tblGrid>
      <w:tr w:rsidR="00D96C93" w:rsidRPr="00D96C93" w:rsidTr="00173A1F">
        <w:trPr>
          <w:trHeight w:val="328"/>
        </w:trPr>
        <w:tc>
          <w:tcPr>
            <w:tcW w:w="8949" w:type="dxa"/>
            <w:gridSpan w:val="5"/>
            <w:tcBorders>
              <w:top w:val="double" w:sz="6" w:space="0" w:color="4F6228"/>
              <w:left w:val="double" w:sz="6" w:space="0" w:color="4F6228"/>
              <w:bottom w:val="single" w:sz="8" w:space="0" w:color="4F6228"/>
              <w:right w:val="double" w:sz="6" w:space="0" w:color="4F6228"/>
            </w:tcBorders>
            <w:shd w:val="clear" w:color="000000" w:fill="C4D79B"/>
            <w:noWrap/>
            <w:vAlign w:val="center"/>
            <w:hideMark/>
          </w:tcPr>
          <w:p w:rsidR="00D96C93" w:rsidRPr="00D96C93" w:rsidRDefault="00D96C93" w:rsidP="00D96C93">
            <w:pPr>
              <w:jc w:val="center"/>
              <w:rPr>
                <w:b/>
                <w:bCs/>
                <w:color w:val="000000"/>
              </w:rPr>
            </w:pPr>
            <w:r w:rsidRPr="00D96C93">
              <w:rPr>
                <w:b/>
                <w:bCs/>
                <w:color w:val="000000"/>
              </w:rPr>
              <w:t>Oblast podpory 2.1</w:t>
            </w:r>
          </w:p>
        </w:tc>
      </w:tr>
      <w:tr w:rsidR="00D96C93" w:rsidRPr="00D96C93" w:rsidTr="0004025B">
        <w:trPr>
          <w:trHeight w:val="1076"/>
        </w:trPr>
        <w:tc>
          <w:tcPr>
            <w:tcW w:w="4575" w:type="dxa"/>
            <w:tcBorders>
              <w:top w:val="nil"/>
              <w:left w:val="double" w:sz="6" w:space="0" w:color="4F6228"/>
              <w:bottom w:val="single" w:sz="8" w:space="0" w:color="4F6228"/>
              <w:right w:val="single" w:sz="8" w:space="0" w:color="4F6228"/>
            </w:tcBorders>
            <w:shd w:val="clear" w:color="000000" w:fill="C4D79B"/>
            <w:noWrap/>
            <w:vAlign w:val="center"/>
            <w:hideMark/>
          </w:tcPr>
          <w:p w:rsidR="00D96C93" w:rsidRPr="00D96C93" w:rsidRDefault="00D96C93" w:rsidP="00D96C93">
            <w:pPr>
              <w:jc w:val="center"/>
              <w:rPr>
                <w:b/>
                <w:bCs/>
                <w:color w:val="000000"/>
                <w:sz w:val="16"/>
                <w:szCs w:val="16"/>
              </w:rPr>
            </w:pPr>
            <w:r w:rsidRPr="00D96C93">
              <w:rPr>
                <w:b/>
                <w:bCs/>
                <w:color w:val="000000"/>
                <w:sz w:val="16"/>
                <w:szCs w:val="16"/>
              </w:rPr>
              <w:t>Stav projektů</w:t>
            </w:r>
          </w:p>
        </w:tc>
        <w:tc>
          <w:tcPr>
            <w:tcW w:w="1071" w:type="dxa"/>
            <w:tcBorders>
              <w:top w:val="nil"/>
              <w:left w:val="nil"/>
              <w:bottom w:val="single" w:sz="8" w:space="0" w:color="4F6228"/>
              <w:right w:val="single" w:sz="8" w:space="0" w:color="4F6228"/>
            </w:tcBorders>
            <w:shd w:val="clear" w:color="000000" w:fill="C4D79B"/>
            <w:vAlign w:val="center"/>
            <w:hideMark/>
          </w:tcPr>
          <w:p w:rsidR="00D96C93" w:rsidRPr="00D96C93" w:rsidRDefault="00D96C93" w:rsidP="00D96C93">
            <w:pPr>
              <w:jc w:val="center"/>
              <w:rPr>
                <w:b/>
                <w:bCs/>
                <w:color w:val="000000"/>
                <w:sz w:val="16"/>
                <w:szCs w:val="16"/>
              </w:rPr>
            </w:pPr>
            <w:r w:rsidRPr="00D96C93">
              <w:rPr>
                <w:b/>
                <w:bCs/>
                <w:color w:val="000000"/>
                <w:sz w:val="16"/>
                <w:szCs w:val="16"/>
              </w:rPr>
              <w:t>Počet projektů vyřazených za oblast podpory</w:t>
            </w:r>
          </w:p>
        </w:tc>
        <w:tc>
          <w:tcPr>
            <w:tcW w:w="1161" w:type="dxa"/>
            <w:tcBorders>
              <w:top w:val="nil"/>
              <w:left w:val="nil"/>
              <w:bottom w:val="single" w:sz="8" w:space="0" w:color="4F6228"/>
              <w:right w:val="single" w:sz="8" w:space="0" w:color="4F6228"/>
            </w:tcBorders>
            <w:shd w:val="clear" w:color="000000" w:fill="C4D79B"/>
            <w:vAlign w:val="center"/>
            <w:hideMark/>
          </w:tcPr>
          <w:p w:rsidR="00D96C93" w:rsidRPr="00D96C93" w:rsidRDefault="00D96C93" w:rsidP="00D96C93">
            <w:pPr>
              <w:jc w:val="center"/>
              <w:rPr>
                <w:b/>
                <w:bCs/>
                <w:color w:val="000000"/>
                <w:sz w:val="16"/>
                <w:szCs w:val="16"/>
              </w:rPr>
            </w:pPr>
            <w:r w:rsidRPr="00D96C93">
              <w:rPr>
                <w:b/>
                <w:bCs/>
                <w:color w:val="000000"/>
                <w:sz w:val="16"/>
                <w:szCs w:val="16"/>
              </w:rPr>
              <w:t>Podíl vyřazených projektů za oblast podpory</w:t>
            </w:r>
          </w:p>
        </w:tc>
        <w:tc>
          <w:tcPr>
            <w:tcW w:w="1071" w:type="dxa"/>
            <w:tcBorders>
              <w:top w:val="nil"/>
              <w:left w:val="nil"/>
              <w:bottom w:val="single" w:sz="8" w:space="0" w:color="4F6228"/>
              <w:right w:val="single" w:sz="8" w:space="0" w:color="4F6228"/>
            </w:tcBorders>
            <w:shd w:val="clear" w:color="000000" w:fill="C4D79B"/>
            <w:vAlign w:val="center"/>
            <w:hideMark/>
          </w:tcPr>
          <w:p w:rsidR="00D96C93" w:rsidRPr="00D96C93" w:rsidRDefault="00D96C93" w:rsidP="00D96C93">
            <w:pPr>
              <w:jc w:val="center"/>
              <w:rPr>
                <w:b/>
                <w:bCs/>
                <w:color w:val="000000"/>
                <w:sz w:val="16"/>
                <w:szCs w:val="16"/>
              </w:rPr>
            </w:pPr>
            <w:r w:rsidRPr="00D96C93">
              <w:rPr>
                <w:b/>
                <w:bCs/>
                <w:color w:val="000000"/>
                <w:sz w:val="16"/>
                <w:szCs w:val="16"/>
              </w:rPr>
              <w:t>Srovnávací hodnota podílu vyřazených projektů za celý program</w:t>
            </w:r>
          </w:p>
        </w:tc>
        <w:tc>
          <w:tcPr>
            <w:tcW w:w="1071" w:type="dxa"/>
            <w:tcBorders>
              <w:top w:val="nil"/>
              <w:left w:val="nil"/>
              <w:bottom w:val="single" w:sz="8" w:space="0" w:color="4F6228"/>
              <w:right w:val="double" w:sz="6" w:space="0" w:color="4F6228"/>
            </w:tcBorders>
            <w:shd w:val="clear" w:color="000000" w:fill="C4D79B"/>
            <w:vAlign w:val="center"/>
            <w:hideMark/>
          </w:tcPr>
          <w:p w:rsidR="00D96C93" w:rsidRPr="00D96C93" w:rsidRDefault="00D96C93" w:rsidP="00D96C93">
            <w:pPr>
              <w:jc w:val="center"/>
              <w:rPr>
                <w:b/>
                <w:bCs/>
                <w:color w:val="000000"/>
                <w:sz w:val="16"/>
                <w:szCs w:val="16"/>
              </w:rPr>
            </w:pPr>
            <w:r w:rsidRPr="00D96C93">
              <w:rPr>
                <w:b/>
                <w:bCs/>
                <w:color w:val="000000"/>
                <w:sz w:val="16"/>
                <w:szCs w:val="16"/>
              </w:rPr>
              <w:t>Počet vyřazených projektů za rok 2014</w:t>
            </w:r>
          </w:p>
        </w:tc>
      </w:tr>
      <w:tr w:rsidR="00D96C93" w:rsidRPr="00D96C93" w:rsidTr="00CE5CB4">
        <w:trPr>
          <w:trHeight w:val="462"/>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N1.1 Projektová žádost nesplnila alespoň jedno kritérium přijatelnosti</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49</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0,81%</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1,59%</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r>
      <w:tr w:rsidR="00D96C93" w:rsidRPr="00D96C93"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N1.2 Projektová žádost nesplnila formální náležitosti</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51</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0,84%</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0,75%</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r>
      <w:tr w:rsidR="00D96C93" w:rsidRPr="00D96C93" w:rsidTr="00CE5CB4">
        <w:trPr>
          <w:trHeight w:val="265"/>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N2.3 Projekt nedoporučen k financování výběrovou komisí</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0,00%</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0,41%</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r>
      <w:tr w:rsidR="00D96C93" w:rsidRPr="00D96C93"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N2.1 Projekt nesplnil podmínky hodnocení</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4</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0,07%</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3,07%</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1</w:t>
            </w:r>
          </w:p>
        </w:tc>
      </w:tr>
      <w:tr w:rsidR="00D96C93" w:rsidRPr="00D96C93" w:rsidTr="00CE5CB4">
        <w:trPr>
          <w:trHeight w:val="306"/>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N2.2 Odeslán dopis o vyřazení projektové žádosti na základě ex-ante kontroly</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0,00%</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0,30%</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r>
      <w:tr w:rsidR="00D96C93" w:rsidRPr="00D96C93" w:rsidTr="00CE5CB4">
        <w:trPr>
          <w:trHeight w:val="358"/>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N2.3 Projekt nedoporučen k financování výběrovou komisí</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1</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0,02%</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0,47%</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r>
      <w:tr w:rsidR="00D96C93" w:rsidRPr="00D96C93" w:rsidTr="00CE5CB4">
        <w:trPr>
          <w:trHeight w:val="264"/>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N4.1 Vydání rozhodnutí o poskytnutí dotace/stanovení výdajů zamítnuto</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0,00%</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0,03%</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r>
      <w:tr w:rsidR="00D96C93" w:rsidRPr="00D96C93"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N5 Projektová žádost stažena žadatelem</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190</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3,13%</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3,43%</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2</w:t>
            </w:r>
          </w:p>
        </w:tc>
      </w:tr>
      <w:tr w:rsidR="00D96C93" w:rsidRPr="00D96C93"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N7 Projekt nedokončen/stažen</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69</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1,14%</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1,92%</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3</w:t>
            </w:r>
          </w:p>
        </w:tc>
      </w:tr>
      <w:tr w:rsidR="00D96C93" w:rsidRPr="00D96C93"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D96C93" w:rsidRDefault="00D96C93" w:rsidP="00CE5CB4">
            <w:pPr>
              <w:rPr>
                <w:i/>
                <w:iCs/>
                <w:color w:val="000000"/>
                <w:sz w:val="16"/>
                <w:szCs w:val="16"/>
              </w:rPr>
            </w:pPr>
            <w:r w:rsidRPr="00D96C93">
              <w:rPr>
                <w:i/>
                <w:iCs/>
                <w:color w:val="000000"/>
                <w:sz w:val="16"/>
                <w:szCs w:val="16"/>
              </w:rPr>
              <w:t>N8 Smlouva ukončena ze strany ŘO/ZS</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1</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0,02%</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0,07%</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D96C93" w:rsidRDefault="00D96C93" w:rsidP="00D96C93">
            <w:pPr>
              <w:jc w:val="center"/>
              <w:rPr>
                <w:color w:val="000000"/>
              </w:rPr>
            </w:pPr>
            <w:r w:rsidRPr="00D96C93">
              <w:rPr>
                <w:color w:val="000000"/>
              </w:rPr>
              <w:t> </w:t>
            </w:r>
          </w:p>
        </w:tc>
      </w:tr>
      <w:tr w:rsidR="00D96C93" w:rsidRPr="00D96C93" w:rsidTr="005E645A">
        <w:trPr>
          <w:trHeight w:val="334"/>
        </w:trPr>
        <w:tc>
          <w:tcPr>
            <w:tcW w:w="4575" w:type="dxa"/>
            <w:tcBorders>
              <w:top w:val="nil"/>
              <w:left w:val="double" w:sz="6" w:space="0" w:color="4F6228"/>
              <w:bottom w:val="double" w:sz="6" w:space="0" w:color="4F6228"/>
              <w:right w:val="single" w:sz="8" w:space="0" w:color="4F6228"/>
            </w:tcBorders>
            <w:shd w:val="clear" w:color="000000" w:fill="C4D79B"/>
            <w:vAlign w:val="center"/>
            <w:hideMark/>
          </w:tcPr>
          <w:p w:rsidR="00D96C93" w:rsidRPr="00D96C93" w:rsidRDefault="00D96C93" w:rsidP="00D96C93">
            <w:pPr>
              <w:rPr>
                <w:b/>
                <w:bCs/>
                <w:i/>
                <w:iCs/>
                <w:color w:val="000000"/>
              </w:rPr>
            </w:pPr>
            <w:r w:rsidRPr="00D96C93">
              <w:rPr>
                <w:b/>
                <w:bCs/>
                <w:i/>
                <w:iCs/>
                <w:color w:val="000000"/>
              </w:rPr>
              <w:t>Celkem</w:t>
            </w:r>
          </w:p>
        </w:tc>
        <w:tc>
          <w:tcPr>
            <w:tcW w:w="1071" w:type="dxa"/>
            <w:tcBorders>
              <w:top w:val="nil"/>
              <w:left w:val="nil"/>
              <w:bottom w:val="double" w:sz="6" w:space="0" w:color="4F6228"/>
              <w:right w:val="single" w:sz="8" w:space="0" w:color="4F6228"/>
            </w:tcBorders>
            <w:shd w:val="clear" w:color="000000" w:fill="C4D79B"/>
            <w:noWrap/>
            <w:vAlign w:val="center"/>
            <w:hideMark/>
          </w:tcPr>
          <w:p w:rsidR="00D96C93" w:rsidRPr="00D96C93" w:rsidRDefault="00D96C93" w:rsidP="00173A1F">
            <w:pPr>
              <w:jc w:val="center"/>
              <w:rPr>
                <w:b/>
                <w:bCs/>
                <w:color w:val="000000"/>
              </w:rPr>
            </w:pPr>
            <w:r w:rsidRPr="00D96C93">
              <w:rPr>
                <w:b/>
                <w:bCs/>
                <w:color w:val="000000"/>
              </w:rPr>
              <w:t>365</w:t>
            </w:r>
          </w:p>
        </w:tc>
        <w:tc>
          <w:tcPr>
            <w:tcW w:w="1161" w:type="dxa"/>
            <w:tcBorders>
              <w:top w:val="nil"/>
              <w:left w:val="nil"/>
              <w:bottom w:val="double" w:sz="6" w:space="0" w:color="4F6228"/>
              <w:right w:val="single" w:sz="8" w:space="0" w:color="4F6228"/>
            </w:tcBorders>
            <w:shd w:val="clear" w:color="000000" w:fill="C4D79B"/>
            <w:noWrap/>
            <w:vAlign w:val="center"/>
            <w:hideMark/>
          </w:tcPr>
          <w:p w:rsidR="00D96C93" w:rsidRPr="00D96C93" w:rsidRDefault="00D96C93" w:rsidP="00173A1F">
            <w:pPr>
              <w:jc w:val="center"/>
              <w:rPr>
                <w:b/>
                <w:bCs/>
                <w:color w:val="000000"/>
              </w:rPr>
            </w:pPr>
            <w:r w:rsidRPr="00D96C93">
              <w:rPr>
                <w:b/>
                <w:bCs/>
                <w:color w:val="000000"/>
              </w:rPr>
              <w:t>6,01%</w:t>
            </w:r>
          </w:p>
        </w:tc>
        <w:tc>
          <w:tcPr>
            <w:tcW w:w="1071" w:type="dxa"/>
            <w:tcBorders>
              <w:top w:val="nil"/>
              <w:left w:val="nil"/>
              <w:bottom w:val="double" w:sz="6" w:space="0" w:color="4F6228"/>
              <w:right w:val="single" w:sz="8" w:space="0" w:color="4F6228"/>
            </w:tcBorders>
            <w:shd w:val="clear" w:color="000000" w:fill="C4D79B"/>
            <w:noWrap/>
            <w:vAlign w:val="center"/>
            <w:hideMark/>
          </w:tcPr>
          <w:p w:rsidR="00D96C93" w:rsidRPr="00D96C93" w:rsidRDefault="00D96C93" w:rsidP="00173A1F">
            <w:pPr>
              <w:jc w:val="center"/>
              <w:rPr>
                <w:b/>
                <w:bCs/>
                <w:color w:val="000000"/>
              </w:rPr>
            </w:pPr>
            <w:r w:rsidRPr="00D96C93">
              <w:rPr>
                <w:b/>
                <w:bCs/>
                <w:color w:val="000000"/>
              </w:rPr>
              <w:t>12,05%</w:t>
            </w:r>
          </w:p>
        </w:tc>
        <w:tc>
          <w:tcPr>
            <w:tcW w:w="1071" w:type="dxa"/>
            <w:tcBorders>
              <w:top w:val="nil"/>
              <w:left w:val="nil"/>
              <w:bottom w:val="double" w:sz="6" w:space="0" w:color="4F6228"/>
              <w:right w:val="double" w:sz="6" w:space="0" w:color="4F6228"/>
            </w:tcBorders>
            <w:shd w:val="clear" w:color="000000" w:fill="C4D79B"/>
            <w:noWrap/>
            <w:vAlign w:val="center"/>
            <w:hideMark/>
          </w:tcPr>
          <w:p w:rsidR="00D96C93" w:rsidRPr="00D96C93" w:rsidRDefault="00D96C93" w:rsidP="00173A1F">
            <w:pPr>
              <w:jc w:val="center"/>
              <w:rPr>
                <w:b/>
                <w:bCs/>
                <w:color w:val="000000"/>
              </w:rPr>
            </w:pPr>
            <w:r w:rsidRPr="00D96C93">
              <w:rPr>
                <w:b/>
                <w:bCs/>
                <w:color w:val="000000"/>
              </w:rPr>
              <w:t>6</w:t>
            </w:r>
          </w:p>
        </w:tc>
      </w:tr>
    </w:tbl>
    <w:p w:rsidR="00A75862" w:rsidRDefault="00C66053" w:rsidP="007533F6">
      <w:pPr>
        <w:rPr>
          <w:i/>
          <w:color w:val="000000"/>
          <w:sz w:val="18"/>
          <w:szCs w:val="18"/>
        </w:rPr>
      </w:pPr>
      <w:r w:rsidRPr="00555962">
        <w:rPr>
          <w:i/>
          <w:color w:val="000000"/>
          <w:sz w:val="18"/>
          <w:szCs w:val="18"/>
        </w:rPr>
        <w:t xml:space="preserve">Zdroj: IS Monit7+ IOP k </w:t>
      </w:r>
      <w:r w:rsidR="00813E1E" w:rsidRPr="00555962">
        <w:rPr>
          <w:i/>
          <w:color w:val="000000"/>
          <w:sz w:val="18"/>
          <w:szCs w:val="18"/>
        </w:rPr>
        <w:t>2. 1. 2014</w:t>
      </w:r>
    </w:p>
    <w:p w:rsidR="00A75862" w:rsidRDefault="00A75862" w:rsidP="00932CC2">
      <w:pPr>
        <w:jc w:val="both"/>
        <w:rPr>
          <w:b/>
          <w:sz w:val="22"/>
          <w:szCs w:val="22"/>
        </w:rPr>
      </w:pPr>
    </w:p>
    <w:p w:rsidR="009A17BE" w:rsidRDefault="009A17BE" w:rsidP="00932CC2">
      <w:pPr>
        <w:jc w:val="both"/>
        <w:rPr>
          <w:b/>
          <w:sz w:val="22"/>
          <w:szCs w:val="22"/>
        </w:rPr>
      </w:pPr>
    </w:p>
    <w:p w:rsidR="00A75862" w:rsidRPr="002422B3" w:rsidRDefault="00A75862" w:rsidP="00932CC2">
      <w:pPr>
        <w:jc w:val="both"/>
        <w:rPr>
          <w:b/>
          <w:sz w:val="22"/>
          <w:szCs w:val="22"/>
        </w:rPr>
      </w:pPr>
      <w:r w:rsidRPr="00BD1C23">
        <w:rPr>
          <w:b/>
          <w:sz w:val="22"/>
          <w:szCs w:val="22"/>
        </w:rPr>
        <w:t>Naplňování horizontálních témat</w:t>
      </w:r>
    </w:p>
    <w:p w:rsidR="00A75862" w:rsidRDefault="00A75862" w:rsidP="00932CC2">
      <w:pPr>
        <w:jc w:val="both"/>
        <w:rPr>
          <w:sz w:val="22"/>
          <w:szCs w:val="22"/>
        </w:rPr>
      </w:pPr>
    </w:p>
    <w:p w:rsidR="00A75862" w:rsidRDefault="00A75862" w:rsidP="00932CC2">
      <w:pPr>
        <w:jc w:val="both"/>
        <w:rPr>
          <w:sz w:val="22"/>
          <w:szCs w:val="22"/>
          <w:u w:val="single"/>
        </w:rPr>
      </w:pPr>
      <w:r w:rsidRPr="002422B3">
        <w:rPr>
          <w:sz w:val="22"/>
          <w:szCs w:val="22"/>
          <w:u w:val="single"/>
        </w:rPr>
        <w:t>Rovné příležitosti</w:t>
      </w:r>
    </w:p>
    <w:p w:rsidR="009A17BE" w:rsidRDefault="00A75862" w:rsidP="008B0851">
      <w:pPr>
        <w:spacing w:after="120"/>
        <w:jc w:val="both"/>
        <w:rPr>
          <w:sz w:val="22"/>
          <w:szCs w:val="22"/>
        </w:rPr>
      </w:pPr>
      <w:r>
        <w:rPr>
          <w:sz w:val="22"/>
          <w:szCs w:val="22"/>
        </w:rPr>
        <w:t>Projekty schválené v prioritní ose 2 do konce roku 201</w:t>
      </w:r>
      <w:r w:rsidR="003506C9">
        <w:rPr>
          <w:sz w:val="22"/>
          <w:szCs w:val="22"/>
        </w:rPr>
        <w:t>4</w:t>
      </w:r>
      <w:r>
        <w:rPr>
          <w:sz w:val="22"/>
          <w:szCs w:val="22"/>
        </w:rPr>
        <w:t xml:space="preserve"> mají v 5 </w:t>
      </w:r>
      <w:r w:rsidR="00E43B21">
        <w:rPr>
          <w:sz w:val="22"/>
          <w:szCs w:val="22"/>
        </w:rPr>
        <w:t>29</w:t>
      </w:r>
      <w:r w:rsidR="003506C9">
        <w:rPr>
          <w:sz w:val="22"/>
          <w:szCs w:val="22"/>
        </w:rPr>
        <w:t>3</w:t>
      </w:r>
      <w:r>
        <w:rPr>
          <w:sz w:val="22"/>
          <w:szCs w:val="22"/>
        </w:rPr>
        <w:t xml:space="preserve"> případech pozitivní vliv na rovné příležitosti (z nich </w:t>
      </w:r>
      <w:r w:rsidR="00826C1F">
        <w:rPr>
          <w:sz w:val="22"/>
          <w:szCs w:val="22"/>
        </w:rPr>
        <w:t xml:space="preserve">je </w:t>
      </w:r>
      <w:r>
        <w:rPr>
          <w:sz w:val="22"/>
          <w:szCs w:val="22"/>
        </w:rPr>
        <w:t xml:space="preserve">5 272 typových projektů </w:t>
      </w:r>
      <w:proofErr w:type="spellStart"/>
      <w:r>
        <w:rPr>
          <w:sz w:val="22"/>
          <w:szCs w:val="22"/>
        </w:rPr>
        <w:t>CzechP</w:t>
      </w:r>
      <w:r w:rsidR="00FB072C">
        <w:rPr>
          <w:sz w:val="22"/>
          <w:szCs w:val="22"/>
        </w:rPr>
        <w:t>OINT</w:t>
      </w:r>
      <w:proofErr w:type="spellEnd"/>
      <w:r>
        <w:rPr>
          <w:sz w:val="22"/>
          <w:szCs w:val="22"/>
        </w:rPr>
        <w:t xml:space="preserve">), ostatních </w:t>
      </w:r>
      <w:r w:rsidR="003506C9">
        <w:rPr>
          <w:sz w:val="22"/>
          <w:szCs w:val="22"/>
        </w:rPr>
        <w:t>311</w:t>
      </w:r>
      <w:r>
        <w:rPr>
          <w:sz w:val="22"/>
          <w:szCs w:val="22"/>
        </w:rPr>
        <w:t xml:space="preserve"> projektů má neutrální vliv na rovné příležitosti.</w:t>
      </w:r>
    </w:p>
    <w:p w:rsidR="008B1397" w:rsidRPr="009026D3" w:rsidRDefault="008B1397" w:rsidP="00813E1E">
      <w:pPr>
        <w:pStyle w:val="Tabulkanzev"/>
      </w:pPr>
      <w:bookmarkStart w:id="171" w:name="_Toc416431833"/>
      <w:r w:rsidRPr="009026D3">
        <w:t>Rovné příležitosti</w:t>
      </w:r>
      <w:r w:rsidR="00C61D01">
        <w:t xml:space="preserve"> v prioritní ose 2</w:t>
      </w:r>
      <w:bookmarkEnd w:id="171"/>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7427C5" w:rsidTr="00663C99">
        <w:trPr>
          <w:trHeight w:val="270"/>
        </w:trPr>
        <w:tc>
          <w:tcPr>
            <w:tcW w:w="5260" w:type="dxa"/>
            <w:shd w:val="clear" w:color="auto" w:fill="C2D69B" w:themeFill="accent3" w:themeFillTint="99"/>
            <w:vAlign w:val="center"/>
          </w:tcPr>
          <w:p w:rsidR="00A75862" w:rsidRPr="007427C5" w:rsidRDefault="00A75862" w:rsidP="008B1397">
            <w:pPr>
              <w:jc w:val="center"/>
              <w:rPr>
                <w:b/>
                <w:bCs/>
              </w:rPr>
            </w:pPr>
            <w:r w:rsidRPr="007427C5">
              <w:rPr>
                <w:b/>
                <w:bCs/>
              </w:rPr>
              <w:t>Sledování horizontálních témat</w:t>
            </w:r>
          </w:p>
        </w:tc>
        <w:tc>
          <w:tcPr>
            <w:tcW w:w="1920" w:type="dxa"/>
            <w:shd w:val="clear" w:color="auto" w:fill="C2D69B" w:themeFill="accent3" w:themeFillTint="99"/>
            <w:vAlign w:val="center"/>
          </w:tcPr>
          <w:p w:rsidR="00A75862" w:rsidRPr="007427C5" w:rsidRDefault="00A75862" w:rsidP="00932CC2">
            <w:pPr>
              <w:jc w:val="center"/>
              <w:rPr>
                <w:b/>
                <w:bCs/>
              </w:rPr>
            </w:pPr>
            <w:r w:rsidRPr="007427C5">
              <w:rPr>
                <w:b/>
                <w:bCs/>
              </w:rPr>
              <w:t>Měrná jednotka</w:t>
            </w:r>
          </w:p>
        </w:tc>
        <w:tc>
          <w:tcPr>
            <w:tcW w:w="1860" w:type="dxa"/>
            <w:shd w:val="clear" w:color="auto" w:fill="C2D69B" w:themeFill="accent3" w:themeFillTint="99"/>
            <w:vAlign w:val="center"/>
          </w:tcPr>
          <w:p w:rsidR="00A75862" w:rsidRPr="007427C5" w:rsidRDefault="00A75862" w:rsidP="00932CC2">
            <w:pPr>
              <w:jc w:val="center"/>
              <w:rPr>
                <w:b/>
                <w:bCs/>
              </w:rPr>
            </w:pPr>
            <w:r w:rsidRPr="007427C5">
              <w:rPr>
                <w:b/>
                <w:bCs/>
              </w:rPr>
              <w:t>Počet projektů</w:t>
            </w:r>
          </w:p>
        </w:tc>
      </w:tr>
      <w:tr w:rsidR="00633AEB" w:rsidRPr="007427C5" w:rsidTr="00C535B8">
        <w:trPr>
          <w:trHeight w:val="255"/>
        </w:trPr>
        <w:tc>
          <w:tcPr>
            <w:tcW w:w="5260" w:type="dxa"/>
            <w:noWrap/>
            <w:vAlign w:val="center"/>
          </w:tcPr>
          <w:p w:rsidR="00633AEB" w:rsidRPr="00DE2FEE" w:rsidRDefault="00633AEB" w:rsidP="006E5A22">
            <w:pPr>
              <w:rPr>
                <w:sz w:val="18"/>
                <w:szCs w:val="18"/>
              </w:rPr>
            </w:pPr>
            <w:r w:rsidRPr="00DE2FEE">
              <w:rPr>
                <w:sz w:val="18"/>
                <w:szCs w:val="18"/>
              </w:rPr>
              <w:t xml:space="preserve">Počet projektů </w:t>
            </w:r>
            <w:r w:rsidRPr="00DE2FEE">
              <w:rPr>
                <w:b/>
                <w:sz w:val="18"/>
                <w:szCs w:val="18"/>
              </w:rPr>
              <w:t>cíleně zaměřených na rovné příležitosti</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6E5A22">
            <w:pPr>
              <w:jc w:val="center"/>
              <w:rPr>
                <w:sz w:val="18"/>
                <w:szCs w:val="18"/>
              </w:rPr>
            </w:pPr>
            <w:r w:rsidRPr="00DE2FEE">
              <w:rPr>
                <w:sz w:val="18"/>
                <w:szCs w:val="18"/>
              </w:rPr>
              <w:t>0</w:t>
            </w:r>
          </w:p>
        </w:tc>
      </w:tr>
      <w:tr w:rsidR="00633AEB" w:rsidRPr="007427C5" w:rsidTr="00C535B8">
        <w:trPr>
          <w:trHeight w:val="255"/>
        </w:trPr>
        <w:tc>
          <w:tcPr>
            <w:tcW w:w="5260" w:type="dxa"/>
            <w:noWrap/>
            <w:vAlign w:val="center"/>
          </w:tcPr>
          <w:p w:rsidR="00633AEB" w:rsidRPr="00DE2FEE" w:rsidRDefault="00633AEB" w:rsidP="006E5A22">
            <w:pPr>
              <w:rPr>
                <w:sz w:val="18"/>
                <w:szCs w:val="18"/>
              </w:rPr>
            </w:pPr>
            <w:r w:rsidRPr="00DE2FEE">
              <w:rPr>
                <w:sz w:val="18"/>
                <w:szCs w:val="18"/>
              </w:rPr>
              <w:t>Počet projektů</w:t>
            </w:r>
            <w:r w:rsidRPr="00DE2FEE">
              <w:rPr>
                <w:b/>
                <w:sz w:val="18"/>
                <w:szCs w:val="18"/>
              </w:rPr>
              <w:t xml:space="preserve"> s pozitivním vlivem na rovné příležitosti</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6E5A22">
            <w:pPr>
              <w:jc w:val="center"/>
              <w:rPr>
                <w:sz w:val="18"/>
                <w:szCs w:val="18"/>
              </w:rPr>
            </w:pPr>
            <w:r w:rsidRPr="00DE2FEE">
              <w:rPr>
                <w:sz w:val="18"/>
                <w:szCs w:val="18"/>
              </w:rPr>
              <w:t>5 29</w:t>
            </w:r>
            <w:r w:rsidR="00CE188D" w:rsidRPr="00DE2FEE">
              <w:rPr>
                <w:sz w:val="18"/>
                <w:szCs w:val="18"/>
              </w:rPr>
              <w:t>3</w:t>
            </w:r>
          </w:p>
        </w:tc>
      </w:tr>
      <w:tr w:rsidR="00633AEB" w:rsidRPr="007427C5" w:rsidTr="00C535B8">
        <w:trPr>
          <w:trHeight w:val="270"/>
        </w:trPr>
        <w:tc>
          <w:tcPr>
            <w:tcW w:w="5260" w:type="dxa"/>
            <w:noWrap/>
            <w:vAlign w:val="center"/>
          </w:tcPr>
          <w:p w:rsidR="00633AEB" w:rsidRPr="00DE2FEE" w:rsidRDefault="00633AEB" w:rsidP="006E5A22">
            <w:pPr>
              <w:rPr>
                <w:sz w:val="18"/>
                <w:szCs w:val="18"/>
              </w:rPr>
            </w:pPr>
            <w:r w:rsidRPr="00DE2FEE">
              <w:rPr>
                <w:sz w:val="18"/>
                <w:szCs w:val="18"/>
              </w:rPr>
              <w:t xml:space="preserve">Počet projektů </w:t>
            </w:r>
            <w:r w:rsidRPr="00DE2FEE">
              <w:rPr>
                <w:b/>
                <w:sz w:val="18"/>
                <w:szCs w:val="18"/>
              </w:rPr>
              <w:t>s neutrálním vlivem na rovné příležitosti</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CE188D" w:rsidP="006E5A22">
            <w:pPr>
              <w:jc w:val="center"/>
              <w:rPr>
                <w:sz w:val="18"/>
                <w:szCs w:val="18"/>
              </w:rPr>
            </w:pPr>
            <w:r w:rsidRPr="00DE2FEE">
              <w:rPr>
                <w:sz w:val="18"/>
                <w:szCs w:val="18"/>
              </w:rPr>
              <w:t>311</w:t>
            </w:r>
          </w:p>
        </w:tc>
      </w:tr>
    </w:tbl>
    <w:p w:rsidR="004B1DC5" w:rsidRPr="00815160" w:rsidRDefault="00A75862" w:rsidP="00815160">
      <w:pPr>
        <w:spacing w:after="120"/>
      </w:pPr>
      <w:r w:rsidRPr="007427C5">
        <w:t xml:space="preserve"> </w:t>
      </w:r>
      <w:r w:rsidRPr="007427C5">
        <w:rPr>
          <w:i/>
          <w:color w:val="000000"/>
        </w:rPr>
        <w:t xml:space="preserve">Zdroj: IS Monit7+ IOP k </w:t>
      </w:r>
      <w:r w:rsidR="00B43DE6" w:rsidRPr="007427C5">
        <w:rPr>
          <w:i/>
          <w:color w:val="000000"/>
        </w:rPr>
        <w:t>2. 1. 2015</w:t>
      </w:r>
    </w:p>
    <w:p w:rsidR="009A17BE" w:rsidRDefault="009A17BE" w:rsidP="00932CC2">
      <w:pPr>
        <w:rPr>
          <w:sz w:val="22"/>
          <w:szCs w:val="22"/>
          <w:u w:val="single"/>
        </w:rPr>
      </w:pPr>
    </w:p>
    <w:p w:rsidR="00A75862" w:rsidRPr="00DF4078" w:rsidRDefault="00A75862" w:rsidP="00DF4078">
      <w:pPr>
        <w:jc w:val="both"/>
        <w:rPr>
          <w:sz w:val="22"/>
          <w:szCs w:val="22"/>
          <w:u w:val="single"/>
        </w:rPr>
      </w:pPr>
      <w:r w:rsidRPr="002422B3">
        <w:rPr>
          <w:sz w:val="22"/>
          <w:szCs w:val="22"/>
          <w:u w:val="single"/>
        </w:rPr>
        <w:t>Udržitelný rozvoj</w:t>
      </w:r>
    </w:p>
    <w:p w:rsidR="00E85E9D" w:rsidRDefault="00A75862" w:rsidP="00E85E9D">
      <w:pPr>
        <w:jc w:val="both"/>
        <w:rPr>
          <w:sz w:val="22"/>
          <w:szCs w:val="22"/>
        </w:rPr>
      </w:pPr>
      <w:r w:rsidRPr="00306246">
        <w:rPr>
          <w:sz w:val="22"/>
          <w:szCs w:val="22"/>
        </w:rPr>
        <w:t>5 </w:t>
      </w:r>
      <w:r w:rsidR="00E43B21" w:rsidRPr="00306246">
        <w:rPr>
          <w:sz w:val="22"/>
          <w:szCs w:val="22"/>
        </w:rPr>
        <w:t>471</w:t>
      </w:r>
      <w:r w:rsidRPr="00306246">
        <w:rPr>
          <w:sz w:val="22"/>
          <w:szCs w:val="22"/>
        </w:rPr>
        <w:t xml:space="preserve"> projektů schválených do konce roku 2013 by mělo být ekologicky neutrálních (z nich </w:t>
      </w:r>
      <w:r w:rsidR="003F6276" w:rsidRPr="00306246">
        <w:rPr>
          <w:sz w:val="22"/>
          <w:szCs w:val="22"/>
        </w:rPr>
        <w:t xml:space="preserve">je </w:t>
      </w:r>
      <w:r w:rsidRPr="00306246">
        <w:rPr>
          <w:sz w:val="22"/>
          <w:szCs w:val="22"/>
        </w:rPr>
        <w:t xml:space="preserve">5 272 typových projektů </w:t>
      </w:r>
      <w:proofErr w:type="spellStart"/>
      <w:r w:rsidRPr="00306246">
        <w:rPr>
          <w:sz w:val="22"/>
          <w:szCs w:val="22"/>
        </w:rPr>
        <w:t>CzechP</w:t>
      </w:r>
      <w:r w:rsidR="00FB072C">
        <w:rPr>
          <w:sz w:val="22"/>
          <w:szCs w:val="22"/>
        </w:rPr>
        <w:t>OINT</w:t>
      </w:r>
      <w:proofErr w:type="spellEnd"/>
      <w:r w:rsidRPr="00306246">
        <w:rPr>
          <w:sz w:val="22"/>
          <w:szCs w:val="22"/>
        </w:rPr>
        <w:t xml:space="preserve">), </w:t>
      </w:r>
      <w:r w:rsidR="00E43B21" w:rsidRPr="00306246">
        <w:rPr>
          <w:sz w:val="22"/>
          <w:szCs w:val="22"/>
        </w:rPr>
        <w:t>17</w:t>
      </w:r>
      <w:r w:rsidRPr="00306246">
        <w:rPr>
          <w:sz w:val="22"/>
          <w:szCs w:val="22"/>
        </w:rPr>
        <w:t xml:space="preserve"> projektů má pozitivní dopad na životní prostředí, </w:t>
      </w:r>
      <w:r w:rsidR="00E43B21" w:rsidRPr="00306246">
        <w:rPr>
          <w:sz w:val="22"/>
          <w:szCs w:val="22"/>
        </w:rPr>
        <w:t xml:space="preserve">2 </w:t>
      </w:r>
      <w:r w:rsidRPr="00306246">
        <w:rPr>
          <w:sz w:val="22"/>
          <w:szCs w:val="22"/>
        </w:rPr>
        <w:t>projekty se zavazují přispět ke zlepšení ovzduší a 2 projekty ke zlepšení kvality vod.</w:t>
      </w:r>
      <w:r w:rsidR="00E85E9D" w:rsidRPr="00306246">
        <w:rPr>
          <w:sz w:val="22"/>
          <w:szCs w:val="22"/>
        </w:rPr>
        <w:t xml:space="preserve"> U projektů je chybně uvedeno, že projekty zavedením elektronické komunikace sníží znečistění formou snížení spotřeby papíru (pozitivní vliv na kvalitu vody) a cestování (pozitivní vliv na kvalitu ovzduší). U horizontálního tématu „Využití alternativních zdrojů“ je omylem uvedeno využití alternativního zdroje el</w:t>
      </w:r>
      <w:r w:rsidR="001975F9">
        <w:rPr>
          <w:sz w:val="22"/>
          <w:szCs w:val="22"/>
        </w:rPr>
        <w:t>ektrické</w:t>
      </w:r>
      <w:r w:rsidR="00E85E9D" w:rsidRPr="00306246">
        <w:rPr>
          <w:sz w:val="22"/>
          <w:szCs w:val="22"/>
        </w:rPr>
        <w:t xml:space="preserve"> energie (dieselagregát jako alternativní zdroj elektrické energie pro zálohování chodu Technologického centra).</w:t>
      </w:r>
    </w:p>
    <w:p w:rsidR="005E645A" w:rsidRDefault="005E645A" w:rsidP="00E85E9D">
      <w:pPr>
        <w:jc w:val="both"/>
        <w:rPr>
          <w:sz w:val="22"/>
          <w:szCs w:val="22"/>
        </w:rPr>
      </w:pPr>
    </w:p>
    <w:p w:rsidR="002C30E8" w:rsidRPr="00306246" w:rsidRDefault="002C30E8" w:rsidP="00E85E9D">
      <w:pPr>
        <w:jc w:val="both"/>
        <w:rPr>
          <w:sz w:val="22"/>
          <w:szCs w:val="22"/>
        </w:rPr>
      </w:pPr>
    </w:p>
    <w:p w:rsidR="0048463A" w:rsidRPr="009026D3" w:rsidRDefault="0048463A" w:rsidP="00813E1E">
      <w:pPr>
        <w:pStyle w:val="Tabulkanzev"/>
      </w:pPr>
      <w:bookmarkStart w:id="172" w:name="_Toc416431834"/>
      <w:r w:rsidRPr="009026D3">
        <w:t>Udržitelný rozvoj</w:t>
      </w:r>
      <w:r w:rsidR="00C61D01">
        <w:t xml:space="preserve"> v prioritní ose 2</w:t>
      </w:r>
      <w:bookmarkEnd w:id="172"/>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932CC2" w:rsidTr="006A0874">
        <w:trPr>
          <w:trHeight w:val="270"/>
          <w:tblHeader/>
        </w:trPr>
        <w:tc>
          <w:tcPr>
            <w:tcW w:w="5260" w:type="dxa"/>
            <w:shd w:val="clear" w:color="auto" w:fill="C2D69B" w:themeFill="accent3" w:themeFillTint="99"/>
            <w:vAlign w:val="center"/>
          </w:tcPr>
          <w:p w:rsidR="00A75862" w:rsidRPr="0097249A" w:rsidRDefault="00A75862" w:rsidP="00932CC2">
            <w:pPr>
              <w:jc w:val="center"/>
              <w:rPr>
                <w:b/>
                <w:bCs/>
              </w:rPr>
            </w:pPr>
            <w:r w:rsidRPr="0097249A">
              <w:rPr>
                <w:b/>
                <w:bCs/>
              </w:rPr>
              <w:t>Sledování horizontálních témat</w:t>
            </w:r>
          </w:p>
        </w:tc>
        <w:tc>
          <w:tcPr>
            <w:tcW w:w="1920" w:type="dxa"/>
            <w:shd w:val="clear" w:color="auto" w:fill="C2D69B" w:themeFill="accent3" w:themeFillTint="99"/>
            <w:vAlign w:val="center"/>
          </w:tcPr>
          <w:p w:rsidR="00A75862" w:rsidRPr="0097249A" w:rsidRDefault="00A75862" w:rsidP="00932CC2">
            <w:pPr>
              <w:jc w:val="center"/>
              <w:rPr>
                <w:b/>
                <w:bCs/>
              </w:rPr>
            </w:pPr>
            <w:r w:rsidRPr="0097249A">
              <w:rPr>
                <w:b/>
                <w:bCs/>
              </w:rPr>
              <w:t>Měrná jednotka</w:t>
            </w:r>
          </w:p>
        </w:tc>
        <w:tc>
          <w:tcPr>
            <w:tcW w:w="1860" w:type="dxa"/>
            <w:shd w:val="clear" w:color="auto" w:fill="C2D69B" w:themeFill="accent3" w:themeFillTint="99"/>
            <w:vAlign w:val="center"/>
          </w:tcPr>
          <w:p w:rsidR="00A75862" w:rsidRPr="0097249A" w:rsidRDefault="00A75862" w:rsidP="00932CC2">
            <w:pPr>
              <w:jc w:val="center"/>
              <w:rPr>
                <w:b/>
                <w:bCs/>
              </w:rPr>
            </w:pPr>
            <w:r w:rsidRPr="0097249A">
              <w:rPr>
                <w:b/>
                <w:bCs/>
              </w:rPr>
              <w:t>Počet projektů</w:t>
            </w:r>
          </w:p>
        </w:tc>
      </w:tr>
      <w:tr w:rsidR="00633AEB" w:rsidRPr="00932CC2" w:rsidTr="00C535B8">
        <w:trPr>
          <w:trHeight w:val="255"/>
        </w:trPr>
        <w:tc>
          <w:tcPr>
            <w:tcW w:w="5260" w:type="dxa"/>
            <w:noWrap/>
            <w:vAlign w:val="center"/>
          </w:tcPr>
          <w:p w:rsidR="00633AEB" w:rsidRPr="00DE2FEE" w:rsidRDefault="00633AEB" w:rsidP="006E5A22">
            <w:pPr>
              <w:rPr>
                <w:sz w:val="18"/>
                <w:szCs w:val="18"/>
              </w:rPr>
            </w:pPr>
            <w:r w:rsidRPr="00DE2FEE">
              <w:rPr>
                <w:sz w:val="18"/>
                <w:szCs w:val="18"/>
              </w:rPr>
              <w:t>Projekt je soustředěn hlavně</w:t>
            </w:r>
            <w:r w:rsidRPr="00DE2FEE">
              <w:rPr>
                <w:b/>
                <w:sz w:val="18"/>
                <w:szCs w:val="18"/>
              </w:rPr>
              <w:t xml:space="preserve"> na životní prostředí</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6E5A22">
            <w:pPr>
              <w:jc w:val="center"/>
              <w:rPr>
                <w:sz w:val="18"/>
                <w:szCs w:val="18"/>
              </w:rPr>
            </w:pPr>
            <w:r w:rsidRPr="00DE2FEE">
              <w:rPr>
                <w:sz w:val="18"/>
                <w:szCs w:val="18"/>
              </w:rPr>
              <w:t>0</w:t>
            </w:r>
          </w:p>
        </w:tc>
      </w:tr>
      <w:tr w:rsidR="00633AEB" w:rsidRPr="00932CC2" w:rsidTr="00C535B8">
        <w:trPr>
          <w:trHeight w:val="255"/>
        </w:trPr>
        <w:tc>
          <w:tcPr>
            <w:tcW w:w="5260" w:type="dxa"/>
            <w:noWrap/>
            <w:vAlign w:val="center"/>
          </w:tcPr>
          <w:p w:rsidR="00633AEB" w:rsidRPr="00DE2FEE" w:rsidRDefault="00633AEB" w:rsidP="006E5A22">
            <w:pPr>
              <w:rPr>
                <w:sz w:val="18"/>
                <w:szCs w:val="18"/>
              </w:rPr>
            </w:pPr>
            <w:r w:rsidRPr="00DE2FEE">
              <w:rPr>
                <w:sz w:val="18"/>
                <w:szCs w:val="18"/>
              </w:rPr>
              <w:t xml:space="preserve">Projekt </w:t>
            </w:r>
            <w:r w:rsidRPr="00DE2FEE">
              <w:rPr>
                <w:b/>
                <w:sz w:val="18"/>
                <w:szCs w:val="18"/>
              </w:rPr>
              <w:t xml:space="preserve">má pozitivní dopad </w:t>
            </w:r>
            <w:r w:rsidRPr="00DE2FEE">
              <w:rPr>
                <w:sz w:val="18"/>
                <w:szCs w:val="18"/>
              </w:rPr>
              <w:t>na životní prostředí</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9F255E" w:rsidP="006E5A22">
            <w:pPr>
              <w:jc w:val="center"/>
              <w:rPr>
                <w:sz w:val="18"/>
                <w:szCs w:val="18"/>
              </w:rPr>
            </w:pPr>
            <w:r w:rsidRPr="00DE2FEE">
              <w:rPr>
                <w:sz w:val="18"/>
                <w:szCs w:val="18"/>
              </w:rPr>
              <w:t>10</w:t>
            </w:r>
          </w:p>
        </w:tc>
      </w:tr>
      <w:tr w:rsidR="00633AEB" w:rsidRPr="00932CC2" w:rsidTr="00C535B8">
        <w:trPr>
          <w:trHeight w:val="255"/>
        </w:trPr>
        <w:tc>
          <w:tcPr>
            <w:tcW w:w="5260" w:type="dxa"/>
            <w:noWrap/>
            <w:vAlign w:val="center"/>
          </w:tcPr>
          <w:p w:rsidR="00633AEB" w:rsidRPr="00DE2FEE" w:rsidRDefault="00633AEB" w:rsidP="006E5A22">
            <w:pPr>
              <w:rPr>
                <w:sz w:val="18"/>
                <w:szCs w:val="18"/>
              </w:rPr>
            </w:pPr>
            <w:r w:rsidRPr="00DE2FEE">
              <w:rPr>
                <w:sz w:val="18"/>
                <w:szCs w:val="18"/>
              </w:rPr>
              <w:lastRenderedPageBreak/>
              <w:t xml:space="preserve">Projekt je ekologicky </w:t>
            </w:r>
            <w:r w:rsidRPr="00DE2FEE">
              <w:rPr>
                <w:b/>
                <w:sz w:val="18"/>
                <w:szCs w:val="18"/>
              </w:rPr>
              <w:t>neutrální</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9F255E">
            <w:pPr>
              <w:jc w:val="center"/>
              <w:rPr>
                <w:sz w:val="18"/>
                <w:szCs w:val="18"/>
              </w:rPr>
            </w:pPr>
            <w:r w:rsidRPr="00DE2FEE">
              <w:rPr>
                <w:sz w:val="18"/>
                <w:szCs w:val="18"/>
              </w:rPr>
              <w:t>5</w:t>
            </w:r>
            <w:r w:rsidR="009F255E" w:rsidRPr="00DE2FEE">
              <w:rPr>
                <w:sz w:val="18"/>
                <w:szCs w:val="18"/>
              </w:rPr>
              <w:t>282</w:t>
            </w:r>
          </w:p>
        </w:tc>
      </w:tr>
      <w:tr w:rsidR="00633AEB" w:rsidRPr="00932CC2" w:rsidTr="00C535B8">
        <w:trPr>
          <w:trHeight w:val="255"/>
        </w:trPr>
        <w:tc>
          <w:tcPr>
            <w:tcW w:w="5260" w:type="dxa"/>
            <w:noWrap/>
            <w:vAlign w:val="center"/>
          </w:tcPr>
          <w:p w:rsidR="00633AEB" w:rsidRPr="00DE2FEE" w:rsidRDefault="00633AEB" w:rsidP="006E5A22">
            <w:pPr>
              <w:rPr>
                <w:sz w:val="18"/>
                <w:szCs w:val="18"/>
              </w:rPr>
            </w:pPr>
            <w:r w:rsidRPr="00DE2FEE">
              <w:rPr>
                <w:sz w:val="18"/>
                <w:szCs w:val="18"/>
              </w:rPr>
              <w:t xml:space="preserve">Projekt vyžaduje </w:t>
            </w:r>
            <w:r w:rsidRPr="00DE2FEE">
              <w:rPr>
                <w:b/>
                <w:sz w:val="18"/>
                <w:szCs w:val="18"/>
              </w:rPr>
              <w:t>posouzení vlivu na životní prostředí</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6E5A22">
            <w:pPr>
              <w:jc w:val="center"/>
              <w:rPr>
                <w:sz w:val="18"/>
                <w:szCs w:val="18"/>
              </w:rPr>
            </w:pPr>
            <w:r w:rsidRPr="00DE2FEE">
              <w:rPr>
                <w:sz w:val="18"/>
                <w:szCs w:val="18"/>
              </w:rPr>
              <w:t>0</w:t>
            </w:r>
          </w:p>
        </w:tc>
      </w:tr>
      <w:tr w:rsidR="00633AEB" w:rsidRPr="00932CC2" w:rsidTr="00C535B8">
        <w:trPr>
          <w:trHeight w:hRule="exact" w:val="255"/>
        </w:trPr>
        <w:tc>
          <w:tcPr>
            <w:tcW w:w="5260" w:type="dxa"/>
            <w:noWrap/>
            <w:vAlign w:val="center"/>
          </w:tcPr>
          <w:p w:rsidR="00633AEB" w:rsidRPr="00DE2FEE" w:rsidRDefault="00633AEB" w:rsidP="006E5A22">
            <w:pPr>
              <w:rPr>
                <w:sz w:val="18"/>
                <w:szCs w:val="18"/>
              </w:rPr>
            </w:pPr>
            <w:r w:rsidRPr="00DE2FEE">
              <w:rPr>
                <w:sz w:val="18"/>
                <w:szCs w:val="18"/>
              </w:rPr>
              <w:t xml:space="preserve">Projekt přispěje </w:t>
            </w:r>
            <w:r w:rsidRPr="00DE2FEE">
              <w:rPr>
                <w:b/>
                <w:sz w:val="18"/>
                <w:szCs w:val="18"/>
              </w:rPr>
              <w:t>ke zlepšení ovzduší</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6E5A22">
            <w:pPr>
              <w:jc w:val="center"/>
              <w:rPr>
                <w:sz w:val="18"/>
                <w:szCs w:val="18"/>
              </w:rPr>
            </w:pPr>
            <w:r w:rsidRPr="00DE2FEE">
              <w:rPr>
                <w:sz w:val="18"/>
                <w:szCs w:val="18"/>
              </w:rPr>
              <w:t>2</w:t>
            </w:r>
          </w:p>
        </w:tc>
      </w:tr>
      <w:tr w:rsidR="00633AEB" w:rsidRPr="00932CC2" w:rsidTr="00C535B8">
        <w:trPr>
          <w:trHeight w:hRule="exact" w:val="255"/>
        </w:trPr>
        <w:tc>
          <w:tcPr>
            <w:tcW w:w="5260" w:type="dxa"/>
            <w:noWrap/>
            <w:vAlign w:val="center"/>
          </w:tcPr>
          <w:p w:rsidR="00633AEB" w:rsidRPr="00DE2FEE" w:rsidRDefault="00633AEB" w:rsidP="006E5A22">
            <w:pPr>
              <w:rPr>
                <w:sz w:val="18"/>
                <w:szCs w:val="18"/>
              </w:rPr>
            </w:pPr>
            <w:r w:rsidRPr="00DE2FEE">
              <w:rPr>
                <w:sz w:val="18"/>
                <w:szCs w:val="18"/>
              </w:rPr>
              <w:t xml:space="preserve">Projekt přispěje </w:t>
            </w:r>
            <w:r w:rsidRPr="00DE2FEE">
              <w:rPr>
                <w:b/>
                <w:sz w:val="18"/>
                <w:szCs w:val="18"/>
              </w:rPr>
              <w:t>ke zlepšení kvality vod</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9F255E" w:rsidP="006E5A22">
            <w:pPr>
              <w:jc w:val="center"/>
              <w:rPr>
                <w:sz w:val="18"/>
                <w:szCs w:val="18"/>
              </w:rPr>
            </w:pPr>
            <w:r w:rsidRPr="00DE2FEE">
              <w:rPr>
                <w:sz w:val="18"/>
                <w:szCs w:val="18"/>
              </w:rPr>
              <w:t>3</w:t>
            </w:r>
          </w:p>
        </w:tc>
      </w:tr>
      <w:tr w:rsidR="00633AEB" w:rsidRPr="00932CC2" w:rsidTr="00C535B8">
        <w:trPr>
          <w:trHeight w:hRule="exact" w:val="255"/>
        </w:trPr>
        <w:tc>
          <w:tcPr>
            <w:tcW w:w="5260" w:type="dxa"/>
            <w:noWrap/>
            <w:vAlign w:val="center"/>
          </w:tcPr>
          <w:p w:rsidR="00633AEB" w:rsidRPr="00DE2FEE" w:rsidRDefault="00633AEB" w:rsidP="006E5A22">
            <w:pPr>
              <w:rPr>
                <w:sz w:val="18"/>
                <w:szCs w:val="18"/>
              </w:rPr>
            </w:pPr>
            <w:r w:rsidRPr="00DE2FEE">
              <w:rPr>
                <w:sz w:val="18"/>
                <w:szCs w:val="18"/>
              </w:rPr>
              <w:t xml:space="preserve">Projekt využije </w:t>
            </w:r>
            <w:r w:rsidRPr="00DE2FEE">
              <w:rPr>
                <w:b/>
                <w:sz w:val="18"/>
                <w:szCs w:val="18"/>
              </w:rPr>
              <w:t>alternativní zdroje</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9F255E" w:rsidP="006E5A22">
            <w:pPr>
              <w:jc w:val="center"/>
              <w:rPr>
                <w:sz w:val="18"/>
                <w:szCs w:val="18"/>
              </w:rPr>
            </w:pPr>
            <w:r w:rsidRPr="00DE2FEE">
              <w:rPr>
                <w:sz w:val="18"/>
                <w:szCs w:val="18"/>
              </w:rPr>
              <w:t>2</w:t>
            </w:r>
          </w:p>
        </w:tc>
      </w:tr>
      <w:tr w:rsidR="00633AEB" w:rsidRPr="00932CC2" w:rsidTr="00C535B8">
        <w:trPr>
          <w:trHeight w:hRule="exact" w:val="255"/>
        </w:trPr>
        <w:tc>
          <w:tcPr>
            <w:tcW w:w="5260" w:type="dxa"/>
            <w:noWrap/>
            <w:vAlign w:val="center"/>
          </w:tcPr>
          <w:p w:rsidR="00633AEB" w:rsidRPr="00DE2FEE" w:rsidRDefault="00633AEB" w:rsidP="006E5A22">
            <w:pPr>
              <w:rPr>
                <w:sz w:val="18"/>
                <w:szCs w:val="18"/>
              </w:rPr>
            </w:pPr>
            <w:r w:rsidRPr="00DE2FEE">
              <w:rPr>
                <w:sz w:val="18"/>
                <w:szCs w:val="18"/>
              </w:rPr>
              <w:t xml:space="preserve">Projekt zajistí </w:t>
            </w:r>
            <w:r w:rsidRPr="00DE2FEE">
              <w:rPr>
                <w:b/>
                <w:sz w:val="18"/>
                <w:szCs w:val="18"/>
              </w:rPr>
              <w:t>zvýšení rozlohy sídelní vegetace</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6E5A22">
            <w:pPr>
              <w:jc w:val="center"/>
              <w:rPr>
                <w:sz w:val="18"/>
                <w:szCs w:val="18"/>
              </w:rPr>
            </w:pPr>
            <w:r w:rsidRPr="00DE2FEE">
              <w:rPr>
                <w:sz w:val="18"/>
                <w:szCs w:val="18"/>
              </w:rPr>
              <w:t>0</w:t>
            </w:r>
          </w:p>
        </w:tc>
      </w:tr>
      <w:tr w:rsidR="00633AEB" w:rsidRPr="00932CC2" w:rsidTr="00C535B8">
        <w:trPr>
          <w:trHeight w:val="270"/>
        </w:trPr>
        <w:tc>
          <w:tcPr>
            <w:tcW w:w="5260" w:type="dxa"/>
            <w:noWrap/>
            <w:vAlign w:val="center"/>
          </w:tcPr>
          <w:p w:rsidR="00633AEB" w:rsidRPr="00DE2FEE" w:rsidRDefault="00633AEB" w:rsidP="006E5A22">
            <w:pPr>
              <w:rPr>
                <w:sz w:val="18"/>
                <w:szCs w:val="18"/>
              </w:rPr>
            </w:pPr>
            <w:r w:rsidRPr="00DE2FEE">
              <w:rPr>
                <w:sz w:val="18"/>
                <w:szCs w:val="18"/>
              </w:rPr>
              <w:t xml:space="preserve">Projekt zlepší </w:t>
            </w:r>
            <w:r w:rsidRPr="00DE2FEE">
              <w:rPr>
                <w:b/>
                <w:sz w:val="18"/>
                <w:szCs w:val="18"/>
              </w:rPr>
              <w:t>informovanost obyvatel o ochraně životního prostředí</w:t>
            </w:r>
          </w:p>
        </w:tc>
        <w:tc>
          <w:tcPr>
            <w:tcW w:w="1920" w:type="dxa"/>
            <w:noWrap/>
            <w:vAlign w:val="center"/>
          </w:tcPr>
          <w:p w:rsidR="00633AEB" w:rsidRPr="00DE2FEE" w:rsidRDefault="00633AEB" w:rsidP="006E5A22">
            <w:pPr>
              <w:jc w:val="center"/>
              <w:rPr>
                <w:sz w:val="18"/>
                <w:szCs w:val="18"/>
              </w:rPr>
            </w:pPr>
            <w:r w:rsidRPr="00DE2FEE">
              <w:rPr>
                <w:sz w:val="18"/>
                <w:szCs w:val="18"/>
              </w:rPr>
              <w:t>Počet projektů</w:t>
            </w:r>
          </w:p>
        </w:tc>
        <w:tc>
          <w:tcPr>
            <w:tcW w:w="1860" w:type="dxa"/>
            <w:noWrap/>
            <w:vAlign w:val="center"/>
          </w:tcPr>
          <w:p w:rsidR="00633AEB" w:rsidRPr="00DE2FEE" w:rsidRDefault="00633AEB" w:rsidP="006E5A22">
            <w:pPr>
              <w:jc w:val="center"/>
              <w:rPr>
                <w:sz w:val="18"/>
                <w:szCs w:val="18"/>
              </w:rPr>
            </w:pPr>
            <w:r w:rsidRPr="00DE2FEE">
              <w:rPr>
                <w:sz w:val="18"/>
                <w:szCs w:val="18"/>
              </w:rPr>
              <w:t>0</w:t>
            </w:r>
          </w:p>
        </w:tc>
      </w:tr>
    </w:tbl>
    <w:p w:rsidR="00A75862" w:rsidRDefault="00A75862" w:rsidP="009D7E01">
      <w:pPr>
        <w:jc w:val="both"/>
        <w:rPr>
          <w:i/>
          <w:color w:val="000000"/>
          <w:sz w:val="18"/>
          <w:szCs w:val="18"/>
        </w:rPr>
      </w:pPr>
      <w:r w:rsidRPr="0001374B">
        <w:rPr>
          <w:i/>
          <w:color w:val="000000"/>
          <w:sz w:val="18"/>
          <w:szCs w:val="18"/>
        </w:rPr>
        <w:t xml:space="preserve">Zdroj: IS Monit7+ IOP k </w:t>
      </w:r>
      <w:r w:rsidR="00B43DE6" w:rsidRPr="0001374B">
        <w:rPr>
          <w:i/>
          <w:color w:val="000000"/>
          <w:sz w:val="18"/>
          <w:szCs w:val="18"/>
        </w:rPr>
        <w:t>2. 1. 2015</w:t>
      </w:r>
    </w:p>
    <w:p w:rsidR="009A17BE" w:rsidRDefault="009A17BE" w:rsidP="009D7E01">
      <w:pPr>
        <w:jc w:val="both"/>
      </w:pPr>
    </w:p>
    <w:p w:rsidR="00A75862" w:rsidRPr="00555962" w:rsidRDefault="003E516A" w:rsidP="000F2A6C">
      <w:pPr>
        <w:pStyle w:val="Nadpis3"/>
      </w:pPr>
      <w:bookmarkStart w:id="173" w:name="_Toc382407699"/>
      <w:bookmarkStart w:id="174" w:name="_Toc383084706"/>
      <w:bookmarkStart w:id="175" w:name="_Toc417024875"/>
      <w:r>
        <w:t>3.2.2</w:t>
      </w:r>
      <w:r w:rsidR="00237435">
        <w:t xml:space="preserve"> </w:t>
      </w:r>
      <w:r w:rsidR="00A75862" w:rsidRPr="009026D3">
        <w:t>Závažné problémy, které se objevily, a přijatá opatření k jejich odstranění</w:t>
      </w:r>
      <w:bookmarkEnd w:id="173"/>
      <w:bookmarkEnd w:id="174"/>
      <w:bookmarkEnd w:id="175"/>
    </w:p>
    <w:p w:rsidR="00A75862" w:rsidRPr="009026D3" w:rsidRDefault="00A75862" w:rsidP="00C54F4C">
      <w:pPr>
        <w:rPr>
          <w:sz w:val="22"/>
          <w:szCs w:val="22"/>
        </w:rPr>
      </w:pPr>
    </w:p>
    <w:p w:rsidR="0097249A" w:rsidRPr="0097249A" w:rsidRDefault="0097249A" w:rsidP="00C865D3">
      <w:pPr>
        <w:jc w:val="both"/>
        <w:rPr>
          <w:b/>
          <w:sz w:val="22"/>
          <w:szCs w:val="22"/>
        </w:rPr>
      </w:pPr>
      <w:r w:rsidRPr="0097249A">
        <w:rPr>
          <w:b/>
          <w:sz w:val="22"/>
          <w:szCs w:val="22"/>
        </w:rPr>
        <w:t>Nízký stav čerpání, ohrožení naplnění pravidla n+2 v důsledku existence rizikových projektů</w:t>
      </w:r>
    </w:p>
    <w:p w:rsidR="00F65881" w:rsidRDefault="00F65881" w:rsidP="00A13D07">
      <w:pPr>
        <w:jc w:val="both"/>
        <w:rPr>
          <w:sz w:val="22"/>
          <w:szCs w:val="22"/>
        </w:rPr>
      </w:pPr>
      <w:r w:rsidRPr="0097249A">
        <w:rPr>
          <w:sz w:val="22"/>
          <w:szCs w:val="22"/>
        </w:rPr>
        <w:t xml:space="preserve">Časté změny harmonogramu projektu a harmonogramu veřejných zakázek (ESS, VIU, TC krajů – opakování VZ, rušení VZ), technické a technologické problémy při </w:t>
      </w:r>
      <w:r w:rsidR="00501893">
        <w:rPr>
          <w:sz w:val="22"/>
          <w:szCs w:val="22"/>
        </w:rPr>
        <w:t>realizaci projektů</w:t>
      </w:r>
      <w:r w:rsidRPr="0097249A">
        <w:rPr>
          <w:sz w:val="22"/>
          <w:szCs w:val="22"/>
        </w:rPr>
        <w:t>, způsobilost výdajů, přesuny finančních prostředků do pozdějších etap</w:t>
      </w:r>
      <w:r>
        <w:rPr>
          <w:sz w:val="22"/>
          <w:szCs w:val="22"/>
        </w:rPr>
        <w:t>.</w:t>
      </w:r>
    </w:p>
    <w:p w:rsidR="00A13D07" w:rsidRPr="00A13D07" w:rsidRDefault="00A13D07" w:rsidP="00A13D07">
      <w:pPr>
        <w:jc w:val="both"/>
        <w:rPr>
          <w:sz w:val="22"/>
          <w:szCs w:val="22"/>
        </w:rPr>
      </w:pPr>
    </w:p>
    <w:p w:rsidR="0097249A" w:rsidRPr="00C865D3" w:rsidRDefault="0097249A" w:rsidP="008B4E17">
      <w:pPr>
        <w:jc w:val="both"/>
        <w:rPr>
          <w:b/>
          <w:sz w:val="22"/>
          <w:szCs w:val="22"/>
        </w:rPr>
      </w:pPr>
      <w:r w:rsidRPr="00C865D3">
        <w:rPr>
          <w:b/>
          <w:sz w:val="22"/>
          <w:szCs w:val="22"/>
        </w:rPr>
        <w:t>Přijatá opatření</w:t>
      </w:r>
    </w:p>
    <w:p w:rsidR="00501893" w:rsidRDefault="00501893" w:rsidP="008B4E17">
      <w:pPr>
        <w:jc w:val="both"/>
        <w:rPr>
          <w:sz w:val="22"/>
          <w:szCs w:val="22"/>
        </w:rPr>
      </w:pPr>
      <w:r>
        <w:rPr>
          <w:sz w:val="22"/>
          <w:szCs w:val="22"/>
        </w:rPr>
        <w:t>CRR provádí</w:t>
      </w:r>
      <w:r w:rsidR="009E1A4B">
        <w:rPr>
          <w:sz w:val="22"/>
          <w:szCs w:val="22"/>
        </w:rPr>
        <w:t xml:space="preserve"> u příjemců </w:t>
      </w:r>
      <w:r>
        <w:rPr>
          <w:sz w:val="22"/>
          <w:szCs w:val="22"/>
        </w:rPr>
        <w:t>k</w:t>
      </w:r>
      <w:r w:rsidRPr="00501893">
        <w:rPr>
          <w:sz w:val="22"/>
          <w:szCs w:val="22"/>
        </w:rPr>
        <w:t xml:space="preserve">onzultace k VŘ, ke způsobilosti výdajů, k podání </w:t>
      </w:r>
      <w:proofErr w:type="spellStart"/>
      <w:r w:rsidRPr="00501893">
        <w:rPr>
          <w:sz w:val="22"/>
          <w:szCs w:val="22"/>
        </w:rPr>
        <w:t>ŽoP</w:t>
      </w:r>
      <w:proofErr w:type="spellEnd"/>
      <w:r w:rsidRPr="00501893">
        <w:rPr>
          <w:sz w:val="22"/>
          <w:szCs w:val="22"/>
        </w:rPr>
        <w:t xml:space="preserve"> a M</w:t>
      </w:r>
      <w:r>
        <w:rPr>
          <w:sz w:val="22"/>
          <w:szCs w:val="22"/>
        </w:rPr>
        <w:t>Z na pobočkách CRR, zveřejňuje nejčastěji kladené dotazy. E</w:t>
      </w:r>
      <w:r w:rsidRPr="00501893">
        <w:rPr>
          <w:sz w:val="22"/>
          <w:szCs w:val="22"/>
        </w:rPr>
        <w:t>xpertními spolupracovníky</w:t>
      </w:r>
      <w:r>
        <w:rPr>
          <w:sz w:val="22"/>
          <w:szCs w:val="22"/>
        </w:rPr>
        <w:t xml:space="preserve"> je prováděna kontrola</w:t>
      </w:r>
      <w:r w:rsidRPr="00501893">
        <w:rPr>
          <w:sz w:val="22"/>
          <w:szCs w:val="22"/>
        </w:rPr>
        <w:t xml:space="preserve"> věcné způsobilosti výdajů a věcných změn, konzultace výběrových řízení s HQ, popř. využití expertů pro posouzení veřejných zakázek. </w:t>
      </w:r>
    </w:p>
    <w:p w:rsidR="0097249A" w:rsidRPr="0097249A" w:rsidRDefault="00501893" w:rsidP="0097249A">
      <w:pPr>
        <w:spacing w:after="120"/>
        <w:jc w:val="both"/>
        <w:rPr>
          <w:sz w:val="22"/>
          <w:szCs w:val="22"/>
        </w:rPr>
      </w:pPr>
      <w:r>
        <w:rPr>
          <w:sz w:val="22"/>
          <w:szCs w:val="22"/>
        </w:rPr>
        <w:t>CRR sleduje stav předkládaných ZD a stav ZŘ a vazby</w:t>
      </w:r>
      <w:r w:rsidRPr="00501893">
        <w:rPr>
          <w:sz w:val="22"/>
          <w:szCs w:val="22"/>
        </w:rPr>
        <w:t xml:space="preserve"> způsobilých výdajů z VŘ na etapu. </w:t>
      </w:r>
      <w:r w:rsidR="009E65B1">
        <w:rPr>
          <w:sz w:val="22"/>
          <w:szCs w:val="22"/>
        </w:rPr>
        <w:t>Z úrovně CRR jsou taktéž identifikovány rizikové a spící projekty a sledován další průběh</w:t>
      </w:r>
      <w:r w:rsidRPr="00501893">
        <w:rPr>
          <w:sz w:val="22"/>
          <w:szCs w:val="22"/>
        </w:rPr>
        <w:t xml:space="preserve"> realizace </w:t>
      </w:r>
      <w:r w:rsidR="009E65B1">
        <w:rPr>
          <w:sz w:val="22"/>
          <w:szCs w:val="22"/>
        </w:rPr>
        <w:br/>
      </w:r>
      <w:r w:rsidRPr="00501893">
        <w:rPr>
          <w:sz w:val="22"/>
          <w:szCs w:val="22"/>
        </w:rPr>
        <w:t xml:space="preserve">a plnění nápravných opatření. </w:t>
      </w:r>
      <w:r w:rsidR="009E65B1">
        <w:rPr>
          <w:sz w:val="22"/>
          <w:szCs w:val="22"/>
        </w:rPr>
        <w:t xml:space="preserve">U vytipovaných projektů je využíván projekt „Prevence“. CRR </w:t>
      </w:r>
      <w:r w:rsidR="00C707CF">
        <w:rPr>
          <w:sz w:val="22"/>
          <w:szCs w:val="22"/>
        </w:rPr>
        <w:t>po</w:t>
      </w:r>
      <w:r w:rsidR="009E65B1" w:rsidRPr="00501893">
        <w:rPr>
          <w:sz w:val="22"/>
          <w:szCs w:val="22"/>
        </w:rPr>
        <w:t>dle opatření k maximalizaci čerpání v roce 2014</w:t>
      </w:r>
      <w:r w:rsidR="009E65B1">
        <w:rPr>
          <w:sz w:val="22"/>
          <w:szCs w:val="22"/>
        </w:rPr>
        <w:t xml:space="preserve"> nastavilo interní postupy</w:t>
      </w:r>
      <w:r w:rsidRPr="00501893">
        <w:rPr>
          <w:sz w:val="22"/>
          <w:szCs w:val="22"/>
        </w:rPr>
        <w:t xml:space="preserve"> pro ur</w:t>
      </w:r>
      <w:r w:rsidR="009E65B1">
        <w:rPr>
          <w:sz w:val="22"/>
          <w:szCs w:val="22"/>
        </w:rPr>
        <w:t xml:space="preserve">ychlení administrace ŽOP. </w:t>
      </w:r>
      <w:r w:rsidR="00C707CF">
        <w:rPr>
          <w:sz w:val="22"/>
          <w:szCs w:val="22"/>
        </w:rPr>
        <w:t>Mezi přijatá opatření lze také zařadit z</w:t>
      </w:r>
      <w:r w:rsidR="00C707CF" w:rsidRPr="00501893">
        <w:rPr>
          <w:sz w:val="22"/>
          <w:szCs w:val="22"/>
        </w:rPr>
        <w:t xml:space="preserve">výšení alokace ve </w:t>
      </w:r>
      <w:r w:rsidR="00C707CF">
        <w:rPr>
          <w:sz w:val="22"/>
          <w:szCs w:val="22"/>
        </w:rPr>
        <w:t>v</w:t>
      </w:r>
      <w:r w:rsidR="00C707CF" w:rsidRPr="00501893">
        <w:rPr>
          <w:sz w:val="22"/>
          <w:szCs w:val="22"/>
        </w:rPr>
        <w:t xml:space="preserve">ýzvě č. 22. Na HQ </w:t>
      </w:r>
      <w:r w:rsidR="00C707CF">
        <w:rPr>
          <w:sz w:val="22"/>
          <w:szCs w:val="22"/>
        </w:rPr>
        <w:t xml:space="preserve">CRR je </w:t>
      </w:r>
      <w:r w:rsidR="00C707CF" w:rsidRPr="00501893">
        <w:rPr>
          <w:sz w:val="22"/>
          <w:szCs w:val="22"/>
        </w:rPr>
        <w:t>nastaven</w:t>
      </w:r>
      <w:r w:rsidR="00C707CF">
        <w:rPr>
          <w:sz w:val="22"/>
          <w:szCs w:val="22"/>
        </w:rPr>
        <w:t>ý</w:t>
      </w:r>
      <w:r w:rsidR="00C707CF" w:rsidRPr="00501893">
        <w:rPr>
          <w:sz w:val="22"/>
          <w:szCs w:val="22"/>
        </w:rPr>
        <w:t xml:space="preserve"> podrobn</w:t>
      </w:r>
      <w:r w:rsidR="00C707CF">
        <w:rPr>
          <w:sz w:val="22"/>
          <w:szCs w:val="22"/>
        </w:rPr>
        <w:t xml:space="preserve">ý monitoring procesu hodnocení </w:t>
      </w:r>
      <w:r w:rsidR="00C707CF" w:rsidRPr="00501893">
        <w:rPr>
          <w:sz w:val="22"/>
          <w:szCs w:val="22"/>
        </w:rPr>
        <w:t>a kontroly projektových žádostí.</w:t>
      </w:r>
    </w:p>
    <w:p w:rsidR="0097249A" w:rsidRPr="0097249A" w:rsidRDefault="0097249A" w:rsidP="008B4E17">
      <w:pPr>
        <w:jc w:val="both"/>
        <w:rPr>
          <w:b/>
          <w:sz w:val="22"/>
          <w:szCs w:val="22"/>
        </w:rPr>
      </w:pPr>
      <w:r w:rsidRPr="0097249A">
        <w:rPr>
          <w:b/>
          <w:sz w:val="22"/>
          <w:szCs w:val="22"/>
        </w:rPr>
        <w:t>Převis podaných projektových žádostí nad rámec alokace výzvy</w:t>
      </w:r>
    </w:p>
    <w:p w:rsidR="00C707CF" w:rsidRDefault="00C707CF" w:rsidP="00A13D07">
      <w:pPr>
        <w:jc w:val="both"/>
        <w:rPr>
          <w:sz w:val="22"/>
          <w:szCs w:val="22"/>
        </w:rPr>
      </w:pPr>
      <w:r w:rsidRPr="0097249A">
        <w:rPr>
          <w:sz w:val="22"/>
          <w:szCs w:val="22"/>
        </w:rPr>
        <w:t xml:space="preserve">Do 22. </w:t>
      </w:r>
      <w:r>
        <w:rPr>
          <w:sz w:val="22"/>
          <w:szCs w:val="22"/>
        </w:rPr>
        <w:t>v</w:t>
      </w:r>
      <w:r w:rsidRPr="0097249A">
        <w:rPr>
          <w:sz w:val="22"/>
          <w:szCs w:val="22"/>
        </w:rPr>
        <w:t xml:space="preserve">ýzvy bylo podáno 215 projektů. Původní alokace výzvy 250 mil. Kč, byla před uzavřením výzvy </w:t>
      </w:r>
      <w:r>
        <w:rPr>
          <w:sz w:val="22"/>
          <w:szCs w:val="22"/>
        </w:rPr>
        <w:t>z</w:t>
      </w:r>
      <w:r w:rsidRPr="0097249A">
        <w:rPr>
          <w:sz w:val="22"/>
          <w:szCs w:val="22"/>
        </w:rPr>
        <w:t xml:space="preserve">výšena na 400 mil. Kč. Tato alokace umožnila pokrýt potřeby 116 projektů.  </w:t>
      </w:r>
    </w:p>
    <w:p w:rsidR="00A13D07" w:rsidRDefault="00A13D07" w:rsidP="00A13D07">
      <w:pPr>
        <w:jc w:val="both"/>
        <w:rPr>
          <w:sz w:val="22"/>
          <w:szCs w:val="22"/>
        </w:rPr>
      </w:pPr>
    </w:p>
    <w:p w:rsidR="0097249A" w:rsidRPr="0097249A" w:rsidRDefault="0097249A" w:rsidP="008B4E17">
      <w:pPr>
        <w:jc w:val="both"/>
        <w:rPr>
          <w:b/>
          <w:sz w:val="22"/>
          <w:szCs w:val="22"/>
        </w:rPr>
      </w:pPr>
      <w:r w:rsidRPr="0097249A">
        <w:rPr>
          <w:b/>
          <w:sz w:val="22"/>
          <w:szCs w:val="22"/>
        </w:rPr>
        <w:t xml:space="preserve">Přijaté opatření: </w:t>
      </w:r>
    </w:p>
    <w:p w:rsidR="00C707CF" w:rsidRPr="0097249A" w:rsidRDefault="00C707CF" w:rsidP="008B4E17">
      <w:pPr>
        <w:jc w:val="both"/>
        <w:rPr>
          <w:sz w:val="22"/>
          <w:szCs w:val="22"/>
        </w:rPr>
      </w:pPr>
      <w:r w:rsidRPr="0097249A">
        <w:rPr>
          <w:sz w:val="22"/>
          <w:szCs w:val="22"/>
        </w:rPr>
        <w:t xml:space="preserve">V prosinci </w:t>
      </w:r>
      <w:r>
        <w:rPr>
          <w:sz w:val="22"/>
          <w:szCs w:val="22"/>
        </w:rPr>
        <w:t>z</w:t>
      </w:r>
      <w:r w:rsidRPr="0097249A">
        <w:rPr>
          <w:sz w:val="22"/>
          <w:szCs w:val="22"/>
        </w:rPr>
        <w:t>výš</w:t>
      </w:r>
      <w:r>
        <w:rPr>
          <w:sz w:val="22"/>
          <w:szCs w:val="22"/>
        </w:rPr>
        <w:t>il ŘO IOP</w:t>
      </w:r>
      <w:r w:rsidRPr="0097249A">
        <w:rPr>
          <w:sz w:val="22"/>
          <w:szCs w:val="22"/>
        </w:rPr>
        <w:t xml:space="preserve"> alokac</w:t>
      </w:r>
      <w:r>
        <w:rPr>
          <w:sz w:val="22"/>
          <w:szCs w:val="22"/>
        </w:rPr>
        <w:t>i</w:t>
      </w:r>
      <w:r w:rsidRPr="0097249A">
        <w:rPr>
          <w:sz w:val="22"/>
          <w:szCs w:val="22"/>
        </w:rPr>
        <w:t xml:space="preserve"> výzvy na celkových 697 mil. Kč. Tímto krokem bylo umožněno pokrýt </w:t>
      </w:r>
      <w:r>
        <w:rPr>
          <w:sz w:val="22"/>
          <w:szCs w:val="22"/>
        </w:rPr>
        <w:t xml:space="preserve">požadavky </w:t>
      </w:r>
      <w:r w:rsidRPr="0097249A">
        <w:rPr>
          <w:sz w:val="22"/>
          <w:szCs w:val="22"/>
        </w:rPr>
        <w:t>všec</w:t>
      </w:r>
      <w:r w:rsidR="00704025">
        <w:rPr>
          <w:sz w:val="22"/>
          <w:szCs w:val="22"/>
        </w:rPr>
        <w:t>h</w:t>
      </w:r>
      <w:r>
        <w:rPr>
          <w:sz w:val="22"/>
          <w:szCs w:val="22"/>
        </w:rPr>
        <w:t xml:space="preserve"> </w:t>
      </w:r>
      <w:r w:rsidRPr="0097249A">
        <w:rPr>
          <w:sz w:val="22"/>
          <w:szCs w:val="22"/>
        </w:rPr>
        <w:t>projekt</w:t>
      </w:r>
      <w:r>
        <w:rPr>
          <w:sz w:val="22"/>
          <w:szCs w:val="22"/>
        </w:rPr>
        <w:t>ů</w:t>
      </w:r>
      <w:r w:rsidRPr="0097249A">
        <w:rPr>
          <w:sz w:val="22"/>
          <w:szCs w:val="22"/>
        </w:rPr>
        <w:t xml:space="preserve"> v</w:t>
      </w:r>
      <w:r>
        <w:rPr>
          <w:sz w:val="22"/>
          <w:szCs w:val="22"/>
        </w:rPr>
        <w:t>e</w:t>
      </w:r>
      <w:r w:rsidRPr="0097249A">
        <w:rPr>
          <w:sz w:val="22"/>
          <w:szCs w:val="22"/>
        </w:rPr>
        <w:t> výzv</w:t>
      </w:r>
      <w:r>
        <w:rPr>
          <w:sz w:val="22"/>
          <w:szCs w:val="22"/>
        </w:rPr>
        <w:t>ě</w:t>
      </w:r>
      <w:r w:rsidRPr="0097249A">
        <w:rPr>
          <w:sz w:val="22"/>
          <w:szCs w:val="22"/>
        </w:rPr>
        <w:t>.</w:t>
      </w:r>
    </w:p>
    <w:p w:rsidR="009A17BE" w:rsidRPr="009026D3" w:rsidRDefault="009A17BE" w:rsidP="00C54F4C">
      <w:pPr>
        <w:rPr>
          <w:sz w:val="22"/>
          <w:szCs w:val="22"/>
        </w:rPr>
      </w:pPr>
    </w:p>
    <w:p w:rsidR="00A75862" w:rsidRPr="00555962" w:rsidRDefault="00237435" w:rsidP="000F2A6C">
      <w:pPr>
        <w:pStyle w:val="Nadpis3"/>
      </w:pPr>
      <w:bookmarkStart w:id="176" w:name="_Toc382407700"/>
      <w:bookmarkStart w:id="177" w:name="_Toc383084707"/>
      <w:bookmarkStart w:id="178" w:name="_Toc417024876"/>
      <w:r>
        <w:t xml:space="preserve">3.2.3 </w:t>
      </w:r>
      <w:r w:rsidR="00A75862" w:rsidRPr="009026D3">
        <w:t>Příklad projektu</w:t>
      </w:r>
      <w:bookmarkEnd w:id="176"/>
      <w:bookmarkEnd w:id="177"/>
      <w:bookmarkEnd w:id="178"/>
      <w:r w:rsidR="00A75862" w:rsidRPr="009026D3">
        <w:t xml:space="preserve"> </w:t>
      </w:r>
    </w:p>
    <w:p w:rsidR="00A75862" w:rsidRDefault="00A75862" w:rsidP="00104D50"/>
    <w:p w:rsidR="00A75862" w:rsidRDefault="00A75862" w:rsidP="00104D50">
      <w:pPr>
        <w:rPr>
          <w:sz w:val="22"/>
          <w:szCs w:val="22"/>
        </w:rPr>
      </w:pPr>
      <w:r w:rsidRPr="00B44725">
        <w:rPr>
          <w:b/>
          <w:sz w:val="22"/>
          <w:szCs w:val="22"/>
        </w:rPr>
        <w:t>Oblast intervence:</w:t>
      </w:r>
      <w:r>
        <w:rPr>
          <w:sz w:val="22"/>
          <w:szCs w:val="22"/>
        </w:rPr>
        <w:t xml:space="preserve"> 2.1 Zavádění ICT do územní veřejné správy</w:t>
      </w:r>
    </w:p>
    <w:p w:rsidR="002039E5" w:rsidRPr="00781204" w:rsidRDefault="00A75862" w:rsidP="002039E5">
      <w:pPr>
        <w:jc w:val="both"/>
        <w:rPr>
          <w:sz w:val="22"/>
          <w:szCs w:val="22"/>
        </w:rPr>
      </w:pPr>
      <w:r w:rsidRPr="00B44725">
        <w:rPr>
          <w:b/>
          <w:sz w:val="22"/>
          <w:szCs w:val="22"/>
        </w:rPr>
        <w:t>Název projektu (registrační číslo)</w:t>
      </w:r>
      <w:r>
        <w:rPr>
          <w:b/>
          <w:sz w:val="22"/>
          <w:szCs w:val="22"/>
        </w:rPr>
        <w:t xml:space="preserve">: </w:t>
      </w:r>
      <w:r w:rsidR="002039E5" w:rsidRPr="00781204">
        <w:rPr>
          <w:sz w:val="22"/>
          <w:szCs w:val="22"/>
        </w:rPr>
        <w:t>Digi</w:t>
      </w:r>
      <w:r w:rsidR="00616AB2">
        <w:rPr>
          <w:sz w:val="22"/>
          <w:szCs w:val="22"/>
        </w:rPr>
        <w:t>talizace Archivu města Ostravy, CZ.1.06/2.1.00/09.07292</w:t>
      </w:r>
    </w:p>
    <w:p w:rsidR="00A75862" w:rsidRPr="00781204" w:rsidRDefault="00A75862" w:rsidP="00104D50">
      <w:pPr>
        <w:rPr>
          <w:sz w:val="22"/>
          <w:szCs w:val="22"/>
        </w:rPr>
      </w:pPr>
      <w:r w:rsidRPr="00B44725">
        <w:rPr>
          <w:b/>
          <w:sz w:val="22"/>
          <w:szCs w:val="22"/>
        </w:rPr>
        <w:t>Příjemce:</w:t>
      </w:r>
      <w:r>
        <w:rPr>
          <w:sz w:val="22"/>
          <w:szCs w:val="22"/>
        </w:rPr>
        <w:t xml:space="preserve"> </w:t>
      </w:r>
      <w:r w:rsidR="002039E5" w:rsidRPr="00781204">
        <w:rPr>
          <w:sz w:val="22"/>
          <w:szCs w:val="22"/>
        </w:rPr>
        <w:t>Statutární město Ostrava</w:t>
      </w:r>
    </w:p>
    <w:p w:rsidR="00A75862" w:rsidRDefault="00A75862" w:rsidP="00104D50">
      <w:pPr>
        <w:rPr>
          <w:sz w:val="22"/>
          <w:szCs w:val="22"/>
        </w:rPr>
      </w:pPr>
      <w:r w:rsidRPr="00B44725">
        <w:rPr>
          <w:b/>
          <w:sz w:val="22"/>
          <w:szCs w:val="22"/>
        </w:rPr>
        <w:t>Financování projektu:</w:t>
      </w:r>
      <w:r>
        <w:rPr>
          <w:sz w:val="22"/>
          <w:szCs w:val="22"/>
        </w:rPr>
        <w:t xml:space="preserve"> celkový rozpočet </w:t>
      </w:r>
      <w:r w:rsidR="00781204" w:rsidRPr="00781204">
        <w:rPr>
          <w:sz w:val="22"/>
          <w:szCs w:val="22"/>
        </w:rPr>
        <w:t>40 361 620 Kč (příspěvek SF 34 307 377 Kč a příspěvek SR 0 Kč)</w:t>
      </w:r>
      <w:r>
        <w:rPr>
          <w:sz w:val="22"/>
          <w:szCs w:val="22"/>
        </w:rPr>
        <w:t xml:space="preserve"> </w:t>
      </w:r>
    </w:p>
    <w:p w:rsidR="009A17BE" w:rsidRDefault="009A17BE" w:rsidP="00642923">
      <w:pPr>
        <w:spacing w:after="120"/>
        <w:jc w:val="both"/>
        <w:rPr>
          <w:sz w:val="22"/>
          <w:szCs w:val="22"/>
        </w:rPr>
      </w:pPr>
    </w:p>
    <w:p w:rsidR="00EF7C54" w:rsidRPr="00781204" w:rsidRDefault="00EF7C54" w:rsidP="00EF7C54">
      <w:pPr>
        <w:jc w:val="both"/>
        <w:rPr>
          <w:sz w:val="22"/>
          <w:szCs w:val="22"/>
        </w:rPr>
      </w:pPr>
      <w:r w:rsidRPr="00781204">
        <w:rPr>
          <w:sz w:val="22"/>
          <w:szCs w:val="22"/>
        </w:rPr>
        <w:t>Předmětem projektu je digitalizace archiválií</w:t>
      </w:r>
      <w:r>
        <w:rPr>
          <w:sz w:val="22"/>
          <w:szCs w:val="22"/>
        </w:rPr>
        <w:t>,</w:t>
      </w:r>
      <w:r w:rsidRPr="00781204">
        <w:rPr>
          <w:sz w:val="22"/>
          <w:szCs w:val="22"/>
        </w:rPr>
        <w:t xml:space="preserve"> evidovaných ve skupině úředních knih v objemu </w:t>
      </w:r>
      <w:r>
        <w:rPr>
          <w:sz w:val="22"/>
          <w:szCs w:val="22"/>
        </w:rPr>
        <w:br/>
      </w:r>
      <w:r w:rsidRPr="00781204">
        <w:rPr>
          <w:sz w:val="22"/>
          <w:szCs w:val="22"/>
        </w:rPr>
        <w:t>cca 1 600 000 stran</w:t>
      </w:r>
      <w:r>
        <w:rPr>
          <w:sz w:val="22"/>
          <w:szCs w:val="22"/>
        </w:rPr>
        <w:t>,</w:t>
      </w:r>
      <w:r w:rsidRPr="00781204">
        <w:rPr>
          <w:sz w:val="22"/>
          <w:szCs w:val="22"/>
        </w:rPr>
        <w:t xml:space="preserve"> a převedení vybraných archiválií do elektronické podoby</w:t>
      </w:r>
      <w:r>
        <w:rPr>
          <w:sz w:val="22"/>
          <w:szCs w:val="22"/>
        </w:rPr>
        <w:t>.</w:t>
      </w:r>
      <w:r w:rsidRPr="00781204">
        <w:rPr>
          <w:sz w:val="22"/>
          <w:szCs w:val="22"/>
        </w:rPr>
        <w:t xml:space="preserve"> </w:t>
      </w:r>
      <w:r>
        <w:rPr>
          <w:sz w:val="22"/>
          <w:szCs w:val="22"/>
        </w:rPr>
        <w:t>T</w:t>
      </w:r>
      <w:r w:rsidRPr="00781204">
        <w:rPr>
          <w:sz w:val="22"/>
          <w:szCs w:val="22"/>
        </w:rPr>
        <w:t xml:space="preserve">ím </w:t>
      </w:r>
      <w:r>
        <w:rPr>
          <w:sz w:val="22"/>
          <w:szCs w:val="22"/>
        </w:rPr>
        <w:t xml:space="preserve">se </w:t>
      </w:r>
      <w:r w:rsidRPr="00781204">
        <w:rPr>
          <w:sz w:val="22"/>
          <w:szCs w:val="22"/>
        </w:rPr>
        <w:t>elimin</w:t>
      </w:r>
      <w:r>
        <w:rPr>
          <w:sz w:val="22"/>
          <w:szCs w:val="22"/>
        </w:rPr>
        <w:t>uje</w:t>
      </w:r>
      <w:r w:rsidRPr="00781204">
        <w:rPr>
          <w:sz w:val="22"/>
          <w:szCs w:val="22"/>
        </w:rPr>
        <w:t xml:space="preserve"> riziko fyzického poškození a rozpadu listinné form</w:t>
      </w:r>
      <w:r>
        <w:rPr>
          <w:sz w:val="22"/>
          <w:szCs w:val="22"/>
        </w:rPr>
        <w:t>y</w:t>
      </w:r>
      <w:r w:rsidRPr="00781204">
        <w:rPr>
          <w:sz w:val="22"/>
          <w:szCs w:val="22"/>
        </w:rPr>
        <w:t xml:space="preserve">, která </w:t>
      </w:r>
      <w:r>
        <w:rPr>
          <w:sz w:val="22"/>
          <w:szCs w:val="22"/>
        </w:rPr>
        <w:t>má omezenou</w:t>
      </w:r>
      <w:r w:rsidRPr="00781204">
        <w:rPr>
          <w:sz w:val="22"/>
          <w:szCs w:val="22"/>
        </w:rPr>
        <w:t xml:space="preserve"> životnost</w:t>
      </w:r>
      <w:r>
        <w:rPr>
          <w:sz w:val="22"/>
          <w:szCs w:val="22"/>
        </w:rPr>
        <w:t>,</w:t>
      </w:r>
      <w:r w:rsidRPr="00781204">
        <w:rPr>
          <w:sz w:val="22"/>
          <w:szCs w:val="22"/>
        </w:rPr>
        <w:t xml:space="preserve"> a zajist</w:t>
      </w:r>
      <w:r>
        <w:rPr>
          <w:sz w:val="22"/>
          <w:szCs w:val="22"/>
        </w:rPr>
        <w:t>í se</w:t>
      </w:r>
      <w:r w:rsidRPr="00781204">
        <w:rPr>
          <w:sz w:val="22"/>
          <w:szCs w:val="22"/>
        </w:rPr>
        <w:t xml:space="preserve"> veřejný přístup k datům prostřednictvím webového portálu. Tento cíl bude naplněn vytvořením technické infrastruktury nezbytné pro archivaci dat</w:t>
      </w:r>
      <w:r>
        <w:rPr>
          <w:sz w:val="22"/>
          <w:szCs w:val="22"/>
        </w:rPr>
        <w:t xml:space="preserve"> a</w:t>
      </w:r>
      <w:r w:rsidRPr="00781204">
        <w:rPr>
          <w:sz w:val="22"/>
          <w:szCs w:val="22"/>
        </w:rPr>
        <w:t xml:space="preserve"> implementací aplikačního prostředí</w:t>
      </w:r>
      <w:r>
        <w:rPr>
          <w:sz w:val="22"/>
          <w:szCs w:val="22"/>
        </w:rPr>
        <w:t>, které</w:t>
      </w:r>
      <w:r w:rsidRPr="00781204">
        <w:rPr>
          <w:sz w:val="22"/>
          <w:szCs w:val="22"/>
        </w:rPr>
        <w:t xml:space="preserve"> umož</w:t>
      </w:r>
      <w:r>
        <w:rPr>
          <w:sz w:val="22"/>
          <w:szCs w:val="22"/>
        </w:rPr>
        <w:t>n</w:t>
      </w:r>
      <w:r w:rsidRPr="00781204">
        <w:rPr>
          <w:sz w:val="22"/>
          <w:szCs w:val="22"/>
        </w:rPr>
        <w:t xml:space="preserve">í organizaci elektronického archivu a fyzickou digitalizací vybraných archiválií. </w:t>
      </w:r>
    </w:p>
    <w:p w:rsidR="00781204" w:rsidRDefault="00781204" w:rsidP="00642923">
      <w:pPr>
        <w:spacing w:after="120"/>
        <w:jc w:val="both"/>
        <w:rPr>
          <w:sz w:val="22"/>
          <w:szCs w:val="22"/>
        </w:rPr>
      </w:pPr>
    </w:p>
    <w:p w:rsidR="00A75862" w:rsidRDefault="006979C2" w:rsidP="006979C2">
      <w:pPr>
        <w:pStyle w:val="Nadpis2"/>
        <w:rPr>
          <w:rFonts w:ascii="Times New Roman" w:hAnsi="Times New Roman"/>
          <w:i w:val="0"/>
        </w:rPr>
      </w:pPr>
      <w:bookmarkStart w:id="179" w:name="_Toc417024877"/>
      <w:r>
        <w:rPr>
          <w:rFonts w:ascii="Times New Roman" w:hAnsi="Times New Roman"/>
          <w:i w:val="0"/>
        </w:rPr>
        <w:lastRenderedPageBreak/>
        <w:t xml:space="preserve">3.3 </w:t>
      </w:r>
      <w:r w:rsidR="00A75862" w:rsidRPr="009026D3">
        <w:rPr>
          <w:rFonts w:ascii="Times New Roman" w:hAnsi="Times New Roman"/>
          <w:i w:val="0"/>
        </w:rPr>
        <w:t>Prioritní osa 3 – Zvýšení kvality a dostupnosti veřejných služeb</w:t>
      </w:r>
      <w:bookmarkEnd w:id="179"/>
    </w:p>
    <w:p w:rsidR="00A75862" w:rsidRDefault="00A75862" w:rsidP="000D2834">
      <w:pPr>
        <w:jc w:val="both"/>
        <w:rPr>
          <w:sz w:val="22"/>
          <w:szCs w:val="22"/>
        </w:rPr>
      </w:pPr>
      <w:r>
        <w:rPr>
          <w:sz w:val="22"/>
          <w:szCs w:val="22"/>
        </w:rPr>
        <w:t>Aktivity prioritní osy 3 navazují na intervence v oblasti zlepšení kvality a efektivity fungování veřejné správy</w:t>
      </w:r>
      <w:r w:rsidR="00B81444">
        <w:rPr>
          <w:sz w:val="22"/>
          <w:szCs w:val="22"/>
        </w:rPr>
        <w:t xml:space="preserve"> (prioritní osa 1 a prioritní osa 2)</w:t>
      </w:r>
      <w:r>
        <w:rPr>
          <w:sz w:val="22"/>
          <w:szCs w:val="22"/>
        </w:rPr>
        <w:t xml:space="preserve">. Společným záměrem je zlepšení organizace, financování </w:t>
      </w:r>
      <w:r w:rsidR="00220BD6">
        <w:rPr>
          <w:sz w:val="22"/>
          <w:szCs w:val="22"/>
        </w:rPr>
        <w:br/>
      </w:r>
      <w:r>
        <w:rPr>
          <w:sz w:val="22"/>
          <w:szCs w:val="22"/>
        </w:rPr>
        <w:t xml:space="preserve">a procesu hodnocení veřejných služeb. Důraz se klade na vyšší využití residenčního poskytování služeb, orientaci na preventivní opatření standardizaci kvality a dostupnosti specializovaných služeb </w:t>
      </w:r>
      <w:r w:rsidR="00220BD6">
        <w:rPr>
          <w:sz w:val="22"/>
          <w:szCs w:val="22"/>
        </w:rPr>
        <w:br/>
      </w:r>
      <w:r>
        <w:rPr>
          <w:sz w:val="22"/>
          <w:szCs w:val="22"/>
        </w:rPr>
        <w:t xml:space="preserve">a prosazování individuálního přístupu ke klientům. Základním předpokladem pro rychlé a efektivní změny se zachováním standardů ve všech regionech je koordinovaný přístup z národní úrovně. </w:t>
      </w:r>
    </w:p>
    <w:p w:rsidR="00A75862" w:rsidRDefault="00A75862" w:rsidP="000D2834">
      <w:pPr>
        <w:jc w:val="both"/>
        <w:rPr>
          <w:sz w:val="22"/>
          <w:szCs w:val="22"/>
        </w:rPr>
      </w:pPr>
    </w:p>
    <w:p w:rsidR="00A75862" w:rsidRDefault="00A75862" w:rsidP="000D2834">
      <w:pPr>
        <w:jc w:val="both"/>
        <w:rPr>
          <w:sz w:val="22"/>
          <w:szCs w:val="22"/>
        </w:rPr>
      </w:pPr>
      <w:r>
        <w:rPr>
          <w:sz w:val="22"/>
          <w:szCs w:val="22"/>
        </w:rPr>
        <w:t xml:space="preserve">Prioritní osa se zaměřuje na </w:t>
      </w:r>
      <w:r w:rsidRPr="00865E58">
        <w:rPr>
          <w:b/>
          <w:sz w:val="22"/>
          <w:szCs w:val="22"/>
        </w:rPr>
        <w:t>čtyři oblasti intervence:</w:t>
      </w:r>
    </w:p>
    <w:p w:rsidR="00A75862" w:rsidRDefault="00A75862" w:rsidP="002E608B">
      <w:pPr>
        <w:numPr>
          <w:ilvl w:val="0"/>
          <w:numId w:val="15"/>
        </w:numPr>
        <w:rPr>
          <w:sz w:val="22"/>
          <w:szCs w:val="22"/>
        </w:rPr>
      </w:pPr>
      <w:r>
        <w:rPr>
          <w:sz w:val="22"/>
          <w:szCs w:val="22"/>
        </w:rPr>
        <w:t>3.1 – Služby v oblasti sociální integrace,</w:t>
      </w:r>
    </w:p>
    <w:p w:rsidR="00A75862" w:rsidRDefault="00A75862" w:rsidP="002E608B">
      <w:pPr>
        <w:numPr>
          <w:ilvl w:val="0"/>
          <w:numId w:val="15"/>
        </w:numPr>
        <w:rPr>
          <w:sz w:val="22"/>
          <w:szCs w:val="22"/>
        </w:rPr>
      </w:pPr>
      <w:r>
        <w:rPr>
          <w:sz w:val="22"/>
          <w:szCs w:val="22"/>
        </w:rPr>
        <w:t>3.2 – Služby v oblasti veřejného zdraví,</w:t>
      </w:r>
    </w:p>
    <w:p w:rsidR="00A75862" w:rsidRPr="00AD56FB" w:rsidRDefault="00A75862" w:rsidP="002E608B">
      <w:pPr>
        <w:numPr>
          <w:ilvl w:val="0"/>
          <w:numId w:val="15"/>
        </w:numPr>
        <w:rPr>
          <w:b/>
          <w:sz w:val="28"/>
          <w:szCs w:val="28"/>
        </w:rPr>
      </w:pPr>
      <w:r w:rsidRPr="00AD56FB">
        <w:rPr>
          <w:sz w:val="22"/>
          <w:szCs w:val="22"/>
        </w:rPr>
        <w:t>3.3 – Služby v oblasti zaměstnanosti,</w:t>
      </w:r>
    </w:p>
    <w:p w:rsidR="00A75862" w:rsidRPr="00AD56FB" w:rsidRDefault="00A75862" w:rsidP="002E608B">
      <w:pPr>
        <w:numPr>
          <w:ilvl w:val="0"/>
          <w:numId w:val="15"/>
        </w:numPr>
        <w:rPr>
          <w:b/>
          <w:sz w:val="28"/>
          <w:szCs w:val="28"/>
        </w:rPr>
      </w:pPr>
      <w:r w:rsidRPr="00AD56FB">
        <w:rPr>
          <w:sz w:val="22"/>
          <w:szCs w:val="22"/>
        </w:rPr>
        <w:t>3.4 – Služby v oblasti bezpečnosti, prevence a řešení rizik.</w:t>
      </w:r>
    </w:p>
    <w:p w:rsidR="00A75862" w:rsidRPr="00555962" w:rsidRDefault="00A75862" w:rsidP="00555962"/>
    <w:p w:rsidR="007B520E" w:rsidRDefault="007B520E" w:rsidP="000F2A6C">
      <w:pPr>
        <w:pStyle w:val="Nadpis3"/>
      </w:pPr>
      <w:bookmarkStart w:id="180" w:name="_Toc417024878"/>
      <w:bookmarkStart w:id="181" w:name="_Toc382407705"/>
      <w:bookmarkStart w:id="182" w:name="_Toc383084709"/>
      <w:r>
        <w:t>3.3</w:t>
      </w:r>
      <w:r w:rsidRPr="009026D3">
        <w:t>.1 Dosažený pokrok a jeho analýza</w:t>
      </w:r>
      <w:bookmarkEnd w:id="180"/>
    </w:p>
    <w:p w:rsidR="00F15299" w:rsidRDefault="00F15299" w:rsidP="005A18F0">
      <w:pPr>
        <w:jc w:val="both"/>
        <w:rPr>
          <w:b/>
          <w:sz w:val="24"/>
          <w:szCs w:val="24"/>
        </w:rPr>
      </w:pPr>
    </w:p>
    <w:p w:rsidR="00DB06EA" w:rsidRPr="005A18F0" w:rsidRDefault="000401D3" w:rsidP="005A18F0">
      <w:pPr>
        <w:jc w:val="both"/>
        <w:rPr>
          <w:b/>
          <w:sz w:val="24"/>
          <w:szCs w:val="24"/>
        </w:rPr>
      </w:pPr>
      <w:r w:rsidRPr="005A18F0">
        <w:rPr>
          <w:b/>
          <w:sz w:val="24"/>
          <w:szCs w:val="24"/>
        </w:rPr>
        <w:t>3.3.1. A Informace</w:t>
      </w:r>
      <w:r w:rsidR="00DB06EA" w:rsidRPr="005A18F0">
        <w:rPr>
          <w:b/>
          <w:sz w:val="24"/>
          <w:szCs w:val="24"/>
        </w:rPr>
        <w:t xml:space="preserve"> o fyzickém a finančním pokroku</w:t>
      </w:r>
      <w:bookmarkEnd w:id="181"/>
      <w:bookmarkEnd w:id="182"/>
    </w:p>
    <w:p w:rsidR="007232F7" w:rsidRDefault="007232F7" w:rsidP="00CD5B29">
      <w:bookmarkStart w:id="183" w:name="_Toc382407706"/>
    </w:p>
    <w:p w:rsidR="00DB06EA" w:rsidRPr="00CD5B29" w:rsidRDefault="00DB06EA" w:rsidP="00CD5B29">
      <w:pPr>
        <w:rPr>
          <w:b/>
        </w:rPr>
      </w:pPr>
      <w:r w:rsidRPr="00CD5B29">
        <w:rPr>
          <w:b/>
        </w:rPr>
        <w:t>Realizace prioritní osy</w:t>
      </w:r>
      <w:bookmarkEnd w:id="183"/>
    </w:p>
    <w:p w:rsidR="00DB06EA" w:rsidRDefault="00DB06EA" w:rsidP="00DB06EA">
      <w:pPr>
        <w:rPr>
          <w:sz w:val="22"/>
          <w:szCs w:val="22"/>
          <w:u w:val="single"/>
        </w:rPr>
      </w:pPr>
    </w:p>
    <w:p w:rsidR="00DB06EA" w:rsidRPr="005C22C2" w:rsidRDefault="00DB06EA" w:rsidP="00DB06EA">
      <w:pPr>
        <w:rPr>
          <w:sz w:val="22"/>
          <w:szCs w:val="22"/>
          <w:u w:val="single"/>
        </w:rPr>
      </w:pPr>
      <w:r w:rsidRPr="005C22C2">
        <w:rPr>
          <w:sz w:val="22"/>
          <w:szCs w:val="22"/>
          <w:u w:val="single"/>
        </w:rPr>
        <w:t>Výzvy</w:t>
      </w:r>
    </w:p>
    <w:p w:rsidR="00DB06EA" w:rsidRDefault="00DB06EA" w:rsidP="00DB06EA">
      <w:pPr>
        <w:jc w:val="both"/>
        <w:rPr>
          <w:b/>
          <w:sz w:val="24"/>
          <w:szCs w:val="24"/>
        </w:rPr>
      </w:pPr>
    </w:p>
    <w:p w:rsidR="00C707CF" w:rsidRPr="00930076" w:rsidRDefault="00C707CF" w:rsidP="00C707CF">
      <w:pPr>
        <w:spacing w:after="120"/>
        <w:rPr>
          <w:rStyle w:val="slovnik"/>
          <w:sz w:val="22"/>
          <w:szCs w:val="22"/>
        </w:rPr>
      </w:pPr>
      <w:r w:rsidRPr="00EB7DAE">
        <w:rPr>
          <w:rStyle w:val="slovnik"/>
          <w:b/>
          <w:sz w:val="22"/>
          <w:szCs w:val="22"/>
        </w:rPr>
        <w:t>V oblasti intervence 3.</w:t>
      </w:r>
      <w:r>
        <w:rPr>
          <w:rStyle w:val="slovnik"/>
          <w:b/>
          <w:sz w:val="22"/>
          <w:szCs w:val="22"/>
        </w:rPr>
        <w:t>1</w:t>
      </w:r>
      <w:r w:rsidRPr="00EB7DAE">
        <w:rPr>
          <w:rStyle w:val="slovnik"/>
          <w:sz w:val="22"/>
          <w:szCs w:val="22"/>
        </w:rPr>
        <w:t xml:space="preserve"> </w:t>
      </w:r>
      <w:r>
        <w:rPr>
          <w:sz w:val="22"/>
          <w:szCs w:val="22"/>
        </w:rPr>
        <w:t>nebyly v roce 2014 vyhlášeny a neprobíhaly žádné výzvy.</w:t>
      </w:r>
    </w:p>
    <w:p w:rsidR="00F5168F" w:rsidRPr="00F5168F" w:rsidRDefault="00DB06EA" w:rsidP="00F5168F">
      <w:pPr>
        <w:jc w:val="both"/>
        <w:rPr>
          <w:sz w:val="22"/>
          <w:szCs w:val="22"/>
        </w:rPr>
      </w:pPr>
      <w:r w:rsidRPr="00F5168F">
        <w:rPr>
          <w:rStyle w:val="slovnik"/>
          <w:b/>
          <w:sz w:val="22"/>
          <w:szCs w:val="22"/>
        </w:rPr>
        <w:t>V oblasti intervence 3.</w:t>
      </w:r>
      <w:r w:rsidR="00F5168F" w:rsidRPr="00F5168F">
        <w:rPr>
          <w:sz w:val="22"/>
          <w:szCs w:val="22"/>
        </w:rPr>
        <w:t xml:space="preserve"> </w:t>
      </w:r>
      <w:r w:rsidR="00F5168F" w:rsidRPr="00F5168F">
        <w:rPr>
          <w:b/>
          <w:sz w:val="22"/>
          <w:szCs w:val="22"/>
        </w:rPr>
        <w:t>2</w:t>
      </w:r>
      <w:r w:rsidR="00F5168F" w:rsidRPr="00F5168F">
        <w:rPr>
          <w:sz w:val="22"/>
          <w:szCs w:val="22"/>
        </w:rPr>
        <w:t xml:space="preserve"> byly vyhlášeny v roce 2014 celkem dvě výzvy. Výzva č. 17 byla zaměřena na aktivitu 3.2c) řízení kvality a nákladovosti systému veřejného zdraví, a bylo do ní přijato </w:t>
      </w:r>
      <w:r w:rsidR="00F5168F">
        <w:rPr>
          <w:sz w:val="22"/>
          <w:szCs w:val="22"/>
        </w:rPr>
        <w:br/>
      </w:r>
      <w:r w:rsidR="00F5168F" w:rsidRPr="00F5168F">
        <w:rPr>
          <w:sz w:val="22"/>
          <w:szCs w:val="22"/>
        </w:rPr>
        <w:t xml:space="preserve">8 projektových žádostí, které úspěšně prošly hodnotícím a výběrovým procesem a byl na ně vydán právní akt. </w:t>
      </w:r>
    </w:p>
    <w:p w:rsidR="00F5168F" w:rsidRPr="00F5168F" w:rsidRDefault="00F5168F" w:rsidP="00F5168F">
      <w:pPr>
        <w:jc w:val="both"/>
        <w:rPr>
          <w:sz w:val="22"/>
          <w:szCs w:val="22"/>
        </w:rPr>
      </w:pPr>
    </w:p>
    <w:p w:rsidR="00F5168F" w:rsidRPr="00F5168F" w:rsidRDefault="00F5168F" w:rsidP="00F5168F">
      <w:pPr>
        <w:jc w:val="both"/>
        <w:rPr>
          <w:sz w:val="22"/>
          <w:szCs w:val="22"/>
        </w:rPr>
      </w:pPr>
      <w:r w:rsidRPr="00F5168F">
        <w:rPr>
          <w:sz w:val="22"/>
          <w:szCs w:val="22"/>
        </w:rPr>
        <w:t xml:space="preserve">Druhou výzvou byla výzva č. 18 zaměřená na aktivitu 3.2a) řízená modernizace a obnova přístrojového vybavení včetně technické zázemí v rámci traumatologické sítě. Do této výzvy bylo přijato 11 projektových žádostí, které úspěšně prošly hodnotícím a výběrovým procesem. Na 10 z nich </w:t>
      </w:r>
      <w:proofErr w:type="gramStart"/>
      <w:r w:rsidRPr="00F5168F">
        <w:rPr>
          <w:sz w:val="22"/>
          <w:szCs w:val="22"/>
        </w:rPr>
        <w:t>byl</w:t>
      </w:r>
      <w:proofErr w:type="gramEnd"/>
      <w:r w:rsidRPr="00F5168F">
        <w:rPr>
          <w:sz w:val="22"/>
          <w:szCs w:val="22"/>
        </w:rPr>
        <w:t xml:space="preserve"> vydán právní akt. Poslední projekt </w:t>
      </w:r>
      <w:proofErr w:type="gramStart"/>
      <w:r w:rsidRPr="00F5168F">
        <w:rPr>
          <w:sz w:val="22"/>
          <w:szCs w:val="22"/>
        </w:rPr>
        <w:t>čeká</w:t>
      </w:r>
      <w:proofErr w:type="gramEnd"/>
      <w:r w:rsidRPr="00F5168F">
        <w:rPr>
          <w:sz w:val="22"/>
          <w:szCs w:val="22"/>
        </w:rPr>
        <w:t xml:space="preserve"> na vydání právního aktu Ministerstvem obrany. Absorpční kapacita prováděná pro aktivitu 3.2 a) vykazuje enormní zájem žadatelů do všech specializovaných národních sítí. </w:t>
      </w:r>
    </w:p>
    <w:p w:rsidR="00F5168F" w:rsidRPr="00F5168F" w:rsidRDefault="00F5168F" w:rsidP="00F5168F">
      <w:pPr>
        <w:jc w:val="both"/>
        <w:rPr>
          <w:sz w:val="22"/>
          <w:szCs w:val="22"/>
        </w:rPr>
      </w:pPr>
    </w:p>
    <w:p w:rsidR="00F5168F" w:rsidRPr="00F5168F" w:rsidRDefault="00F5168F" w:rsidP="00F5168F">
      <w:pPr>
        <w:jc w:val="both"/>
        <w:rPr>
          <w:sz w:val="22"/>
          <w:szCs w:val="22"/>
        </w:rPr>
      </w:pPr>
      <w:r w:rsidRPr="00F5168F">
        <w:rPr>
          <w:color w:val="000000"/>
          <w:sz w:val="22"/>
          <w:szCs w:val="22"/>
        </w:rPr>
        <w:t xml:space="preserve">OI 3.2 byla v roce 2014 postižena zablokováním certifikačního procesu ze strany Evropské komise. Tato skutečnost se promítla do pozastavení vydávání právních aktů na projekty předložené do </w:t>
      </w:r>
      <w:r>
        <w:rPr>
          <w:color w:val="000000"/>
          <w:sz w:val="22"/>
          <w:szCs w:val="22"/>
        </w:rPr>
        <w:br/>
      </w:r>
      <w:r w:rsidRPr="00F5168F">
        <w:rPr>
          <w:color w:val="000000"/>
          <w:sz w:val="22"/>
          <w:szCs w:val="22"/>
        </w:rPr>
        <w:t xml:space="preserve">17. a 18. výzvy z důvodu minimalizace rizika </w:t>
      </w:r>
      <w:proofErr w:type="spellStart"/>
      <w:r w:rsidRPr="00F5168F">
        <w:rPr>
          <w:color w:val="000000"/>
          <w:sz w:val="22"/>
          <w:szCs w:val="22"/>
        </w:rPr>
        <w:t>přezávazkování</w:t>
      </w:r>
      <w:proofErr w:type="spellEnd"/>
      <w:r w:rsidRPr="00F5168F">
        <w:rPr>
          <w:color w:val="000000"/>
          <w:sz w:val="22"/>
          <w:szCs w:val="22"/>
        </w:rPr>
        <w:t xml:space="preserve"> SR (zpětná refundace od EK by byla nižší než objem </w:t>
      </w:r>
      <w:proofErr w:type="spellStart"/>
      <w:r w:rsidRPr="00F5168F">
        <w:rPr>
          <w:color w:val="000000"/>
          <w:sz w:val="22"/>
          <w:szCs w:val="22"/>
        </w:rPr>
        <w:t>zazávazkovaných</w:t>
      </w:r>
      <w:proofErr w:type="spellEnd"/>
      <w:r w:rsidRPr="00F5168F">
        <w:rPr>
          <w:color w:val="000000"/>
          <w:sz w:val="22"/>
          <w:szCs w:val="22"/>
        </w:rPr>
        <w:t xml:space="preserve"> prostředků). Právní akty byly až na výjimky vydány koncem roku 2014, kdy z finální auditní zprávy nevyplynuly téměř žádné dodatečné požadavky na zatížení rozpočtové kapitoly Ministerstva zdravotnictví, čímž pominulo riziko </w:t>
      </w:r>
      <w:proofErr w:type="spellStart"/>
      <w:r w:rsidRPr="00F5168F">
        <w:rPr>
          <w:color w:val="000000"/>
          <w:sz w:val="22"/>
          <w:szCs w:val="22"/>
        </w:rPr>
        <w:t>přezávazkování</w:t>
      </w:r>
      <w:proofErr w:type="spellEnd"/>
      <w:r w:rsidRPr="00F5168F">
        <w:rPr>
          <w:color w:val="000000"/>
          <w:sz w:val="22"/>
          <w:szCs w:val="22"/>
        </w:rPr>
        <w:t>. Závěrečná auditní zpráva prokázala funkčnost kontrolních mechanismů, čímž  ŘO i Ministerstvo zdravotnictví dostalo ujištění o bezproblémovém průběhu další implementace a čerpání dotačních prostředků.</w:t>
      </w:r>
    </w:p>
    <w:p w:rsidR="00F5168F" w:rsidRPr="00F5168F" w:rsidRDefault="00F5168F" w:rsidP="00F5168F">
      <w:pPr>
        <w:jc w:val="both"/>
        <w:rPr>
          <w:sz w:val="22"/>
          <w:szCs w:val="22"/>
        </w:rPr>
      </w:pPr>
      <w:r w:rsidRPr="00F5168F">
        <w:rPr>
          <w:sz w:val="22"/>
          <w:szCs w:val="22"/>
        </w:rPr>
        <w:t>ZS</w:t>
      </w:r>
      <w:r w:rsidR="008B4E17">
        <w:rPr>
          <w:sz w:val="22"/>
          <w:szCs w:val="22"/>
        </w:rPr>
        <w:t xml:space="preserve"> </w:t>
      </w:r>
      <w:proofErr w:type="spellStart"/>
      <w:r w:rsidRPr="00F5168F">
        <w:rPr>
          <w:sz w:val="22"/>
          <w:szCs w:val="22"/>
        </w:rPr>
        <w:t>MZd</w:t>
      </w:r>
      <w:proofErr w:type="spellEnd"/>
      <w:r w:rsidRPr="00F5168F">
        <w:rPr>
          <w:sz w:val="22"/>
          <w:szCs w:val="22"/>
        </w:rPr>
        <w:t xml:space="preserve"> připravoval</w:t>
      </w:r>
      <w:r>
        <w:rPr>
          <w:sz w:val="22"/>
          <w:szCs w:val="22"/>
        </w:rPr>
        <w:t xml:space="preserve"> na rok 2015</w:t>
      </w:r>
      <w:r w:rsidRPr="00F5168F">
        <w:rPr>
          <w:sz w:val="22"/>
          <w:szCs w:val="22"/>
        </w:rPr>
        <w:t xml:space="preserve"> lednové vyhlášení 19. výzvy zaměřené na podporu specializovaných pracovišť komplexních onkologických center, a to v režimu 10 % flexibility na částku 1,6 mld. Kč (podíl ERDF). </w:t>
      </w:r>
    </w:p>
    <w:p w:rsidR="00B83CB9" w:rsidRPr="0055706E" w:rsidRDefault="00B83CB9" w:rsidP="0055706E">
      <w:pPr>
        <w:spacing w:after="120"/>
        <w:jc w:val="both"/>
        <w:rPr>
          <w:sz w:val="22"/>
          <w:szCs w:val="22"/>
        </w:rPr>
      </w:pPr>
    </w:p>
    <w:p w:rsidR="0055706E" w:rsidRPr="0055706E" w:rsidRDefault="00DB06EA" w:rsidP="0055706E">
      <w:pPr>
        <w:spacing w:after="120"/>
        <w:jc w:val="both"/>
        <w:rPr>
          <w:rStyle w:val="slovnik"/>
          <w:sz w:val="22"/>
          <w:szCs w:val="22"/>
        </w:rPr>
      </w:pPr>
      <w:r w:rsidRPr="00495921">
        <w:rPr>
          <w:rStyle w:val="slovnik"/>
          <w:sz w:val="22"/>
          <w:szCs w:val="22"/>
        </w:rPr>
        <w:t>V </w:t>
      </w:r>
      <w:r w:rsidRPr="00495921">
        <w:rPr>
          <w:rStyle w:val="slovnik"/>
          <w:b/>
          <w:sz w:val="22"/>
          <w:szCs w:val="22"/>
        </w:rPr>
        <w:t>oblasti intervence 3.3</w:t>
      </w:r>
      <w:r w:rsidRPr="00495921">
        <w:rPr>
          <w:rStyle w:val="slovnik"/>
          <w:sz w:val="22"/>
          <w:szCs w:val="22"/>
        </w:rPr>
        <w:t xml:space="preserve"> </w:t>
      </w:r>
      <w:r w:rsidR="00495921" w:rsidRPr="00495921">
        <w:rPr>
          <w:sz w:val="22"/>
          <w:szCs w:val="22"/>
        </w:rPr>
        <w:t xml:space="preserve">bylo od počátku vyhlášení výzev vyřazeno 12 projektových žádostí z celkem 29 předložených žádostí. Z 29 podaných projektových žádostí pouze 1 projekt neuspěl při kontrole přijatelnosti, 6 projektových žádostí bylo vyřazeno na základě nesplnění podmínek hodnocení projektu. 3 projekty byly nedokončeny/staženy žadatelem, což činí 10,34% z celkového počtu žádostí. </w:t>
      </w:r>
      <w:r w:rsidR="00495921" w:rsidRPr="00495921">
        <w:rPr>
          <w:sz w:val="22"/>
          <w:szCs w:val="22"/>
        </w:rPr>
        <w:lastRenderedPageBreak/>
        <w:t>V roce 2014 byl vyřazen 1 projekt, a to konkrétně v OI 3.3 a) „ÚP ČR Liberec – výstavba, nákup, rekonstrukce administrativní budovy“.</w:t>
      </w:r>
    </w:p>
    <w:p w:rsidR="00A75862" w:rsidRDefault="00033800" w:rsidP="00025519">
      <w:pPr>
        <w:spacing w:after="120"/>
        <w:jc w:val="both"/>
        <w:rPr>
          <w:sz w:val="22"/>
          <w:szCs w:val="22"/>
        </w:rPr>
      </w:pPr>
      <w:r w:rsidRPr="00930076">
        <w:rPr>
          <w:b/>
          <w:sz w:val="22"/>
          <w:szCs w:val="22"/>
        </w:rPr>
        <w:t xml:space="preserve">V oblasti intervence 3.4 </w:t>
      </w:r>
      <w:r w:rsidRPr="00930076">
        <w:rPr>
          <w:sz w:val="22"/>
          <w:szCs w:val="22"/>
        </w:rPr>
        <w:t>byla v</w:t>
      </w:r>
      <w:r w:rsidRPr="00930076">
        <w:rPr>
          <w:b/>
          <w:sz w:val="22"/>
          <w:szCs w:val="22"/>
        </w:rPr>
        <w:t xml:space="preserve"> </w:t>
      </w:r>
      <w:r w:rsidRPr="00930076">
        <w:rPr>
          <w:sz w:val="22"/>
          <w:szCs w:val="22"/>
        </w:rPr>
        <w:t xml:space="preserve">návaznosti na Strategii dočerpaní IOP </w:t>
      </w:r>
      <w:r>
        <w:rPr>
          <w:sz w:val="22"/>
          <w:szCs w:val="22"/>
        </w:rPr>
        <w:t>z</w:t>
      </w:r>
      <w:r w:rsidRPr="00930076">
        <w:rPr>
          <w:sz w:val="22"/>
          <w:szCs w:val="22"/>
        </w:rPr>
        <w:t xml:space="preserve">výšena </w:t>
      </w:r>
      <w:r>
        <w:rPr>
          <w:sz w:val="22"/>
          <w:szCs w:val="22"/>
        </w:rPr>
        <w:t xml:space="preserve">alokace </w:t>
      </w:r>
      <w:r w:rsidRPr="00930076">
        <w:rPr>
          <w:sz w:val="22"/>
          <w:szCs w:val="22"/>
        </w:rPr>
        <w:t>27. výzv</w:t>
      </w:r>
      <w:r>
        <w:rPr>
          <w:sz w:val="22"/>
          <w:szCs w:val="22"/>
        </w:rPr>
        <w:t>y</w:t>
      </w:r>
      <w:r w:rsidRPr="00930076">
        <w:rPr>
          <w:sz w:val="22"/>
          <w:szCs w:val="22"/>
        </w:rPr>
        <w:t xml:space="preserve"> na celkových 415 mil. Kč příspěvku ERDF. Po konzultaci s příjemcem byla výzva nastavena, aby umožnila </w:t>
      </w:r>
      <w:r w:rsidR="005308DC">
        <w:rPr>
          <w:sz w:val="22"/>
          <w:szCs w:val="22"/>
        </w:rPr>
        <w:t>na</w:t>
      </w:r>
      <w:r w:rsidRPr="00930076">
        <w:rPr>
          <w:sz w:val="22"/>
          <w:szCs w:val="22"/>
        </w:rPr>
        <w:t xml:space="preserve">výšení </w:t>
      </w:r>
      <w:r>
        <w:rPr>
          <w:sz w:val="22"/>
          <w:szCs w:val="22"/>
        </w:rPr>
        <w:t xml:space="preserve">alokace </w:t>
      </w:r>
      <w:r w:rsidRPr="00930076">
        <w:rPr>
          <w:sz w:val="22"/>
          <w:szCs w:val="22"/>
        </w:rPr>
        <w:t>v případě příznivého vývoje čerpání v roce 2014</w:t>
      </w:r>
      <w:r>
        <w:rPr>
          <w:sz w:val="22"/>
          <w:szCs w:val="22"/>
        </w:rPr>
        <w:t>.</w:t>
      </w:r>
      <w:r w:rsidR="00A75862" w:rsidRPr="00555962">
        <w:rPr>
          <w:sz w:val="22"/>
          <w:szCs w:val="22"/>
        </w:rPr>
        <w:t xml:space="preserve"> </w:t>
      </w:r>
    </w:p>
    <w:p w:rsidR="00033800" w:rsidRDefault="00033800" w:rsidP="00025519">
      <w:pPr>
        <w:spacing w:after="120"/>
        <w:jc w:val="both"/>
      </w:pPr>
    </w:p>
    <w:p w:rsidR="00EB4FB6" w:rsidRDefault="00A75862" w:rsidP="00813E1E">
      <w:pPr>
        <w:pStyle w:val="Tabulkanzev"/>
      </w:pPr>
      <w:bookmarkStart w:id="184" w:name="_Toc416431835"/>
      <w:r w:rsidRPr="00025519">
        <w:t>Přehled vyhlášených a probíhajících výzev v </w:t>
      </w:r>
      <w:r w:rsidR="00BA3EDE">
        <w:t>PO</w:t>
      </w:r>
      <w:r w:rsidR="00EB4FB6">
        <w:t xml:space="preserve"> 3 v roce 2014</w:t>
      </w:r>
      <w:bookmarkEnd w:id="184"/>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3"/>
        <w:gridCol w:w="533"/>
        <w:gridCol w:w="1046"/>
        <w:gridCol w:w="1010"/>
        <w:gridCol w:w="991"/>
        <w:gridCol w:w="849"/>
        <w:gridCol w:w="993"/>
        <w:gridCol w:w="429"/>
        <w:gridCol w:w="1129"/>
        <w:gridCol w:w="571"/>
        <w:gridCol w:w="1058"/>
      </w:tblGrid>
      <w:tr w:rsidR="009F480F" w:rsidRPr="00EB4FB6" w:rsidTr="009F480F">
        <w:trPr>
          <w:trHeight w:val="1125"/>
        </w:trPr>
        <w:tc>
          <w:tcPr>
            <w:tcW w:w="327" w:type="pct"/>
            <w:vMerge w:val="restar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Pořadí výzvy</w:t>
            </w:r>
          </w:p>
        </w:tc>
        <w:tc>
          <w:tcPr>
            <w:tcW w:w="289" w:type="pct"/>
            <w:vMerge w:val="restar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Číslo výzvy</w:t>
            </w:r>
          </w:p>
        </w:tc>
        <w:tc>
          <w:tcPr>
            <w:tcW w:w="1116" w:type="pct"/>
            <w:gridSpan w:val="2"/>
            <w:shd w:val="clear" w:color="000000" w:fill="D8E4BC"/>
            <w:vAlign w:val="center"/>
            <w:hideMark/>
          </w:tcPr>
          <w:p w:rsidR="00EB4FB6" w:rsidRPr="00EB4FB6" w:rsidRDefault="00EB4FB6" w:rsidP="00EB4FB6">
            <w:pPr>
              <w:jc w:val="center"/>
              <w:rPr>
                <w:b/>
                <w:bCs/>
                <w:sz w:val="16"/>
                <w:szCs w:val="16"/>
              </w:rPr>
            </w:pPr>
            <w:r w:rsidRPr="00EB4FB6">
              <w:rPr>
                <w:b/>
                <w:bCs/>
                <w:sz w:val="16"/>
                <w:szCs w:val="16"/>
              </w:rPr>
              <w:t>Podání projektových žádostí</w:t>
            </w:r>
          </w:p>
        </w:tc>
        <w:tc>
          <w:tcPr>
            <w:tcW w:w="538" w:type="pct"/>
            <w:vMerge w:val="restar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Druh výzvy</w:t>
            </w:r>
          </w:p>
        </w:tc>
        <w:tc>
          <w:tcPr>
            <w:tcW w:w="461" w:type="pct"/>
            <w:vMerge w:val="restar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Číslo prioritní osy/oblasti podpory</w:t>
            </w:r>
          </w:p>
        </w:tc>
        <w:tc>
          <w:tcPr>
            <w:tcW w:w="539" w:type="pc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Alokace na výzvu</w:t>
            </w:r>
          </w:p>
        </w:tc>
        <w:tc>
          <w:tcPr>
            <w:tcW w:w="846" w:type="pct"/>
            <w:gridSpan w:val="2"/>
            <w:shd w:val="clear" w:color="000000" w:fill="D8E4BC"/>
            <w:vAlign w:val="center"/>
            <w:hideMark/>
          </w:tcPr>
          <w:p w:rsidR="00EB4FB6" w:rsidRPr="00EB4FB6" w:rsidRDefault="00EB4FB6" w:rsidP="00EB4FB6">
            <w:pPr>
              <w:jc w:val="center"/>
              <w:rPr>
                <w:b/>
                <w:bCs/>
                <w:sz w:val="16"/>
                <w:szCs w:val="16"/>
              </w:rPr>
            </w:pPr>
            <w:r w:rsidRPr="00EB4FB6">
              <w:rPr>
                <w:b/>
                <w:bCs/>
                <w:sz w:val="16"/>
                <w:szCs w:val="16"/>
              </w:rPr>
              <w:t>Podané žádosti o podporu</w:t>
            </w:r>
          </w:p>
        </w:tc>
        <w:tc>
          <w:tcPr>
            <w:tcW w:w="884" w:type="pct"/>
            <w:gridSpan w:val="2"/>
            <w:shd w:val="clear" w:color="000000" w:fill="D8E4BC"/>
            <w:vAlign w:val="center"/>
            <w:hideMark/>
          </w:tcPr>
          <w:p w:rsidR="00EB4FB6" w:rsidRPr="00EB4FB6" w:rsidRDefault="00EB4FB6" w:rsidP="00EB4FB6">
            <w:pPr>
              <w:jc w:val="center"/>
              <w:rPr>
                <w:b/>
                <w:bCs/>
                <w:sz w:val="16"/>
                <w:szCs w:val="16"/>
              </w:rPr>
            </w:pPr>
            <w:r w:rsidRPr="00EB4FB6">
              <w:rPr>
                <w:b/>
                <w:bCs/>
                <w:sz w:val="16"/>
                <w:szCs w:val="16"/>
              </w:rPr>
              <w:t>Projekty s vydaným Rozhodnutím/podepsanou Smlouvou</w:t>
            </w:r>
          </w:p>
        </w:tc>
      </w:tr>
      <w:tr w:rsidR="009F480F" w:rsidRPr="00EB4FB6" w:rsidTr="009F480F">
        <w:trPr>
          <w:trHeight w:val="1050"/>
        </w:trPr>
        <w:tc>
          <w:tcPr>
            <w:tcW w:w="327" w:type="pct"/>
            <w:vMerge/>
            <w:vAlign w:val="center"/>
            <w:hideMark/>
          </w:tcPr>
          <w:p w:rsidR="00EB4FB6" w:rsidRPr="00EB4FB6" w:rsidRDefault="00EB4FB6" w:rsidP="00EB4FB6">
            <w:pPr>
              <w:rPr>
                <w:b/>
                <w:bCs/>
                <w:sz w:val="16"/>
                <w:szCs w:val="16"/>
              </w:rPr>
            </w:pPr>
          </w:p>
        </w:tc>
        <w:tc>
          <w:tcPr>
            <w:tcW w:w="289" w:type="pct"/>
            <w:vMerge/>
            <w:vAlign w:val="center"/>
            <w:hideMark/>
          </w:tcPr>
          <w:p w:rsidR="00EB4FB6" w:rsidRPr="00EB4FB6" w:rsidRDefault="00EB4FB6" w:rsidP="00EB4FB6">
            <w:pPr>
              <w:rPr>
                <w:b/>
                <w:bCs/>
                <w:sz w:val="16"/>
                <w:szCs w:val="16"/>
              </w:rPr>
            </w:pPr>
          </w:p>
        </w:tc>
        <w:tc>
          <w:tcPr>
            <w:tcW w:w="568" w:type="pc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Datum zahájení příjmu projektových žádostí</w:t>
            </w:r>
          </w:p>
        </w:tc>
        <w:tc>
          <w:tcPr>
            <w:tcW w:w="548" w:type="pc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Datum ukončení výzvy</w:t>
            </w:r>
          </w:p>
        </w:tc>
        <w:tc>
          <w:tcPr>
            <w:tcW w:w="538" w:type="pct"/>
            <w:vMerge/>
            <w:vAlign w:val="center"/>
            <w:hideMark/>
          </w:tcPr>
          <w:p w:rsidR="00EB4FB6" w:rsidRPr="00EB4FB6" w:rsidRDefault="00EB4FB6" w:rsidP="00EB4FB6">
            <w:pPr>
              <w:rPr>
                <w:b/>
                <w:bCs/>
                <w:sz w:val="16"/>
                <w:szCs w:val="16"/>
              </w:rPr>
            </w:pPr>
          </w:p>
        </w:tc>
        <w:tc>
          <w:tcPr>
            <w:tcW w:w="461" w:type="pct"/>
            <w:vMerge/>
            <w:vAlign w:val="center"/>
            <w:hideMark/>
          </w:tcPr>
          <w:p w:rsidR="00EB4FB6" w:rsidRPr="00EB4FB6" w:rsidRDefault="00EB4FB6" w:rsidP="00EB4FB6">
            <w:pPr>
              <w:rPr>
                <w:b/>
                <w:bCs/>
                <w:sz w:val="16"/>
                <w:szCs w:val="16"/>
              </w:rPr>
            </w:pPr>
          </w:p>
        </w:tc>
        <w:tc>
          <w:tcPr>
            <w:tcW w:w="539" w:type="pc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 xml:space="preserve">v </w:t>
            </w:r>
            <w:proofErr w:type="gramStart"/>
            <w:r w:rsidRPr="00EB4FB6">
              <w:rPr>
                <w:b/>
                <w:bCs/>
                <w:sz w:val="16"/>
                <w:szCs w:val="16"/>
              </w:rPr>
              <w:t>EUR</w:t>
            </w:r>
            <w:proofErr w:type="gramEnd"/>
          </w:p>
        </w:tc>
        <w:tc>
          <w:tcPr>
            <w:tcW w:w="233" w:type="pc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počet</w:t>
            </w:r>
          </w:p>
        </w:tc>
        <w:tc>
          <w:tcPr>
            <w:tcW w:w="613" w:type="pct"/>
            <w:shd w:val="clear" w:color="000000" w:fill="D8E4BC"/>
            <w:vAlign w:val="center"/>
            <w:hideMark/>
          </w:tcPr>
          <w:p w:rsidR="00EB4FB6" w:rsidRPr="00EB4FB6" w:rsidRDefault="00EB4FB6" w:rsidP="00EB4FB6">
            <w:pPr>
              <w:jc w:val="center"/>
              <w:rPr>
                <w:b/>
                <w:bCs/>
                <w:sz w:val="16"/>
                <w:szCs w:val="16"/>
              </w:rPr>
            </w:pPr>
            <w:r w:rsidRPr="00EB4FB6">
              <w:rPr>
                <w:b/>
                <w:bCs/>
                <w:sz w:val="16"/>
                <w:szCs w:val="16"/>
              </w:rPr>
              <w:t xml:space="preserve">v </w:t>
            </w:r>
            <w:proofErr w:type="gramStart"/>
            <w:r w:rsidRPr="00EB4FB6">
              <w:rPr>
                <w:b/>
                <w:bCs/>
                <w:sz w:val="16"/>
                <w:szCs w:val="16"/>
              </w:rPr>
              <w:t>EUR</w:t>
            </w:r>
            <w:proofErr w:type="gramEnd"/>
          </w:p>
        </w:tc>
        <w:tc>
          <w:tcPr>
            <w:tcW w:w="310" w:type="pct"/>
            <w:shd w:val="clear" w:color="000000" w:fill="D8E4BC"/>
            <w:noWrap/>
            <w:vAlign w:val="center"/>
            <w:hideMark/>
          </w:tcPr>
          <w:p w:rsidR="00EB4FB6" w:rsidRPr="00EB4FB6" w:rsidRDefault="00EB4FB6" w:rsidP="00EB4FB6">
            <w:pPr>
              <w:jc w:val="center"/>
              <w:rPr>
                <w:b/>
                <w:bCs/>
                <w:sz w:val="16"/>
                <w:szCs w:val="16"/>
              </w:rPr>
            </w:pPr>
            <w:r w:rsidRPr="00EB4FB6">
              <w:rPr>
                <w:b/>
                <w:bCs/>
                <w:sz w:val="16"/>
                <w:szCs w:val="16"/>
              </w:rPr>
              <w:t xml:space="preserve">počet </w:t>
            </w:r>
          </w:p>
        </w:tc>
        <w:tc>
          <w:tcPr>
            <w:tcW w:w="574" w:type="pct"/>
            <w:shd w:val="clear" w:color="000000" w:fill="D8E4BC"/>
            <w:noWrap/>
            <w:vAlign w:val="center"/>
            <w:hideMark/>
          </w:tcPr>
          <w:p w:rsidR="00EB4FB6" w:rsidRPr="00EB4FB6" w:rsidRDefault="00EB4FB6" w:rsidP="00EB4FB6">
            <w:pPr>
              <w:jc w:val="center"/>
              <w:rPr>
                <w:b/>
                <w:bCs/>
                <w:sz w:val="16"/>
                <w:szCs w:val="16"/>
              </w:rPr>
            </w:pPr>
            <w:r w:rsidRPr="00EB4FB6">
              <w:rPr>
                <w:b/>
                <w:bCs/>
                <w:sz w:val="16"/>
                <w:szCs w:val="16"/>
              </w:rPr>
              <w:t xml:space="preserve">v </w:t>
            </w:r>
            <w:proofErr w:type="gramStart"/>
            <w:r w:rsidRPr="00EB4FB6">
              <w:rPr>
                <w:b/>
                <w:bCs/>
                <w:sz w:val="16"/>
                <w:szCs w:val="16"/>
              </w:rPr>
              <w:t>EUR</w:t>
            </w:r>
            <w:proofErr w:type="gramEnd"/>
          </w:p>
        </w:tc>
      </w:tr>
      <w:tr w:rsidR="009F480F" w:rsidRPr="00EB4FB6" w:rsidTr="009F480F">
        <w:trPr>
          <w:trHeight w:val="300"/>
        </w:trPr>
        <w:tc>
          <w:tcPr>
            <w:tcW w:w="327"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22</w:t>
            </w:r>
          </w:p>
        </w:tc>
        <w:tc>
          <w:tcPr>
            <w:tcW w:w="28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04</w:t>
            </w:r>
          </w:p>
        </w:tc>
        <w:tc>
          <w:tcPr>
            <w:tcW w:w="568" w:type="pct"/>
            <w:shd w:val="clear" w:color="000000" w:fill="FFFFFF"/>
            <w:vAlign w:val="center"/>
            <w:hideMark/>
          </w:tcPr>
          <w:p w:rsidR="00EB4FB6" w:rsidRPr="00EB4FB6" w:rsidRDefault="00813E1E" w:rsidP="00EB4FB6">
            <w:pPr>
              <w:jc w:val="center"/>
              <w:rPr>
                <w:color w:val="000000"/>
                <w:sz w:val="16"/>
                <w:szCs w:val="16"/>
              </w:rPr>
            </w:pPr>
            <w:r w:rsidRPr="00EB4FB6">
              <w:rPr>
                <w:color w:val="000000"/>
                <w:sz w:val="16"/>
                <w:szCs w:val="16"/>
              </w:rPr>
              <w:t>11. 11. 2009</w:t>
            </w:r>
          </w:p>
        </w:tc>
        <w:tc>
          <w:tcPr>
            <w:tcW w:w="548" w:type="pct"/>
            <w:shd w:val="clear" w:color="000000" w:fill="FFFFFF"/>
            <w:vAlign w:val="center"/>
            <w:hideMark/>
          </w:tcPr>
          <w:p w:rsidR="00EB4FB6" w:rsidRPr="00EB4FB6" w:rsidRDefault="009F480F" w:rsidP="00EB4FB6">
            <w:pPr>
              <w:jc w:val="center"/>
              <w:rPr>
                <w:color w:val="000000"/>
                <w:sz w:val="16"/>
                <w:szCs w:val="16"/>
              </w:rPr>
            </w:pPr>
            <w:r>
              <w:rPr>
                <w:color w:val="000000"/>
                <w:sz w:val="16"/>
                <w:szCs w:val="16"/>
              </w:rPr>
              <w:t>31. 12. 2014</w:t>
            </w:r>
          </w:p>
        </w:tc>
        <w:tc>
          <w:tcPr>
            <w:tcW w:w="538"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kontinuální</w:t>
            </w:r>
          </w:p>
        </w:tc>
        <w:tc>
          <w:tcPr>
            <w:tcW w:w="461"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3.3</w:t>
            </w:r>
          </w:p>
        </w:tc>
        <w:tc>
          <w:tcPr>
            <w:tcW w:w="53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38 818 965</w:t>
            </w:r>
          </w:p>
        </w:tc>
        <w:tc>
          <w:tcPr>
            <w:tcW w:w="23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20</w:t>
            </w:r>
          </w:p>
        </w:tc>
        <w:tc>
          <w:tcPr>
            <w:tcW w:w="61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60 742 604</w:t>
            </w:r>
          </w:p>
        </w:tc>
        <w:tc>
          <w:tcPr>
            <w:tcW w:w="310"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18</w:t>
            </w:r>
          </w:p>
        </w:tc>
        <w:tc>
          <w:tcPr>
            <w:tcW w:w="574"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44 373 604</w:t>
            </w:r>
          </w:p>
        </w:tc>
      </w:tr>
      <w:tr w:rsidR="009F480F" w:rsidRPr="00EB4FB6" w:rsidTr="009F480F">
        <w:trPr>
          <w:trHeight w:val="300"/>
        </w:trPr>
        <w:tc>
          <w:tcPr>
            <w:tcW w:w="327"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66</w:t>
            </w:r>
          </w:p>
        </w:tc>
        <w:tc>
          <w:tcPr>
            <w:tcW w:w="28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21</w:t>
            </w:r>
          </w:p>
        </w:tc>
        <w:tc>
          <w:tcPr>
            <w:tcW w:w="56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10. 12. 2013</w:t>
            </w:r>
          </w:p>
        </w:tc>
        <w:tc>
          <w:tcPr>
            <w:tcW w:w="54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23. 5. 2014</w:t>
            </w:r>
          </w:p>
        </w:tc>
        <w:tc>
          <w:tcPr>
            <w:tcW w:w="538"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kolová</w:t>
            </w:r>
          </w:p>
        </w:tc>
        <w:tc>
          <w:tcPr>
            <w:tcW w:w="461"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3.4</w:t>
            </w:r>
          </w:p>
        </w:tc>
        <w:tc>
          <w:tcPr>
            <w:tcW w:w="53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19 685 877</w:t>
            </w:r>
          </w:p>
        </w:tc>
        <w:tc>
          <w:tcPr>
            <w:tcW w:w="23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15</w:t>
            </w:r>
          </w:p>
        </w:tc>
        <w:tc>
          <w:tcPr>
            <w:tcW w:w="61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18 655 501</w:t>
            </w:r>
          </w:p>
        </w:tc>
        <w:tc>
          <w:tcPr>
            <w:tcW w:w="310"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15</w:t>
            </w:r>
          </w:p>
        </w:tc>
        <w:tc>
          <w:tcPr>
            <w:tcW w:w="574"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18 671 283</w:t>
            </w:r>
          </w:p>
        </w:tc>
      </w:tr>
      <w:tr w:rsidR="009F480F" w:rsidRPr="00EB4FB6" w:rsidTr="009F480F">
        <w:trPr>
          <w:trHeight w:val="300"/>
        </w:trPr>
        <w:tc>
          <w:tcPr>
            <w:tcW w:w="327"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67</w:t>
            </w:r>
          </w:p>
        </w:tc>
        <w:tc>
          <w:tcPr>
            <w:tcW w:w="28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17</w:t>
            </w:r>
          </w:p>
        </w:tc>
        <w:tc>
          <w:tcPr>
            <w:tcW w:w="56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20. 12. 2013</w:t>
            </w:r>
          </w:p>
        </w:tc>
        <w:tc>
          <w:tcPr>
            <w:tcW w:w="54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14. 3. 2014</w:t>
            </w:r>
          </w:p>
        </w:tc>
        <w:tc>
          <w:tcPr>
            <w:tcW w:w="538"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kolová</w:t>
            </w:r>
          </w:p>
        </w:tc>
        <w:tc>
          <w:tcPr>
            <w:tcW w:w="461"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3.2</w:t>
            </w:r>
          </w:p>
        </w:tc>
        <w:tc>
          <w:tcPr>
            <w:tcW w:w="53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5 049 048</w:t>
            </w:r>
          </w:p>
        </w:tc>
        <w:tc>
          <w:tcPr>
            <w:tcW w:w="23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8</w:t>
            </w:r>
          </w:p>
        </w:tc>
        <w:tc>
          <w:tcPr>
            <w:tcW w:w="61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3 919 632</w:t>
            </w:r>
          </w:p>
        </w:tc>
        <w:tc>
          <w:tcPr>
            <w:tcW w:w="310"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0</w:t>
            </w:r>
          </w:p>
        </w:tc>
        <w:tc>
          <w:tcPr>
            <w:tcW w:w="574" w:type="pct"/>
            <w:shd w:val="clear" w:color="000000" w:fill="FFFFFF"/>
            <w:noWrap/>
            <w:vAlign w:val="center"/>
            <w:hideMark/>
          </w:tcPr>
          <w:p w:rsidR="00EB4FB6" w:rsidRPr="00EB4FB6" w:rsidRDefault="00EB4FB6" w:rsidP="00EB4FB6">
            <w:pPr>
              <w:jc w:val="center"/>
              <w:rPr>
                <w:color w:val="000000"/>
                <w:sz w:val="16"/>
                <w:szCs w:val="16"/>
              </w:rPr>
            </w:pPr>
          </w:p>
        </w:tc>
      </w:tr>
      <w:tr w:rsidR="009F480F" w:rsidRPr="00EB4FB6" w:rsidTr="009F480F">
        <w:trPr>
          <w:trHeight w:val="300"/>
        </w:trPr>
        <w:tc>
          <w:tcPr>
            <w:tcW w:w="327"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68</w:t>
            </w:r>
          </w:p>
        </w:tc>
        <w:tc>
          <w:tcPr>
            <w:tcW w:w="28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18</w:t>
            </w:r>
          </w:p>
        </w:tc>
        <w:tc>
          <w:tcPr>
            <w:tcW w:w="56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20. 12. 2013</w:t>
            </w:r>
          </w:p>
        </w:tc>
        <w:tc>
          <w:tcPr>
            <w:tcW w:w="54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14. 2. 2014</w:t>
            </w:r>
          </w:p>
        </w:tc>
        <w:tc>
          <w:tcPr>
            <w:tcW w:w="538"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kolová</w:t>
            </w:r>
          </w:p>
        </w:tc>
        <w:tc>
          <w:tcPr>
            <w:tcW w:w="461"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3.2</w:t>
            </w:r>
          </w:p>
        </w:tc>
        <w:tc>
          <w:tcPr>
            <w:tcW w:w="53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21 190 641</w:t>
            </w:r>
          </w:p>
        </w:tc>
        <w:tc>
          <w:tcPr>
            <w:tcW w:w="23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11</w:t>
            </w:r>
          </w:p>
        </w:tc>
        <w:tc>
          <w:tcPr>
            <w:tcW w:w="61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23 996 513</w:t>
            </w:r>
          </w:p>
        </w:tc>
        <w:tc>
          <w:tcPr>
            <w:tcW w:w="310"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0</w:t>
            </w:r>
          </w:p>
        </w:tc>
        <w:tc>
          <w:tcPr>
            <w:tcW w:w="574" w:type="pct"/>
            <w:shd w:val="clear" w:color="000000" w:fill="FFFFFF"/>
            <w:noWrap/>
            <w:vAlign w:val="center"/>
            <w:hideMark/>
          </w:tcPr>
          <w:p w:rsidR="00EB4FB6" w:rsidRPr="00EB4FB6" w:rsidRDefault="00EB4FB6" w:rsidP="00EB4FB6">
            <w:pPr>
              <w:jc w:val="center"/>
              <w:rPr>
                <w:color w:val="000000"/>
                <w:sz w:val="16"/>
                <w:szCs w:val="16"/>
              </w:rPr>
            </w:pPr>
          </w:p>
        </w:tc>
      </w:tr>
      <w:tr w:rsidR="009F480F" w:rsidRPr="00EB4FB6" w:rsidTr="009F480F">
        <w:trPr>
          <w:trHeight w:val="300"/>
        </w:trPr>
        <w:tc>
          <w:tcPr>
            <w:tcW w:w="327"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71</w:t>
            </w:r>
          </w:p>
        </w:tc>
        <w:tc>
          <w:tcPr>
            <w:tcW w:w="28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23</w:t>
            </w:r>
          </w:p>
        </w:tc>
        <w:tc>
          <w:tcPr>
            <w:tcW w:w="56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28. 2. 2014</w:t>
            </w:r>
          </w:p>
        </w:tc>
        <w:tc>
          <w:tcPr>
            <w:tcW w:w="54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30. 6. 2014</w:t>
            </w:r>
          </w:p>
        </w:tc>
        <w:tc>
          <w:tcPr>
            <w:tcW w:w="538"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kolová</w:t>
            </w:r>
          </w:p>
        </w:tc>
        <w:tc>
          <w:tcPr>
            <w:tcW w:w="461"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3.4</w:t>
            </w:r>
          </w:p>
        </w:tc>
        <w:tc>
          <w:tcPr>
            <w:tcW w:w="53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31 917 196</w:t>
            </w:r>
          </w:p>
        </w:tc>
        <w:tc>
          <w:tcPr>
            <w:tcW w:w="23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13</w:t>
            </w:r>
          </w:p>
        </w:tc>
        <w:tc>
          <w:tcPr>
            <w:tcW w:w="61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30 652 647</w:t>
            </w:r>
          </w:p>
        </w:tc>
        <w:tc>
          <w:tcPr>
            <w:tcW w:w="310"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13</w:t>
            </w:r>
          </w:p>
        </w:tc>
        <w:tc>
          <w:tcPr>
            <w:tcW w:w="574"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30 387 591</w:t>
            </w:r>
          </w:p>
        </w:tc>
      </w:tr>
      <w:tr w:rsidR="009F480F" w:rsidRPr="00EB4FB6" w:rsidTr="009F480F">
        <w:trPr>
          <w:trHeight w:val="300"/>
        </w:trPr>
        <w:tc>
          <w:tcPr>
            <w:tcW w:w="327"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74</w:t>
            </w:r>
          </w:p>
        </w:tc>
        <w:tc>
          <w:tcPr>
            <w:tcW w:w="28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26</w:t>
            </w:r>
          </w:p>
        </w:tc>
        <w:tc>
          <w:tcPr>
            <w:tcW w:w="56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30. 6. 2014</w:t>
            </w:r>
          </w:p>
        </w:tc>
        <w:tc>
          <w:tcPr>
            <w:tcW w:w="54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29. 8. 2014</w:t>
            </w:r>
          </w:p>
        </w:tc>
        <w:tc>
          <w:tcPr>
            <w:tcW w:w="538"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kolová</w:t>
            </w:r>
          </w:p>
        </w:tc>
        <w:tc>
          <w:tcPr>
            <w:tcW w:w="461"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3.4</w:t>
            </w:r>
          </w:p>
        </w:tc>
        <w:tc>
          <w:tcPr>
            <w:tcW w:w="53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33 260 603</w:t>
            </w:r>
          </w:p>
        </w:tc>
        <w:tc>
          <w:tcPr>
            <w:tcW w:w="23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w:t>
            </w:r>
          </w:p>
        </w:tc>
        <w:tc>
          <w:tcPr>
            <w:tcW w:w="61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32 850 103</w:t>
            </w:r>
          </w:p>
        </w:tc>
        <w:tc>
          <w:tcPr>
            <w:tcW w:w="310"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1</w:t>
            </w:r>
          </w:p>
        </w:tc>
        <w:tc>
          <w:tcPr>
            <w:tcW w:w="574"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32 850 103</w:t>
            </w:r>
          </w:p>
        </w:tc>
      </w:tr>
      <w:tr w:rsidR="009F480F" w:rsidRPr="00EB4FB6" w:rsidTr="009F480F">
        <w:trPr>
          <w:trHeight w:val="300"/>
        </w:trPr>
        <w:tc>
          <w:tcPr>
            <w:tcW w:w="327"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75</w:t>
            </w:r>
          </w:p>
        </w:tc>
        <w:tc>
          <w:tcPr>
            <w:tcW w:w="28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27</w:t>
            </w:r>
          </w:p>
        </w:tc>
        <w:tc>
          <w:tcPr>
            <w:tcW w:w="56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5. 9. 2014</w:t>
            </w:r>
          </w:p>
        </w:tc>
        <w:tc>
          <w:tcPr>
            <w:tcW w:w="548" w:type="pct"/>
            <w:shd w:val="clear" w:color="000000" w:fill="FFFFFF"/>
            <w:vAlign w:val="center"/>
            <w:hideMark/>
          </w:tcPr>
          <w:p w:rsidR="00EB4FB6" w:rsidRPr="00EB4FB6" w:rsidRDefault="009F480F" w:rsidP="00EB4FB6">
            <w:pPr>
              <w:jc w:val="center"/>
              <w:rPr>
                <w:color w:val="000000"/>
                <w:sz w:val="16"/>
                <w:szCs w:val="16"/>
              </w:rPr>
            </w:pPr>
            <w:r w:rsidRPr="00EB4FB6">
              <w:rPr>
                <w:color w:val="000000"/>
                <w:sz w:val="16"/>
                <w:szCs w:val="16"/>
              </w:rPr>
              <w:t>27. 2. 2015</w:t>
            </w:r>
          </w:p>
        </w:tc>
        <w:tc>
          <w:tcPr>
            <w:tcW w:w="538"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kolová</w:t>
            </w:r>
          </w:p>
        </w:tc>
        <w:tc>
          <w:tcPr>
            <w:tcW w:w="461"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3.4</w:t>
            </w:r>
          </w:p>
        </w:tc>
        <w:tc>
          <w:tcPr>
            <w:tcW w:w="539"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14 978 491</w:t>
            </w:r>
          </w:p>
        </w:tc>
        <w:tc>
          <w:tcPr>
            <w:tcW w:w="23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w:t>
            </w:r>
          </w:p>
        </w:tc>
        <w:tc>
          <w:tcPr>
            <w:tcW w:w="613" w:type="pct"/>
            <w:shd w:val="clear" w:color="000000" w:fill="FFFFFF"/>
            <w:noWrap/>
            <w:vAlign w:val="center"/>
            <w:hideMark/>
          </w:tcPr>
          <w:p w:rsidR="00EB4FB6" w:rsidRPr="00EB4FB6" w:rsidRDefault="00EB4FB6" w:rsidP="00EB4FB6">
            <w:pPr>
              <w:jc w:val="center"/>
              <w:rPr>
                <w:color w:val="000000"/>
                <w:sz w:val="16"/>
                <w:szCs w:val="16"/>
              </w:rPr>
            </w:pPr>
            <w:r w:rsidRPr="00EB4FB6">
              <w:rPr>
                <w:color w:val="000000"/>
                <w:sz w:val="16"/>
                <w:szCs w:val="16"/>
              </w:rPr>
              <w:t>14 825 216</w:t>
            </w:r>
          </w:p>
        </w:tc>
        <w:tc>
          <w:tcPr>
            <w:tcW w:w="310" w:type="pct"/>
            <w:shd w:val="clear" w:color="000000" w:fill="FFFFFF"/>
            <w:vAlign w:val="center"/>
            <w:hideMark/>
          </w:tcPr>
          <w:p w:rsidR="00EB4FB6" w:rsidRPr="00EB4FB6" w:rsidRDefault="00EB4FB6" w:rsidP="00EB4FB6">
            <w:pPr>
              <w:jc w:val="center"/>
              <w:rPr>
                <w:color w:val="000000"/>
                <w:sz w:val="16"/>
                <w:szCs w:val="16"/>
              </w:rPr>
            </w:pPr>
            <w:r w:rsidRPr="00EB4FB6">
              <w:rPr>
                <w:color w:val="000000"/>
                <w:sz w:val="16"/>
                <w:szCs w:val="16"/>
              </w:rPr>
              <w:t>0</w:t>
            </w:r>
          </w:p>
        </w:tc>
        <w:tc>
          <w:tcPr>
            <w:tcW w:w="574" w:type="pct"/>
            <w:shd w:val="clear" w:color="000000" w:fill="FFFFFF"/>
            <w:noWrap/>
            <w:vAlign w:val="center"/>
            <w:hideMark/>
          </w:tcPr>
          <w:p w:rsidR="00EB4FB6" w:rsidRPr="00EB4FB6" w:rsidRDefault="00EB4FB6" w:rsidP="00EB4FB6">
            <w:pPr>
              <w:jc w:val="center"/>
              <w:rPr>
                <w:color w:val="000000"/>
                <w:sz w:val="16"/>
                <w:szCs w:val="16"/>
              </w:rPr>
            </w:pPr>
          </w:p>
        </w:tc>
      </w:tr>
      <w:tr w:rsidR="009F480F" w:rsidRPr="00EB4FB6" w:rsidTr="009F480F">
        <w:trPr>
          <w:trHeight w:val="300"/>
        </w:trPr>
        <w:tc>
          <w:tcPr>
            <w:tcW w:w="2270" w:type="pct"/>
            <w:gridSpan w:val="5"/>
            <w:shd w:val="clear" w:color="auto" w:fill="auto"/>
            <w:noWrap/>
            <w:vAlign w:val="center"/>
            <w:hideMark/>
          </w:tcPr>
          <w:p w:rsidR="00EB4FB6" w:rsidRPr="00AC3E49" w:rsidRDefault="009B3496" w:rsidP="009B3496">
            <w:pPr>
              <w:rPr>
                <w:color w:val="000000"/>
                <w:sz w:val="18"/>
                <w:szCs w:val="18"/>
              </w:rPr>
            </w:pPr>
            <w:r w:rsidRPr="00AC3E49">
              <w:rPr>
                <w:color w:val="000000"/>
                <w:sz w:val="18"/>
                <w:szCs w:val="18"/>
              </w:rPr>
              <w:t>S</w:t>
            </w:r>
            <w:r w:rsidR="00EB4FB6" w:rsidRPr="00AC3E49">
              <w:rPr>
                <w:color w:val="000000"/>
                <w:sz w:val="18"/>
                <w:szCs w:val="18"/>
              </w:rPr>
              <w:t>lužby v oblasti veřejného zdraví</w:t>
            </w:r>
          </w:p>
        </w:tc>
        <w:tc>
          <w:tcPr>
            <w:tcW w:w="461" w:type="pct"/>
            <w:shd w:val="clear" w:color="auto" w:fill="auto"/>
            <w:noWrap/>
            <w:vAlign w:val="center"/>
            <w:hideMark/>
          </w:tcPr>
          <w:p w:rsidR="00EB4FB6" w:rsidRPr="00EB4FB6" w:rsidRDefault="00EB4FB6" w:rsidP="009B3496">
            <w:pPr>
              <w:jc w:val="center"/>
              <w:rPr>
                <w:color w:val="000000"/>
                <w:sz w:val="16"/>
                <w:szCs w:val="16"/>
              </w:rPr>
            </w:pPr>
          </w:p>
        </w:tc>
        <w:tc>
          <w:tcPr>
            <w:tcW w:w="539"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26 239 689</w:t>
            </w:r>
          </w:p>
        </w:tc>
        <w:tc>
          <w:tcPr>
            <w:tcW w:w="233"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19</w:t>
            </w:r>
          </w:p>
        </w:tc>
        <w:tc>
          <w:tcPr>
            <w:tcW w:w="613"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27 916 145</w:t>
            </w:r>
          </w:p>
        </w:tc>
        <w:tc>
          <w:tcPr>
            <w:tcW w:w="310"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0</w:t>
            </w:r>
          </w:p>
        </w:tc>
        <w:tc>
          <w:tcPr>
            <w:tcW w:w="574"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0</w:t>
            </w:r>
          </w:p>
        </w:tc>
      </w:tr>
      <w:tr w:rsidR="009F480F" w:rsidRPr="00EB4FB6" w:rsidTr="009F480F">
        <w:trPr>
          <w:trHeight w:val="300"/>
        </w:trPr>
        <w:tc>
          <w:tcPr>
            <w:tcW w:w="2270" w:type="pct"/>
            <w:gridSpan w:val="5"/>
            <w:shd w:val="clear" w:color="auto" w:fill="auto"/>
            <w:noWrap/>
            <w:vAlign w:val="center"/>
            <w:hideMark/>
          </w:tcPr>
          <w:p w:rsidR="00EB4FB6" w:rsidRPr="00AC3E49" w:rsidRDefault="00EB4FB6" w:rsidP="009B3496">
            <w:pPr>
              <w:rPr>
                <w:color w:val="000000"/>
                <w:sz w:val="18"/>
                <w:szCs w:val="18"/>
              </w:rPr>
            </w:pPr>
            <w:r w:rsidRPr="00AC3E49">
              <w:rPr>
                <w:color w:val="000000"/>
                <w:sz w:val="18"/>
                <w:szCs w:val="18"/>
              </w:rPr>
              <w:t>Služby v oblasti zaměstnanosti</w:t>
            </w:r>
          </w:p>
        </w:tc>
        <w:tc>
          <w:tcPr>
            <w:tcW w:w="461" w:type="pct"/>
            <w:shd w:val="clear" w:color="auto" w:fill="auto"/>
            <w:noWrap/>
            <w:vAlign w:val="center"/>
            <w:hideMark/>
          </w:tcPr>
          <w:p w:rsidR="00EB4FB6" w:rsidRPr="00EB4FB6" w:rsidRDefault="00EB4FB6" w:rsidP="009B3496">
            <w:pPr>
              <w:jc w:val="center"/>
              <w:rPr>
                <w:color w:val="000000"/>
                <w:sz w:val="16"/>
                <w:szCs w:val="16"/>
              </w:rPr>
            </w:pPr>
          </w:p>
        </w:tc>
        <w:tc>
          <w:tcPr>
            <w:tcW w:w="539"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38 818 965</w:t>
            </w:r>
          </w:p>
        </w:tc>
        <w:tc>
          <w:tcPr>
            <w:tcW w:w="233"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20</w:t>
            </w:r>
          </w:p>
        </w:tc>
        <w:tc>
          <w:tcPr>
            <w:tcW w:w="613"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60 742 604</w:t>
            </w:r>
          </w:p>
        </w:tc>
        <w:tc>
          <w:tcPr>
            <w:tcW w:w="310"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18</w:t>
            </w:r>
          </w:p>
        </w:tc>
        <w:tc>
          <w:tcPr>
            <w:tcW w:w="574"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44 373 604</w:t>
            </w:r>
          </w:p>
        </w:tc>
      </w:tr>
      <w:tr w:rsidR="009F480F" w:rsidRPr="00EB4FB6" w:rsidTr="009F480F">
        <w:trPr>
          <w:trHeight w:val="450"/>
        </w:trPr>
        <w:tc>
          <w:tcPr>
            <w:tcW w:w="2270" w:type="pct"/>
            <w:gridSpan w:val="5"/>
            <w:shd w:val="clear" w:color="auto" w:fill="auto"/>
            <w:vAlign w:val="center"/>
            <w:hideMark/>
          </w:tcPr>
          <w:p w:rsidR="00EB4FB6" w:rsidRPr="00AC3E49" w:rsidRDefault="009B3496" w:rsidP="009B3496">
            <w:pPr>
              <w:rPr>
                <w:color w:val="000000"/>
                <w:sz w:val="18"/>
                <w:szCs w:val="18"/>
              </w:rPr>
            </w:pPr>
            <w:r w:rsidRPr="00AC3E49">
              <w:rPr>
                <w:color w:val="000000"/>
                <w:sz w:val="18"/>
                <w:szCs w:val="18"/>
              </w:rPr>
              <w:t>S</w:t>
            </w:r>
            <w:r w:rsidR="00EB4FB6" w:rsidRPr="00AC3E49">
              <w:rPr>
                <w:color w:val="000000"/>
                <w:sz w:val="18"/>
                <w:szCs w:val="18"/>
              </w:rPr>
              <w:t>lužby v oblasti prevence, bezpečnosti a řešení rizik</w:t>
            </w:r>
          </w:p>
        </w:tc>
        <w:tc>
          <w:tcPr>
            <w:tcW w:w="461" w:type="pct"/>
            <w:shd w:val="clear" w:color="auto" w:fill="auto"/>
            <w:noWrap/>
            <w:vAlign w:val="center"/>
            <w:hideMark/>
          </w:tcPr>
          <w:p w:rsidR="00EB4FB6" w:rsidRPr="00EB4FB6" w:rsidRDefault="00EB4FB6" w:rsidP="009B3496">
            <w:pPr>
              <w:jc w:val="center"/>
              <w:rPr>
                <w:color w:val="000000"/>
                <w:sz w:val="16"/>
                <w:szCs w:val="16"/>
              </w:rPr>
            </w:pPr>
          </w:p>
        </w:tc>
        <w:tc>
          <w:tcPr>
            <w:tcW w:w="539"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99 842 167</w:t>
            </w:r>
          </w:p>
        </w:tc>
        <w:tc>
          <w:tcPr>
            <w:tcW w:w="233"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30</w:t>
            </w:r>
          </w:p>
        </w:tc>
        <w:tc>
          <w:tcPr>
            <w:tcW w:w="613"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96 983 467</w:t>
            </w:r>
          </w:p>
        </w:tc>
        <w:tc>
          <w:tcPr>
            <w:tcW w:w="310"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29</w:t>
            </w:r>
          </w:p>
        </w:tc>
        <w:tc>
          <w:tcPr>
            <w:tcW w:w="574" w:type="pct"/>
            <w:shd w:val="clear" w:color="auto" w:fill="auto"/>
            <w:noWrap/>
            <w:vAlign w:val="center"/>
            <w:hideMark/>
          </w:tcPr>
          <w:p w:rsidR="00EB4FB6" w:rsidRPr="00EB4FB6" w:rsidRDefault="00EB4FB6" w:rsidP="00EB4FB6">
            <w:pPr>
              <w:jc w:val="center"/>
              <w:rPr>
                <w:color w:val="000000"/>
                <w:sz w:val="16"/>
                <w:szCs w:val="16"/>
              </w:rPr>
            </w:pPr>
            <w:r w:rsidRPr="00EB4FB6">
              <w:rPr>
                <w:color w:val="000000"/>
                <w:sz w:val="16"/>
                <w:szCs w:val="16"/>
              </w:rPr>
              <w:t>81 908 977</w:t>
            </w:r>
          </w:p>
        </w:tc>
      </w:tr>
      <w:tr w:rsidR="009F480F" w:rsidRPr="00EB4FB6" w:rsidTr="009F480F">
        <w:trPr>
          <w:trHeight w:val="300"/>
        </w:trPr>
        <w:tc>
          <w:tcPr>
            <w:tcW w:w="2731" w:type="pct"/>
            <w:gridSpan w:val="6"/>
            <w:shd w:val="clear" w:color="000000" w:fill="BFBFBF"/>
            <w:noWrap/>
            <w:vAlign w:val="bottom"/>
            <w:hideMark/>
          </w:tcPr>
          <w:p w:rsidR="00653088" w:rsidRPr="0091257C" w:rsidRDefault="00653088" w:rsidP="00EB4FB6">
            <w:pPr>
              <w:rPr>
                <w:b/>
                <w:bCs/>
                <w:sz w:val="18"/>
                <w:szCs w:val="18"/>
              </w:rPr>
            </w:pPr>
            <w:r w:rsidRPr="0091257C">
              <w:rPr>
                <w:b/>
                <w:bCs/>
                <w:sz w:val="18"/>
                <w:szCs w:val="18"/>
              </w:rPr>
              <w:t>Celkem PO 3</w:t>
            </w:r>
          </w:p>
        </w:tc>
        <w:tc>
          <w:tcPr>
            <w:tcW w:w="539" w:type="pct"/>
            <w:shd w:val="clear" w:color="000000" w:fill="BFBFBF"/>
            <w:noWrap/>
            <w:vAlign w:val="center"/>
            <w:hideMark/>
          </w:tcPr>
          <w:p w:rsidR="00653088" w:rsidRPr="0091257C" w:rsidRDefault="00653088" w:rsidP="00653088">
            <w:pPr>
              <w:jc w:val="center"/>
              <w:rPr>
                <w:b/>
                <w:bCs/>
                <w:sz w:val="16"/>
                <w:szCs w:val="16"/>
              </w:rPr>
            </w:pPr>
            <w:r w:rsidRPr="0091257C">
              <w:rPr>
                <w:b/>
                <w:bCs/>
                <w:sz w:val="16"/>
                <w:szCs w:val="16"/>
              </w:rPr>
              <w:t>164 900 821</w:t>
            </w:r>
          </w:p>
        </w:tc>
        <w:tc>
          <w:tcPr>
            <w:tcW w:w="233" w:type="pct"/>
            <w:shd w:val="clear" w:color="000000" w:fill="BFBFBF"/>
            <w:noWrap/>
            <w:vAlign w:val="center"/>
            <w:hideMark/>
          </w:tcPr>
          <w:p w:rsidR="00653088" w:rsidRPr="0091257C" w:rsidRDefault="00653088" w:rsidP="00653088">
            <w:pPr>
              <w:jc w:val="center"/>
              <w:rPr>
                <w:b/>
                <w:bCs/>
                <w:sz w:val="16"/>
                <w:szCs w:val="16"/>
              </w:rPr>
            </w:pPr>
            <w:r w:rsidRPr="0091257C">
              <w:rPr>
                <w:b/>
                <w:bCs/>
                <w:sz w:val="16"/>
                <w:szCs w:val="16"/>
              </w:rPr>
              <w:t>69</w:t>
            </w:r>
          </w:p>
        </w:tc>
        <w:tc>
          <w:tcPr>
            <w:tcW w:w="613" w:type="pct"/>
            <w:shd w:val="clear" w:color="000000" w:fill="BFBFBF"/>
            <w:noWrap/>
            <w:vAlign w:val="center"/>
            <w:hideMark/>
          </w:tcPr>
          <w:p w:rsidR="00653088" w:rsidRPr="0091257C" w:rsidRDefault="00653088" w:rsidP="00653088">
            <w:pPr>
              <w:jc w:val="center"/>
              <w:rPr>
                <w:b/>
                <w:bCs/>
                <w:sz w:val="16"/>
                <w:szCs w:val="16"/>
              </w:rPr>
            </w:pPr>
            <w:r w:rsidRPr="0091257C">
              <w:rPr>
                <w:b/>
                <w:bCs/>
                <w:sz w:val="16"/>
                <w:szCs w:val="16"/>
              </w:rPr>
              <w:t>185 642 216</w:t>
            </w:r>
          </w:p>
        </w:tc>
        <w:tc>
          <w:tcPr>
            <w:tcW w:w="310" w:type="pct"/>
            <w:shd w:val="clear" w:color="000000" w:fill="BFBFBF"/>
            <w:noWrap/>
            <w:vAlign w:val="center"/>
            <w:hideMark/>
          </w:tcPr>
          <w:p w:rsidR="00653088" w:rsidRPr="0091257C" w:rsidRDefault="00653088" w:rsidP="00653088">
            <w:pPr>
              <w:jc w:val="center"/>
              <w:rPr>
                <w:b/>
                <w:bCs/>
                <w:sz w:val="16"/>
                <w:szCs w:val="16"/>
              </w:rPr>
            </w:pPr>
            <w:r w:rsidRPr="0091257C">
              <w:rPr>
                <w:b/>
                <w:bCs/>
                <w:sz w:val="16"/>
                <w:szCs w:val="16"/>
              </w:rPr>
              <w:t>47</w:t>
            </w:r>
          </w:p>
        </w:tc>
        <w:tc>
          <w:tcPr>
            <w:tcW w:w="574" w:type="pct"/>
            <w:shd w:val="clear" w:color="000000" w:fill="BFBFBF"/>
            <w:noWrap/>
            <w:vAlign w:val="center"/>
            <w:hideMark/>
          </w:tcPr>
          <w:p w:rsidR="00653088" w:rsidRPr="0091257C" w:rsidRDefault="00653088" w:rsidP="00653088">
            <w:pPr>
              <w:jc w:val="center"/>
              <w:rPr>
                <w:b/>
                <w:bCs/>
                <w:sz w:val="16"/>
                <w:szCs w:val="16"/>
              </w:rPr>
            </w:pPr>
            <w:r w:rsidRPr="0091257C">
              <w:rPr>
                <w:b/>
                <w:bCs/>
                <w:sz w:val="16"/>
                <w:szCs w:val="16"/>
              </w:rPr>
              <w:t>126 282 581</w:t>
            </w:r>
          </w:p>
        </w:tc>
      </w:tr>
    </w:tbl>
    <w:p w:rsidR="00A75862" w:rsidRPr="0035525A" w:rsidRDefault="00A75862" w:rsidP="000D2834">
      <w:pPr>
        <w:spacing w:before="60"/>
        <w:rPr>
          <w:i/>
          <w:sz w:val="18"/>
          <w:szCs w:val="18"/>
        </w:rPr>
      </w:pPr>
      <w:r w:rsidRPr="0035525A">
        <w:rPr>
          <w:i/>
          <w:sz w:val="18"/>
          <w:szCs w:val="18"/>
        </w:rPr>
        <w:t xml:space="preserve">Zdroj: MSC2007 ke dni </w:t>
      </w:r>
      <w:r w:rsidR="009F480F" w:rsidRPr="0035525A">
        <w:rPr>
          <w:i/>
          <w:sz w:val="18"/>
          <w:szCs w:val="18"/>
        </w:rPr>
        <w:t>31</w:t>
      </w:r>
      <w:r w:rsidR="009F480F" w:rsidRPr="003F4048">
        <w:rPr>
          <w:i/>
          <w:sz w:val="18"/>
          <w:szCs w:val="18"/>
        </w:rPr>
        <w:t>. 12. 2014</w:t>
      </w:r>
    </w:p>
    <w:p w:rsidR="005C22C2" w:rsidRDefault="00A75862" w:rsidP="009026D3">
      <w:pPr>
        <w:rPr>
          <w:i/>
          <w:sz w:val="18"/>
          <w:szCs w:val="18"/>
        </w:rPr>
      </w:pPr>
      <w:r w:rsidRPr="00F95A39">
        <w:rPr>
          <w:i/>
          <w:sz w:val="18"/>
          <w:szCs w:val="18"/>
        </w:rPr>
        <w:t xml:space="preserve">Kurz CZK/EUR: </w:t>
      </w:r>
      <w:r w:rsidR="00CC7A6A">
        <w:rPr>
          <w:i/>
          <w:sz w:val="18"/>
          <w:szCs w:val="18"/>
        </w:rPr>
        <w:t>27,728</w:t>
      </w:r>
    </w:p>
    <w:p w:rsidR="005C22C2" w:rsidRDefault="005C22C2" w:rsidP="009026D3">
      <w:pPr>
        <w:spacing w:after="120"/>
        <w:rPr>
          <w:i/>
          <w:sz w:val="18"/>
          <w:szCs w:val="18"/>
        </w:rPr>
      </w:pPr>
      <w:r w:rsidRPr="00F95A39">
        <w:rPr>
          <w:i/>
          <w:sz w:val="18"/>
          <w:szCs w:val="18"/>
        </w:rPr>
        <w:t>Zdroj financování: veřejné prostředky celkem</w:t>
      </w:r>
    </w:p>
    <w:p w:rsidR="0035525A" w:rsidRPr="009026D3" w:rsidRDefault="0035525A" w:rsidP="009026D3">
      <w:pPr>
        <w:spacing w:after="120"/>
        <w:rPr>
          <w:i/>
          <w:sz w:val="18"/>
          <w:szCs w:val="18"/>
        </w:rPr>
      </w:pPr>
    </w:p>
    <w:p w:rsidR="00A75862" w:rsidRDefault="00A75862" w:rsidP="00D90A2E">
      <w:pPr>
        <w:rPr>
          <w:sz w:val="22"/>
          <w:szCs w:val="22"/>
          <w:u w:val="single"/>
        </w:rPr>
      </w:pPr>
      <w:r w:rsidRPr="0032153F">
        <w:rPr>
          <w:sz w:val="22"/>
          <w:szCs w:val="22"/>
          <w:u w:val="single"/>
        </w:rPr>
        <w:t>Indikátory</w:t>
      </w:r>
    </w:p>
    <w:p w:rsidR="00ED70F1" w:rsidRDefault="00ED70F1" w:rsidP="00ED70F1">
      <w:pPr>
        <w:rPr>
          <w:b/>
          <w:sz w:val="22"/>
          <w:szCs w:val="22"/>
        </w:rPr>
      </w:pPr>
    </w:p>
    <w:p w:rsidR="00ED70F1" w:rsidRPr="00555962" w:rsidRDefault="00ED70F1" w:rsidP="00ED70F1">
      <w:pPr>
        <w:rPr>
          <w:b/>
          <w:sz w:val="22"/>
          <w:szCs w:val="22"/>
        </w:rPr>
      </w:pPr>
      <w:r w:rsidRPr="00555962">
        <w:rPr>
          <w:b/>
          <w:sz w:val="22"/>
          <w:szCs w:val="22"/>
        </w:rPr>
        <w:t>Oblast intervence 3.1</w:t>
      </w:r>
    </w:p>
    <w:p w:rsidR="003939DE" w:rsidRPr="007F64BD" w:rsidRDefault="00ED70F1" w:rsidP="00ED70F1">
      <w:pPr>
        <w:jc w:val="both"/>
        <w:rPr>
          <w:sz w:val="22"/>
          <w:szCs w:val="22"/>
        </w:rPr>
      </w:pPr>
      <w:r w:rsidRPr="007F64BD">
        <w:rPr>
          <w:b/>
          <w:sz w:val="22"/>
          <w:szCs w:val="22"/>
        </w:rPr>
        <w:t>Indikátor 75713</w:t>
      </w:r>
      <w:r w:rsidRPr="007F64BD">
        <w:rPr>
          <w:sz w:val="22"/>
          <w:szCs w:val="22"/>
        </w:rPr>
        <w:t xml:space="preserve"> </w:t>
      </w:r>
      <w:r w:rsidRPr="0026646B">
        <w:rPr>
          <w:b/>
          <w:sz w:val="22"/>
          <w:szCs w:val="22"/>
        </w:rPr>
        <w:t>Zař</w:t>
      </w:r>
      <w:r w:rsidR="003939DE" w:rsidRPr="0026646B">
        <w:rPr>
          <w:b/>
          <w:sz w:val="22"/>
          <w:szCs w:val="22"/>
        </w:rPr>
        <w:t>ízení realizující transformaci</w:t>
      </w:r>
    </w:p>
    <w:p w:rsidR="007F64BD" w:rsidRPr="00AD2786" w:rsidRDefault="007F64BD" w:rsidP="00AD2786">
      <w:pPr>
        <w:jc w:val="both"/>
        <w:rPr>
          <w:sz w:val="22"/>
          <w:szCs w:val="22"/>
        </w:rPr>
      </w:pPr>
      <w:r>
        <w:rPr>
          <w:sz w:val="22"/>
          <w:szCs w:val="22"/>
        </w:rPr>
        <w:t>Cílová</w:t>
      </w:r>
      <w:r w:rsidRPr="002B7D06">
        <w:rPr>
          <w:sz w:val="22"/>
          <w:szCs w:val="22"/>
        </w:rPr>
        <w:t xml:space="preserve"> hodnota </w:t>
      </w:r>
      <w:r>
        <w:rPr>
          <w:sz w:val="22"/>
          <w:szCs w:val="22"/>
        </w:rPr>
        <w:t xml:space="preserve">se </w:t>
      </w:r>
      <w:r w:rsidRPr="002B7D06">
        <w:rPr>
          <w:sz w:val="22"/>
          <w:szCs w:val="22"/>
        </w:rPr>
        <w:t>po úpravě Programového dokumentu</w:t>
      </w:r>
      <w:r>
        <w:rPr>
          <w:sz w:val="22"/>
          <w:szCs w:val="22"/>
        </w:rPr>
        <w:t xml:space="preserve"> snížila z hodnoty 30 na 20 zařízení. Počet </w:t>
      </w:r>
      <w:r w:rsidRPr="00AD2786">
        <w:rPr>
          <w:sz w:val="22"/>
          <w:szCs w:val="22"/>
        </w:rPr>
        <w:t>zařízení, která započala transformaci je na hodnotě 3, MPSV předpokládá naplnění tohoto indikátoru.</w:t>
      </w:r>
    </w:p>
    <w:p w:rsidR="00AD2786" w:rsidRPr="00AD2786" w:rsidRDefault="00AD2786" w:rsidP="00AD2786">
      <w:pPr>
        <w:jc w:val="both"/>
        <w:rPr>
          <w:sz w:val="22"/>
          <w:szCs w:val="22"/>
        </w:rPr>
      </w:pPr>
      <w:r w:rsidRPr="00AD2786">
        <w:rPr>
          <w:sz w:val="22"/>
          <w:szCs w:val="22"/>
        </w:rPr>
        <w:t xml:space="preserve">Aktuálně k 13. 3. 2015 MPSV se nachází ve stavu závazku ze schválených projektů 19 zařízení (nedojde tedy k naplnění cílové hodnoty 20 u tohoto indikátoru). Případné další riziko nenaplnění stanovené cílové hodnoty může být potenciálně  ohroženo u těch sociálních zařízení, které realizují  </w:t>
      </w:r>
      <w:r>
        <w:rPr>
          <w:sz w:val="22"/>
          <w:szCs w:val="22"/>
        </w:rPr>
        <w:br/>
      </w:r>
      <w:r w:rsidRPr="00AD2786">
        <w:rPr>
          <w:sz w:val="22"/>
          <w:szCs w:val="22"/>
        </w:rPr>
        <w:t>v rámci IOP pouze 1 projekt. Další plnění cílové hodnoty  ovšem aktuálně MPSV nemůže jednoznačně potvrdit, vzhledem k tomu, že řada projektů v OI 3.1 a) mají termín ukončení realizace k 30. 11. 2015, a můžou  nastat neočekávané problémy v realizaci projektů</w:t>
      </w:r>
    </w:p>
    <w:p w:rsidR="003939DE" w:rsidRDefault="003939DE" w:rsidP="00DB44E1">
      <w:pPr>
        <w:rPr>
          <w:highlight w:val="yellow"/>
        </w:rPr>
      </w:pPr>
    </w:p>
    <w:p w:rsidR="007F64BD" w:rsidRDefault="007F64BD" w:rsidP="007F64BD">
      <w:pPr>
        <w:spacing w:after="120"/>
        <w:jc w:val="both"/>
        <w:rPr>
          <w:sz w:val="22"/>
          <w:szCs w:val="22"/>
        </w:rPr>
      </w:pPr>
      <w:r>
        <w:rPr>
          <w:sz w:val="22"/>
          <w:szCs w:val="22"/>
        </w:rPr>
        <w:t>Cílová h</w:t>
      </w:r>
      <w:r w:rsidRPr="002B7D06">
        <w:rPr>
          <w:sz w:val="22"/>
          <w:szCs w:val="22"/>
        </w:rPr>
        <w:t xml:space="preserve">odnota </w:t>
      </w:r>
      <w:r w:rsidRPr="00C03546">
        <w:rPr>
          <w:b/>
          <w:sz w:val="22"/>
          <w:szCs w:val="22"/>
        </w:rPr>
        <w:t xml:space="preserve">indikátoru </w:t>
      </w:r>
      <w:r w:rsidR="00C03546">
        <w:rPr>
          <w:b/>
          <w:sz w:val="22"/>
          <w:szCs w:val="22"/>
        </w:rPr>
        <w:t xml:space="preserve">75714 </w:t>
      </w:r>
      <w:r w:rsidRPr="0026646B">
        <w:rPr>
          <w:b/>
          <w:sz w:val="22"/>
          <w:szCs w:val="22"/>
        </w:rPr>
        <w:t xml:space="preserve">Počet podpořených organizací </w:t>
      </w:r>
      <w:r>
        <w:rPr>
          <w:sz w:val="22"/>
          <w:szCs w:val="22"/>
        </w:rPr>
        <w:t>v aktivitě 3.1 b)</w:t>
      </w:r>
      <w:r w:rsidRPr="002B7D06">
        <w:rPr>
          <w:sz w:val="22"/>
          <w:szCs w:val="22"/>
        </w:rPr>
        <w:t xml:space="preserve"> zůstala </w:t>
      </w:r>
      <w:r>
        <w:rPr>
          <w:sz w:val="22"/>
          <w:szCs w:val="22"/>
        </w:rPr>
        <w:t xml:space="preserve">po změně Programového dokumentu </w:t>
      </w:r>
      <w:r w:rsidRPr="002B7D06">
        <w:rPr>
          <w:sz w:val="22"/>
          <w:szCs w:val="22"/>
        </w:rPr>
        <w:t>nezměněna</w:t>
      </w:r>
      <w:r>
        <w:rPr>
          <w:sz w:val="22"/>
          <w:szCs w:val="22"/>
        </w:rPr>
        <w:t xml:space="preserve"> a zůstává </w:t>
      </w:r>
      <w:r w:rsidRPr="002B7D06">
        <w:rPr>
          <w:sz w:val="22"/>
          <w:szCs w:val="22"/>
        </w:rPr>
        <w:t>na h</w:t>
      </w:r>
      <w:r w:rsidR="004A074A">
        <w:rPr>
          <w:sz w:val="22"/>
          <w:szCs w:val="22"/>
        </w:rPr>
        <w:t xml:space="preserve">odnotě 30 zařízení. </w:t>
      </w:r>
      <w:r w:rsidR="009F480F">
        <w:rPr>
          <w:sz w:val="22"/>
          <w:szCs w:val="22"/>
        </w:rPr>
        <w:t>Ke 2. 3. 2015</w:t>
      </w:r>
      <w:r>
        <w:rPr>
          <w:sz w:val="22"/>
          <w:szCs w:val="22"/>
        </w:rPr>
        <w:t xml:space="preserve"> je dosažená hodnota indikátoru počtu podpořených organizací, které realizují projekty zaměřované na začlenění romských lokalit na trh, na hodnotě 25. V roce 2014 byl počet podpořených organizací navýšen o 10 nově podpořených organizací. </w:t>
      </w:r>
    </w:p>
    <w:p w:rsidR="003939DE" w:rsidRPr="0051439F" w:rsidRDefault="003939DE" w:rsidP="00ED70F1">
      <w:pPr>
        <w:jc w:val="both"/>
        <w:rPr>
          <w:sz w:val="22"/>
          <w:szCs w:val="22"/>
          <w:highlight w:val="yellow"/>
        </w:rPr>
      </w:pPr>
    </w:p>
    <w:p w:rsidR="00C03546" w:rsidRDefault="00C03546" w:rsidP="00C03546">
      <w:pPr>
        <w:spacing w:after="120"/>
        <w:jc w:val="both"/>
        <w:rPr>
          <w:sz w:val="22"/>
          <w:szCs w:val="22"/>
        </w:rPr>
      </w:pPr>
      <w:r>
        <w:rPr>
          <w:sz w:val="22"/>
          <w:szCs w:val="22"/>
        </w:rPr>
        <w:lastRenderedPageBreak/>
        <w:t>Dosažené hodnotě k </w:t>
      </w:r>
      <w:r w:rsidRPr="00C03546">
        <w:rPr>
          <w:b/>
          <w:sz w:val="22"/>
          <w:szCs w:val="22"/>
        </w:rPr>
        <w:t xml:space="preserve">indikátoru </w:t>
      </w:r>
      <w:r>
        <w:rPr>
          <w:b/>
          <w:sz w:val="22"/>
          <w:szCs w:val="22"/>
        </w:rPr>
        <w:t xml:space="preserve">75802 </w:t>
      </w:r>
      <w:r w:rsidRPr="00C03546">
        <w:rPr>
          <w:sz w:val="22"/>
          <w:szCs w:val="22"/>
        </w:rPr>
        <w:t xml:space="preserve">Počet podpořených subjektů </w:t>
      </w:r>
      <w:r>
        <w:rPr>
          <w:sz w:val="22"/>
          <w:szCs w:val="22"/>
        </w:rPr>
        <w:t>v oblasti investiční podpory sociální ekonomiky ve vazb</w:t>
      </w:r>
      <w:r w:rsidR="004A074A">
        <w:rPr>
          <w:sz w:val="22"/>
          <w:szCs w:val="22"/>
        </w:rPr>
        <w:t xml:space="preserve">ě na aktivitu 3.1 c) </w:t>
      </w:r>
      <w:r w:rsidR="009F480F">
        <w:rPr>
          <w:sz w:val="22"/>
          <w:szCs w:val="22"/>
        </w:rPr>
        <w:t>odpovídá ke 2. 3. 2015</w:t>
      </w:r>
      <w:r>
        <w:rPr>
          <w:sz w:val="22"/>
          <w:szCs w:val="22"/>
        </w:rPr>
        <w:t xml:space="preserve"> hodnot</w:t>
      </w:r>
      <w:r w:rsidR="003719B4">
        <w:rPr>
          <w:sz w:val="22"/>
          <w:szCs w:val="22"/>
        </w:rPr>
        <w:t>ě</w:t>
      </w:r>
      <w:r>
        <w:rPr>
          <w:sz w:val="22"/>
          <w:szCs w:val="22"/>
        </w:rPr>
        <w:t xml:space="preserve"> 41 podpořených subjektů, došlo k nárůstu v porovnání s rokem 2013 o 9 nově podpořených subjektů. Ve stavu závazku ze schválených projektů se nachází 53 projektů, proto pokud nenastanou neočekávané události MPSV předpokládá naplnění cílové hodnoty tohoto indikátoru. MPSV přijalo v roce 2014 zásadní opatření na podporu příjemcův OI 3.1 c) a zintenzivnilo práci s příjemci formou individuálních konzultací. V této aktivitě byl připraven projektový zásobník, z něhož byly v prosinci 2014 osloveny všechny projekty schválené výběrovou komisí s výzvou k realizaci.</w:t>
      </w:r>
    </w:p>
    <w:p w:rsidR="00ED70F1" w:rsidRPr="0051439F" w:rsidRDefault="00ED70F1" w:rsidP="00ED70F1">
      <w:pPr>
        <w:jc w:val="both"/>
        <w:rPr>
          <w:sz w:val="22"/>
          <w:szCs w:val="22"/>
          <w:highlight w:val="yellow"/>
        </w:rPr>
      </w:pPr>
    </w:p>
    <w:p w:rsidR="000F5D5C" w:rsidRPr="006011D0" w:rsidRDefault="000F5D5C" w:rsidP="000F5D5C">
      <w:pPr>
        <w:jc w:val="both"/>
        <w:rPr>
          <w:sz w:val="22"/>
          <w:szCs w:val="22"/>
        </w:rPr>
      </w:pPr>
      <w:r w:rsidRPr="006011D0">
        <w:rPr>
          <w:sz w:val="22"/>
          <w:szCs w:val="22"/>
        </w:rPr>
        <w:t>P</w:t>
      </w:r>
      <w:r>
        <w:rPr>
          <w:sz w:val="22"/>
          <w:szCs w:val="22"/>
        </w:rPr>
        <w:t>ři</w:t>
      </w:r>
      <w:r w:rsidRPr="006011D0">
        <w:rPr>
          <w:sz w:val="22"/>
          <w:szCs w:val="22"/>
        </w:rPr>
        <w:t xml:space="preserve"> plnění </w:t>
      </w:r>
      <w:r w:rsidRPr="000F5D5C">
        <w:rPr>
          <w:b/>
          <w:sz w:val="22"/>
          <w:szCs w:val="22"/>
        </w:rPr>
        <w:t>indikátoru</w:t>
      </w:r>
      <w:r w:rsidRPr="006011D0">
        <w:rPr>
          <w:sz w:val="22"/>
          <w:szCs w:val="22"/>
        </w:rPr>
        <w:t xml:space="preserve"> </w:t>
      </w:r>
      <w:r w:rsidRPr="00384A2C">
        <w:rPr>
          <w:b/>
          <w:sz w:val="22"/>
          <w:szCs w:val="22"/>
        </w:rPr>
        <w:t>75711</w:t>
      </w:r>
      <w:r>
        <w:rPr>
          <w:b/>
          <w:sz w:val="22"/>
          <w:szCs w:val="22"/>
        </w:rPr>
        <w:t xml:space="preserve"> </w:t>
      </w:r>
      <w:r w:rsidRPr="000F5D5C">
        <w:rPr>
          <w:sz w:val="22"/>
          <w:szCs w:val="22"/>
        </w:rPr>
        <w:t>Alternativní sociální služby</w:t>
      </w:r>
      <w:r w:rsidRPr="006011D0">
        <w:rPr>
          <w:sz w:val="22"/>
          <w:szCs w:val="22"/>
        </w:rPr>
        <w:t xml:space="preserve"> </w:t>
      </w:r>
      <w:r>
        <w:rPr>
          <w:sz w:val="22"/>
          <w:szCs w:val="22"/>
        </w:rPr>
        <w:t xml:space="preserve">v aktivitě 3.1 a) se dosažená </w:t>
      </w:r>
      <w:r w:rsidR="005E56F8">
        <w:rPr>
          <w:sz w:val="22"/>
          <w:szCs w:val="22"/>
        </w:rPr>
        <w:t>hodnota ke  2. 3. 2015</w:t>
      </w:r>
      <w:r>
        <w:rPr>
          <w:sz w:val="22"/>
          <w:szCs w:val="22"/>
        </w:rPr>
        <w:t xml:space="preserve"> ve srovnání s předchozím sledovaným obdobím navýšila o 15 alternativních sociálních služeb. Ve stavu závazku ze schválených projektů je 89 alternativních sociálních služeb v OI 3.1 a), proto se předpokládá přeplnění tohoto indikátoru.</w:t>
      </w:r>
    </w:p>
    <w:p w:rsidR="000F5D5C" w:rsidRPr="0051439F" w:rsidRDefault="000F5D5C" w:rsidP="000F5D5C">
      <w:pPr>
        <w:jc w:val="both"/>
        <w:rPr>
          <w:sz w:val="22"/>
          <w:szCs w:val="22"/>
          <w:highlight w:val="yellow"/>
        </w:rPr>
      </w:pPr>
    </w:p>
    <w:p w:rsidR="00AD2786" w:rsidRDefault="000F5D5C" w:rsidP="005E56F8">
      <w:pPr>
        <w:jc w:val="both"/>
        <w:rPr>
          <w:color w:val="0070C0"/>
        </w:rPr>
      </w:pPr>
      <w:r>
        <w:rPr>
          <w:sz w:val="22"/>
          <w:szCs w:val="22"/>
        </w:rPr>
        <w:t xml:space="preserve">I u </w:t>
      </w:r>
      <w:r w:rsidRPr="000F5D5C">
        <w:rPr>
          <w:b/>
          <w:sz w:val="22"/>
          <w:szCs w:val="22"/>
        </w:rPr>
        <w:t>indikátoru</w:t>
      </w:r>
      <w:r>
        <w:rPr>
          <w:sz w:val="22"/>
          <w:szCs w:val="22"/>
        </w:rPr>
        <w:t xml:space="preserve"> </w:t>
      </w:r>
      <w:r w:rsidRPr="008426EF">
        <w:rPr>
          <w:b/>
          <w:sz w:val="22"/>
          <w:szCs w:val="22"/>
        </w:rPr>
        <w:t>75</w:t>
      </w:r>
      <w:r>
        <w:rPr>
          <w:b/>
          <w:sz w:val="22"/>
          <w:szCs w:val="22"/>
        </w:rPr>
        <w:t xml:space="preserve">712 </w:t>
      </w:r>
      <w:r w:rsidRPr="000F5D5C">
        <w:rPr>
          <w:sz w:val="22"/>
          <w:szCs w:val="22"/>
        </w:rPr>
        <w:t>Počet nových sociálních služeb a aktivit</w:t>
      </w:r>
      <w:r>
        <w:rPr>
          <w:sz w:val="22"/>
          <w:szCs w:val="22"/>
        </w:rPr>
        <w:t>, který je vázán na aktivitu 3.1 b), došlo k navýšení počtu nových sociálních služeb o 40 ve srovnání s rokem 2014.</w:t>
      </w:r>
      <w:r w:rsidR="00AD2786" w:rsidRPr="00AD2786">
        <w:rPr>
          <w:color w:val="0070C0"/>
        </w:rPr>
        <w:t xml:space="preserve"> </w:t>
      </w:r>
      <w:r w:rsidR="00AD2786" w:rsidRPr="005E56F8">
        <w:rPr>
          <w:sz w:val="22"/>
          <w:szCs w:val="22"/>
        </w:rPr>
        <w:t xml:space="preserve">Dosažená hodnota </w:t>
      </w:r>
      <w:r w:rsidR="005E56F8" w:rsidRPr="005E56F8">
        <w:rPr>
          <w:sz w:val="22"/>
          <w:szCs w:val="22"/>
        </w:rPr>
        <w:t xml:space="preserve">tohoto indikátoru </w:t>
      </w:r>
      <w:r w:rsidR="00AD2786" w:rsidRPr="005E56F8">
        <w:rPr>
          <w:sz w:val="22"/>
          <w:szCs w:val="22"/>
        </w:rPr>
        <w:t>je k</w:t>
      </w:r>
      <w:r w:rsidR="005E56F8" w:rsidRPr="005E56F8">
        <w:rPr>
          <w:sz w:val="22"/>
          <w:szCs w:val="22"/>
        </w:rPr>
        <w:t> </w:t>
      </w:r>
      <w:r w:rsidR="009F480F" w:rsidRPr="005E56F8">
        <w:rPr>
          <w:sz w:val="22"/>
          <w:szCs w:val="22"/>
        </w:rPr>
        <w:t>31. 12. 2014</w:t>
      </w:r>
      <w:r w:rsidR="00AD2786" w:rsidRPr="005E56F8">
        <w:rPr>
          <w:sz w:val="22"/>
          <w:szCs w:val="22"/>
        </w:rPr>
        <w:t xml:space="preserve"> na 92. Plánovaná cílová hodnota tohoto indikátoru 142 nebude dle aktuálního stavu realizace projektů v OI 3.1 b) naplněna. Stav závazku ze schválených projektů je aktuálně na hodnotě 129.</w:t>
      </w:r>
    </w:p>
    <w:p w:rsidR="000F5D5C" w:rsidRPr="00025785" w:rsidRDefault="000F5D5C" w:rsidP="00025785">
      <w:pPr>
        <w:spacing w:after="120"/>
        <w:jc w:val="both"/>
        <w:rPr>
          <w:sz w:val="22"/>
          <w:szCs w:val="22"/>
        </w:rPr>
      </w:pPr>
    </w:p>
    <w:p w:rsidR="00ED70F1" w:rsidRPr="00281FEE" w:rsidRDefault="000F5D5C" w:rsidP="00281FEE">
      <w:pPr>
        <w:spacing w:after="120"/>
        <w:jc w:val="both"/>
        <w:rPr>
          <w:b/>
          <w:sz w:val="22"/>
          <w:szCs w:val="22"/>
        </w:rPr>
      </w:pPr>
      <w:r>
        <w:rPr>
          <w:sz w:val="22"/>
          <w:szCs w:val="22"/>
        </w:rPr>
        <w:t xml:space="preserve">Cílová hodnota </w:t>
      </w:r>
      <w:r w:rsidRPr="000F5D5C">
        <w:rPr>
          <w:b/>
          <w:sz w:val="22"/>
          <w:szCs w:val="22"/>
        </w:rPr>
        <w:t>indikátoru 7</w:t>
      </w:r>
      <w:r>
        <w:rPr>
          <w:b/>
          <w:sz w:val="22"/>
          <w:szCs w:val="22"/>
        </w:rPr>
        <w:t xml:space="preserve">5603 </w:t>
      </w:r>
      <w:r w:rsidRPr="000F5D5C">
        <w:rPr>
          <w:sz w:val="22"/>
          <w:szCs w:val="22"/>
        </w:rPr>
        <w:t>Účelnost podpory</w:t>
      </w:r>
      <w:r>
        <w:rPr>
          <w:sz w:val="22"/>
          <w:szCs w:val="22"/>
        </w:rPr>
        <w:t xml:space="preserve"> v akt</w:t>
      </w:r>
      <w:r w:rsidR="00281FEE">
        <w:rPr>
          <w:sz w:val="22"/>
          <w:szCs w:val="22"/>
        </w:rPr>
        <w:t>ivitě 3.1 c) je na hodnotě 60 %</w:t>
      </w:r>
      <w:r>
        <w:rPr>
          <w:sz w:val="22"/>
          <w:szCs w:val="22"/>
        </w:rPr>
        <w:t xml:space="preserve"> a dosažená hodnota </w:t>
      </w:r>
      <w:r w:rsidR="00EB1915">
        <w:rPr>
          <w:sz w:val="22"/>
          <w:szCs w:val="22"/>
        </w:rPr>
        <w:t>činí 73,5</w:t>
      </w:r>
      <w:r>
        <w:rPr>
          <w:sz w:val="22"/>
          <w:szCs w:val="22"/>
        </w:rPr>
        <w:t xml:space="preserve"> %, dochází tedy k přeplnění indikátoru. V roce 2014 proběhlo na</w:t>
      </w:r>
      <w:r w:rsidRPr="005A5C43">
        <w:rPr>
          <w:sz w:val="22"/>
          <w:szCs w:val="22"/>
        </w:rPr>
        <w:t xml:space="preserve"> základě plnění Akčního plánu</w:t>
      </w:r>
      <w:r>
        <w:rPr>
          <w:sz w:val="22"/>
          <w:szCs w:val="22"/>
        </w:rPr>
        <w:t xml:space="preserve"> </w:t>
      </w:r>
      <w:r w:rsidRPr="005A5C43">
        <w:rPr>
          <w:bCs/>
          <w:sz w:val="22"/>
          <w:szCs w:val="22"/>
        </w:rPr>
        <w:t xml:space="preserve">k  Evaluaci provázanosti monitorovacích indikátorů s cíli programu IOP </w:t>
      </w:r>
      <w:r w:rsidR="00281FEE">
        <w:rPr>
          <w:bCs/>
          <w:sz w:val="22"/>
          <w:szCs w:val="22"/>
        </w:rPr>
        <w:t xml:space="preserve">ke </w:t>
      </w:r>
      <w:r w:rsidRPr="005A5C43">
        <w:rPr>
          <w:bCs/>
          <w:sz w:val="22"/>
          <w:szCs w:val="22"/>
        </w:rPr>
        <w:t>sjednocení hodnot indikátoru účelnosti podpory z </w:t>
      </w:r>
      <w:r>
        <w:rPr>
          <w:bCs/>
          <w:sz w:val="22"/>
          <w:szCs w:val="22"/>
        </w:rPr>
        <w:t xml:space="preserve"> </w:t>
      </w:r>
      <w:r w:rsidRPr="005A5C43">
        <w:rPr>
          <w:bCs/>
          <w:sz w:val="22"/>
          <w:szCs w:val="22"/>
        </w:rPr>
        <w:t>1. a 8. výzvy v 3.1 c)</w:t>
      </w:r>
      <w:r>
        <w:rPr>
          <w:bCs/>
          <w:sz w:val="22"/>
          <w:szCs w:val="22"/>
        </w:rPr>
        <w:t>.</w:t>
      </w:r>
      <w:r w:rsidRPr="005A5C43">
        <w:rPr>
          <w:sz w:val="22"/>
          <w:szCs w:val="22"/>
        </w:rPr>
        <w:t xml:space="preserve"> MPSV </w:t>
      </w:r>
      <w:r>
        <w:rPr>
          <w:sz w:val="22"/>
          <w:szCs w:val="22"/>
        </w:rPr>
        <w:t xml:space="preserve">tak zajistilo </w:t>
      </w:r>
      <w:r w:rsidRPr="005A5C43">
        <w:rPr>
          <w:sz w:val="22"/>
          <w:szCs w:val="22"/>
        </w:rPr>
        <w:t xml:space="preserve">srovnatelnost vykazovaných hodnot získáním počtu </w:t>
      </w:r>
      <w:r>
        <w:rPr>
          <w:sz w:val="22"/>
          <w:szCs w:val="22"/>
        </w:rPr>
        <w:t xml:space="preserve">pracovních </w:t>
      </w:r>
      <w:r w:rsidRPr="005A5C43">
        <w:rPr>
          <w:sz w:val="22"/>
          <w:szCs w:val="22"/>
        </w:rPr>
        <w:t xml:space="preserve">úvazků zaměstnaných osob z cílové skupiny v projektech 1. výzvy, jejichž výsledky byly původně závazně evidovány v počtech zaměstnaných osob. </w:t>
      </w:r>
    </w:p>
    <w:p w:rsidR="000F5D5C" w:rsidRPr="00555962" w:rsidRDefault="000F5D5C" w:rsidP="00ED70F1">
      <w:pPr>
        <w:rPr>
          <w:sz w:val="22"/>
          <w:szCs w:val="22"/>
        </w:rPr>
      </w:pPr>
    </w:p>
    <w:p w:rsidR="00ED70F1" w:rsidRPr="00D1450B" w:rsidRDefault="00ED70F1" w:rsidP="00ED70F1">
      <w:pPr>
        <w:rPr>
          <w:b/>
          <w:sz w:val="22"/>
          <w:szCs w:val="22"/>
        </w:rPr>
      </w:pPr>
      <w:r w:rsidRPr="00D1450B">
        <w:rPr>
          <w:b/>
          <w:sz w:val="22"/>
          <w:szCs w:val="22"/>
        </w:rPr>
        <w:t>Oblast intervence 3.2</w:t>
      </w:r>
    </w:p>
    <w:p w:rsidR="00ED70F1" w:rsidRPr="00D1450B" w:rsidRDefault="00ED70F1" w:rsidP="00ED70F1">
      <w:pPr>
        <w:rPr>
          <w:b/>
          <w:sz w:val="22"/>
          <w:szCs w:val="22"/>
        </w:rPr>
      </w:pPr>
    </w:p>
    <w:p w:rsidR="00ED70F1" w:rsidRPr="00D1450B" w:rsidRDefault="00ED70F1" w:rsidP="00ED70F1">
      <w:pPr>
        <w:jc w:val="both"/>
        <w:rPr>
          <w:b/>
          <w:sz w:val="22"/>
          <w:szCs w:val="22"/>
        </w:rPr>
      </w:pPr>
      <w:r w:rsidRPr="00D1450B">
        <w:rPr>
          <w:b/>
          <w:sz w:val="22"/>
          <w:szCs w:val="22"/>
        </w:rPr>
        <w:t xml:space="preserve">Indikátor 80721 </w:t>
      </w:r>
      <w:r w:rsidRPr="0050047A">
        <w:rPr>
          <w:b/>
          <w:sz w:val="22"/>
          <w:szCs w:val="22"/>
        </w:rPr>
        <w:t>Zvýšení vybavenosti specializovaných pracovišť</w:t>
      </w:r>
    </w:p>
    <w:p w:rsidR="00ED70F1" w:rsidRPr="00D1450B" w:rsidRDefault="00164A7B" w:rsidP="00ED70F1">
      <w:pPr>
        <w:jc w:val="both"/>
        <w:rPr>
          <w:sz w:val="22"/>
          <w:szCs w:val="22"/>
        </w:rPr>
      </w:pPr>
      <w:r w:rsidRPr="00D1450B">
        <w:rPr>
          <w:sz w:val="22"/>
          <w:szCs w:val="22"/>
        </w:rPr>
        <w:t>V současné době se plnění hodnoty indikátoru pohybuje na úrovni 68,86</w:t>
      </w:r>
      <w:r w:rsidR="00813551" w:rsidRPr="00D1450B">
        <w:rPr>
          <w:sz w:val="22"/>
          <w:szCs w:val="22"/>
        </w:rPr>
        <w:t xml:space="preserve"> </w:t>
      </w:r>
      <w:r w:rsidRPr="00D1450B">
        <w:rPr>
          <w:sz w:val="22"/>
          <w:szCs w:val="22"/>
        </w:rPr>
        <w:t>% z cílové hodnoty 60</w:t>
      </w:r>
      <w:r w:rsidR="00813551" w:rsidRPr="00D1450B">
        <w:rPr>
          <w:sz w:val="22"/>
          <w:szCs w:val="22"/>
        </w:rPr>
        <w:t xml:space="preserve"> </w:t>
      </w:r>
      <w:r w:rsidRPr="00D1450B">
        <w:rPr>
          <w:sz w:val="22"/>
          <w:szCs w:val="22"/>
        </w:rPr>
        <w:t>% vybavenosti (překročení o cca 8</w:t>
      </w:r>
      <w:r w:rsidR="00813551" w:rsidRPr="00D1450B">
        <w:rPr>
          <w:sz w:val="22"/>
          <w:szCs w:val="22"/>
        </w:rPr>
        <w:t xml:space="preserve"> </w:t>
      </w:r>
      <w:r w:rsidRPr="00D1450B">
        <w:rPr>
          <w:sz w:val="22"/>
          <w:szCs w:val="22"/>
        </w:rPr>
        <w:t xml:space="preserve">%). Vzhledem k plánovanému zahájení projektů 19. výzvy dojde v roce 2015 ještě k nepatrnému navýšení závazku ze schválených projektů a tím i </w:t>
      </w:r>
      <w:r w:rsidR="00281FEE" w:rsidRPr="00D1450B">
        <w:rPr>
          <w:sz w:val="22"/>
          <w:szCs w:val="22"/>
        </w:rPr>
        <w:t xml:space="preserve">k </w:t>
      </w:r>
      <w:r w:rsidRPr="00D1450B">
        <w:rPr>
          <w:sz w:val="22"/>
          <w:szCs w:val="22"/>
        </w:rPr>
        <w:t xml:space="preserve">navýšení překročení cílového indikátoru.  </w:t>
      </w:r>
    </w:p>
    <w:p w:rsidR="00ED70F1" w:rsidRPr="00D1450B" w:rsidRDefault="00ED70F1" w:rsidP="00ED70F1">
      <w:pPr>
        <w:jc w:val="both"/>
        <w:rPr>
          <w:b/>
          <w:sz w:val="22"/>
          <w:szCs w:val="22"/>
        </w:rPr>
      </w:pPr>
      <w:r w:rsidRPr="00D1450B">
        <w:rPr>
          <w:b/>
          <w:sz w:val="22"/>
          <w:szCs w:val="22"/>
        </w:rPr>
        <w:t xml:space="preserve">Indikátor 080712 </w:t>
      </w:r>
      <w:r w:rsidRPr="003719B4">
        <w:rPr>
          <w:b/>
          <w:sz w:val="22"/>
          <w:szCs w:val="22"/>
        </w:rPr>
        <w:t>Počet dostupných programů prevence pro obyvatele</w:t>
      </w:r>
      <w:r w:rsidRPr="00D1450B">
        <w:rPr>
          <w:b/>
          <w:sz w:val="22"/>
          <w:szCs w:val="22"/>
        </w:rPr>
        <w:t xml:space="preserve"> </w:t>
      </w:r>
    </w:p>
    <w:p w:rsidR="00033800" w:rsidRPr="00D1450B" w:rsidRDefault="00033800" w:rsidP="00033800">
      <w:pPr>
        <w:jc w:val="both"/>
        <w:rPr>
          <w:sz w:val="22"/>
          <w:szCs w:val="22"/>
        </w:rPr>
      </w:pPr>
      <w:r w:rsidRPr="00D1450B">
        <w:rPr>
          <w:sz w:val="22"/>
          <w:szCs w:val="22"/>
        </w:rPr>
        <w:t>V současné době se plnění hodnoty indikátoru pohybuje na úrovni 107</w:t>
      </w:r>
      <w:r>
        <w:rPr>
          <w:sz w:val="22"/>
          <w:szCs w:val="22"/>
        </w:rPr>
        <w:t xml:space="preserve"> </w:t>
      </w:r>
      <w:r w:rsidRPr="00D1450B">
        <w:rPr>
          <w:sz w:val="22"/>
          <w:szCs w:val="22"/>
        </w:rPr>
        <w:t>% (je zavedeno 48 programů prevence z cílové hodnoty 45 programů). V aktivit</w:t>
      </w:r>
      <w:r>
        <w:rPr>
          <w:sz w:val="22"/>
          <w:szCs w:val="22"/>
        </w:rPr>
        <w:t>ě</w:t>
      </w:r>
      <w:r w:rsidRPr="00D1450B">
        <w:rPr>
          <w:sz w:val="22"/>
          <w:szCs w:val="22"/>
        </w:rPr>
        <w:t xml:space="preserve"> 3.2b</w:t>
      </w:r>
      <w:r>
        <w:rPr>
          <w:sz w:val="22"/>
          <w:szCs w:val="22"/>
        </w:rPr>
        <w:t>)</w:t>
      </w:r>
      <w:r w:rsidRPr="00D1450B">
        <w:rPr>
          <w:sz w:val="22"/>
          <w:szCs w:val="22"/>
        </w:rPr>
        <w:t xml:space="preserve"> byl zaznamenáván postupný růst absorpční kapacity v oblasti prevence zdravotních rizik a epidemiologie, který vyústil ve větší počet vyhlašovaných výzev, do kterých byly předkládány projekty s nižším finančním objemem. Vzhledem k tomu, že výsledkem každého zrealizovaného projektu je zpravidla jeden program prevence a v současné době je evidován závazek ze schválených projektů ve výši 56 programů prevence, bude cílová hodnota indikátoru ke konci programového období vyšší.  </w:t>
      </w:r>
    </w:p>
    <w:p w:rsidR="00ED70F1" w:rsidRPr="00D1450B" w:rsidRDefault="00ED70F1" w:rsidP="00ED70F1">
      <w:pPr>
        <w:jc w:val="both"/>
        <w:rPr>
          <w:sz w:val="22"/>
          <w:szCs w:val="22"/>
        </w:rPr>
      </w:pPr>
    </w:p>
    <w:p w:rsidR="00ED70F1" w:rsidRPr="00D1450B" w:rsidRDefault="00ED70F1" w:rsidP="00ED70F1">
      <w:pPr>
        <w:jc w:val="both"/>
        <w:rPr>
          <w:sz w:val="22"/>
          <w:szCs w:val="22"/>
        </w:rPr>
      </w:pPr>
      <w:r w:rsidRPr="00D1450B">
        <w:rPr>
          <w:b/>
          <w:sz w:val="22"/>
          <w:szCs w:val="22"/>
        </w:rPr>
        <w:t>Indikátor 080704</w:t>
      </w:r>
      <w:r w:rsidRPr="0050047A">
        <w:rPr>
          <w:b/>
          <w:sz w:val="22"/>
          <w:szCs w:val="22"/>
        </w:rPr>
        <w:t xml:space="preserve"> Počet programů zavádějících standardy a standardní postupy řízení kvality </w:t>
      </w:r>
      <w:r w:rsidR="00DB6D2D">
        <w:rPr>
          <w:b/>
          <w:sz w:val="22"/>
          <w:szCs w:val="22"/>
        </w:rPr>
        <w:br/>
      </w:r>
      <w:r w:rsidRPr="0050047A">
        <w:rPr>
          <w:b/>
          <w:sz w:val="22"/>
          <w:szCs w:val="22"/>
        </w:rPr>
        <w:t xml:space="preserve">a nákladovosti </w:t>
      </w:r>
    </w:p>
    <w:p w:rsidR="00033800" w:rsidRPr="00D1450B" w:rsidRDefault="00033800" w:rsidP="00033800">
      <w:pPr>
        <w:jc w:val="both"/>
        <w:rPr>
          <w:sz w:val="22"/>
          <w:szCs w:val="22"/>
        </w:rPr>
      </w:pPr>
      <w:r w:rsidRPr="00D1450B">
        <w:rPr>
          <w:sz w:val="22"/>
          <w:szCs w:val="22"/>
        </w:rPr>
        <w:t xml:space="preserve">V současné době se plnění indikátoru pohybuje na úrovni 58 % (je zavedeno 14 programů prevence z cílové hodnoty 24 programů). V současné době je evidován závazek ve výši 15 programů. Závazek v počtu programů tedy odpovídá cílové hodnotě. S ohledem na zahájení </w:t>
      </w:r>
      <w:r>
        <w:rPr>
          <w:sz w:val="22"/>
          <w:szCs w:val="22"/>
        </w:rPr>
        <w:t xml:space="preserve">realizace </w:t>
      </w:r>
      <w:r w:rsidRPr="00D1450B">
        <w:rPr>
          <w:sz w:val="22"/>
          <w:szCs w:val="22"/>
        </w:rPr>
        <w:t xml:space="preserve">projektů </w:t>
      </w:r>
      <w:r>
        <w:rPr>
          <w:sz w:val="22"/>
          <w:szCs w:val="22"/>
        </w:rPr>
        <w:t xml:space="preserve">ze </w:t>
      </w:r>
      <w:r w:rsidRPr="00D1450B">
        <w:rPr>
          <w:sz w:val="22"/>
          <w:szCs w:val="22"/>
        </w:rPr>
        <w:t>17. výzvy v roce 2015 bude hodnota cílového indikátoru v příštím roce pravděpodobně překročena.</w:t>
      </w:r>
    </w:p>
    <w:p w:rsidR="00323676" w:rsidRPr="00D1450B" w:rsidRDefault="00323676" w:rsidP="00ED70F1">
      <w:pPr>
        <w:jc w:val="both"/>
        <w:rPr>
          <w:b/>
          <w:sz w:val="22"/>
          <w:szCs w:val="22"/>
        </w:rPr>
      </w:pPr>
    </w:p>
    <w:p w:rsidR="00ED70F1" w:rsidRPr="00D1450B" w:rsidRDefault="00ED70F1" w:rsidP="00ED70F1">
      <w:pPr>
        <w:jc w:val="both"/>
        <w:rPr>
          <w:b/>
          <w:sz w:val="22"/>
          <w:szCs w:val="22"/>
        </w:rPr>
      </w:pPr>
      <w:r w:rsidRPr="00D1450B">
        <w:rPr>
          <w:b/>
          <w:sz w:val="22"/>
          <w:szCs w:val="22"/>
        </w:rPr>
        <w:t xml:space="preserve">Indikátor 080101 </w:t>
      </w:r>
      <w:r w:rsidRPr="0050047A">
        <w:rPr>
          <w:b/>
          <w:sz w:val="22"/>
          <w:szCs w:val="22"/>
        </w:rPr>
        <w:t>Počet projektů na podporu zdraví – pro prevenci zdravotních rizik</w:t>
      </w:r>
    </w:p>
    <w:p w:rsidR="007A66C3" w:rsidRDefault="00E4472A" w:rsidP="00E4472A">
      <w:pPr>
        <w:jc w:val="both"/>
        <w:rPr>
          <w:sz w:val="22"/>
          <w:szCs w:val="22"/>
        </w:rPr>
      </w:pPr>
      <w:r w:rsidRPr="00D1450B">
        <w:rPr>
          <w:sz w:val="22"/>
          <w:szCs w:val="22"/>
        </w:rPr>
        <w:t xml:space="preserve">V současné době se plnění hodnoty indikátoru pohybuje na úrovni 104 % (je zrealizováno  47 projektů zaměřených na prevenci zdravotních rizik z cílové hodnoty 45 projektů). </w:t>
      </w:r>
    </w:p>
    <w:p w:rsidR="00E4472A" w:rsidRPr="00D1450B" w:rsidRDefault="00E4472A" w:rsidP="00E4472A">
      <w:pPr>
        <w:jc w:val="both"/>
        <w:rPr>
          <w:sz w:val="22"/>
          <w:szCs w:val="22"/>
        </w:rPr>
      </w:pPr>
      <w:r w:rsidRPr="00D1450B">
        <w:rPr>
          <w:sz w:val="22"/>
          <w:szCs w:val="22"/>
        </w:rPr>
        <w:lastRenderedPageBreak/>
        <w:t>V rámci aktivity 3.2</w:t>
      </w:r>
      <w:r w:rsidR="00C36048" w:rsidRPr="00D1450B">
        <w:rPr>
          <w:sz w:val="22"/>
          <w:szCs w:val="22"/>
        </w:rPr>
        <w:t xml:space="preserve"> </w:t>
      </w:r>
      <w:r w:rsidRPr="00D1450B">
        <w:rPr>
          <w:sz w:val="22"/>
          <w:szCs w:val="22"/>
        </w:rPr>
        <w:t>b</w:t>
      </w:r>
      <w:r w:rsidR="00C36048" w:rsidRPr="00D1450B">
        <w:rPr>
          <w:sz w:val="22"/>
          <w:szCs w:val="22"/>
        </w:rPr>
        <w:t>) byl zaznamená</w:t>
      </w:r>
      <w:r w:rsidRPr="00D1450B">
        <w:rPr>
          <w:sz w:val="22"/>
          <w:szCs w:val="22"/>
        </w:rPr>
        <w:t>n postupný nárůst absorpční kapacity v oblasti prevence zdravotních rizik a epidemiologie, který vyústil ve větší počet vyhlašovaných výzev, do kterých bylo předkládáno větší množství projektů s nižším finančním objemem. Vzhledem k tomu, že indikátor vyjadřuje počet zrealizovaných projektů na prevenci zdravotních rizik a v současné době je evidován závazek ze schválených projektů ve výši 55 projektů (122</w:t>
      </w:r>
      <w:r w:rsidR="00C36048" w:rsidRPr="00D1450B">
        <w:rPr>
          <w:sz w:val="22"/>
          <w:szCs w:val="22"/>
        </w:rPr>
        <w:t xml:space="preserve"> </w:t>
      </w:r>
      <w:r w:rsidRPr="00D1450B">
        <w:rPr>
          <w:sz w:val="22"/>
          <w:szCs w:val="22"/>
        </w:rPr>
        <w:t>%), bude cílová hodnota indikátoru v budoucnu dosažena překročena o cca 22</w:t>
      </w:r>
      <w:r w:rsidR="00C36048" w:rsidRPr="00D1450B">
        <w:rPr>
          <w:sz w:val="22"/>
          <w:szCs w:val="22"/>
        </w:rPr>
        <w:t xml:space="preserve"> </w:t>
      </w:r>
      <w:r w:rsidRPr="00D1450B">
        <w:rPr>
          <w:sz w:val="22"/>
          <w:szCs w:val="22"/>
        </w:rPr>
        <w:t xml:space="preserve">%.  </w:t>
      </w:r>
    </w:p>
    <w:p w:rsidR="00ED70F1" w:rsidRPr="00D1450B" w:rsidRDefault="00ED70F1" w:rsidP="00ED70F1">
      <w:pPr>
        <w:jc w:val="both"/>
        <w:rPr>
          <w:sz w:val="22"/>
          <w:szCs w:val="22"/>
        </w:rPr>
      </w:pPr>
    </w:p>
    <w:p w:rsidR="00955732" w:rsidRPr="00D1450B" w:rsidRDefault="00ED70F1" w:rsidP="00ED70F1">
      <w:pPr>
        <w:jc w:val="both"/>
        <w:rPr>
          <w:b/>
          <w:sz w:val="22"/>
          <w:szCs w:val="22"/>
        </w:rPr>
      </w:pPr>
      <w:r w:rsidRPr="00D1450B">
        <w:rPr>
          <w:b/>
          <w:sz w:val="22"/>
          <w:szCs w:val="22"/>
        </w:rPr>
        <w:t xml:space="preserve">Indikátor 080102 </w:t>
      </w:r>
      <w:r w:rsidRPr="0050047A">
        <w:rPr>
          <w:b/>
          <w:sz w:val="22"/>
          <w:szCs w:val="22"/>
        </w:rPr>
        <w:t>Projekty na podporu zdraví – pro modernizaci přístrojového vybavení</w:t>
      </w:r>
    </w:p>
    <w:p w:rsidR="00C36048" w:rsidRPr="00D1450B" w:rsidRDefault="00C36048" w:rsidP="00C36048">
      <w:pPr>
        <w:jc w:val="both"/>
        <w:rPr>
          <w:sz w:val="22"/>
          <w:szCs w:val="22"/>
        </w:rPr>
      </w:pPr>
      <w:r w:rsidRPr="00D1450B">
        <w:rPr>
          <w:sz w:val="22"/>
          <w:szCs w:val="22"/>
        </w:rPr>
        <w:t>V současné době se plnění hodnoty indikátoru pohybuje na úrovni 164</w:t>
      </w:r>
      <w:r w:rsidR="00D1450B" w:rsidRPr="00D1450B">
        <w:rPr>
          <w:sz w:val="22"/>
          <w:szCs w:val="22"/>
        </w:rPr>
        <w:t xml:space="preserve"> </w:t>
      </w:r>
      <w:r w:rsidRPr="00D1450B">
        <w:rPr>
          <w:sz w:val="22"/>
          <w:szCs w:val="22"/>
        </w:rPr>
        <w:t>% (je zrealizováno 8</w:t>
      </w:r>
      <w:r w:rsidR="00EF03E8">
        <w:rPr>
          <w:sz w:val="22"/>
          <w:szCs w:val="22"/>
        </w:rPr>
        <w:t>5</w:t>
      </w:r>
      <w:r w:rsidRPr="00D1450B">
        <w:rPr>
          <w:sz w:val="22"/>
          <w:szCs w:val="22"/>
        </w:rPr>
        <w:t xml:space="preserve"> projektů zaměřených na modernizaci přístrojového vybavení z cílové hodnoty 50 projektů).</w:t>
      </w:r>
      <w:r w:rsidR="00D1450B" w:rsidRPr="00D1450B">
        <w:rPr>
          <w:sz w:val="22"/>
          <w:szCs w:val="22"/>
        </w:rPr>
        <w:t xml:space="preserve"> </w:t>
      </w:r>
      <w:r w:rsidRPr="00D1450B">
        <w:rPr>
          <w:sz w:val="22"/>
          <w:szCs w:val="22"/>
        </w:rPr>
        <w:t>V rámci aktivity 3.2 a) je evidována největší absorpční kapacita po materiální obnově nebo pořízení zdravotnických prostředků do jednotlivých nemocnic – specializovaných center v rámci národních sítí (traumatologie, onkologie, kardiologie, neurologie apod.). Vzhledem k délce programového období a požadavkům na materiální vybavenost center rozložených do jednotlivých let a tím i zajištění kvality péče, bylo vyhlašování výzev přizpůsobeno těmto požadavkům. Důvodem pro vyhlašování většího počtu výzev saturujících menší projekty jednotlivých sítí, byla také nutnost naplňování hodnoty výsledkového indikátoru 080721, kde jsou jako měrné jednotky užita procenta vyjadřující zvýšení počtu materiální vybavenosti standardizovaných specializovaných pracovišť na 60 % standardu. Vzhledem k tomu, že indikátor vyjadřuje počet realizovaných projektů na modernizaci přístrojového vybavení a v roce 2015 bud</w:t>
      </w:r>
      <w:r w:rsidR="009A3DC8">
        <w:rPr>
          <w:sz w:val="22"/>
          <w:szCs w:val="22"/>
        </w:rPr>
        <w:t>ou</w:t>
      </w:r>
      <w:r w:rsidRPr="00D1450B">
        <w:rPr>
          <w:sz w:val="22"/>
          <w:szCs w:val="22"/>
        </w:rPr>
        <w:t xml:space="preserve"> zrealizován</w:t>
      </w:r>
      <w:r w:rsidR="009A3DC8">
        <w:rPr>
          <w:sz w:val="22"/>
          <w:szCs w:val="22"/>
        </w:rPr>
        <w:t>y projekty z</w:t>
      </w:r>
      <w:r w:rsidRPr="00D1450B">
        <w:rPr>
          <w:sz w:val="22"/>
          <w:szCs w:val="22"/>
        </w:rPr>
        <w:t xml:space="preserve"> 18. a 19. výzv</w:t>
      </w:r>
      <w:r w:rsidR="009A3DC8">
        <w:rPr>
          <w:sz w:val="22"/>
          <w:szCs w:val="22"/>
        </w:rPr>
        <w:t>y</w:t>
      </w:r>
      <w:r w:rsidRPr="00D1450B">
        <w:rPr>
          <w:sz w:val="22"/>
          <w:szCs w:val="22"/>
        </w:rPr>
        <w:t>, bude cílový indikátor výrazně překročen.</w:t>
      </w:r>
    </w:p>
    <w:p w:rsidR="00ED70F1" w:rsidRPr="00D1450B" w:rsidRDefault="00ED70F1" w:rsidP="00ED70F1">
      <w:pPr>
        <w:jc w:val="both"/>
        <w:rPr>
          <w:sz w:val="22"/>
          <w:szCs w:val="22"/>
        </w:rPr>
      </w:pPr>
    </w:p>
    <w:p w:rsidR="00ED70F1" w:rsidRPr="00D1450B" w:rsidRDefault="00ED70F1" w:rsidP="00ED70F1">
      <w:pPr>
        <w:jc w:val="both"/>
        <w:rPr>
          <w:b/>
          <w:sz w:val="22"/>
          <w:szCs w:val="22"/>
        </w:rPr>
      </w:pPr>
      <w:r w:rsidRPr="00D1450B">
        <w:rPr>
          <w:b/>
          <w:sz w:val="22"/>
          <w:szCs w:val="22"/>
        </w:rPr>
        <w:t xml:space="preserve">Indikátor 080702 </w:t>
      </w:r>
      <w:r w:rsidRPr="0050047A">
        <w:rPr>
          <w:b/>
          <w:sz w:val="22"/>
          <w:szCs w:val="22"/>
        </w:rPr>
        <w:t>Počet projektů zaměřených na zavádění standardů a standardních postupů řízení kvality a nákladovosti</w:t>
      </w:r>
    </w:p>
    <w:p w:rsidR="00C57979" w:rsidRPr="00D1450B" w:rsidRDefault="00C57979" w:rsidP="00C57979">
      <w:pPr>
        <w:jc w:val="both"/>
        <w:rPr>
          <w:sz w:val="22"/>
          <w:szCs w:val="22"/>
        </w:rPr>
      </w:pPr>
      <w:r w:rsidRPr="00D1450B">
        <w:rPr>
          <w:sz w:val="22"/>
          <w:szCs w:val="22"/>
        </w:rPr>
        <w:t>V současné době se plnění hodnoty indikátoru pohybuje na úrovni 80</w:t>
      </w:r>
      <w:r w:rsidR="002B638A" w:rsidRPr="00D1450B">
        <w:rPr>
          <w:sz w:val="22"/>
          <w:szCs w:val="22"/>
        </w:rPr>
        <w:t xml:space="preserve"> </w:t>
      </w:r>
      <w:r w:rsidRPr="00D1450B">
        <w:rPr>
          <w:sz w:val="22"/>
          <w:szCs w:val="22"/>
        </w:rPr>
        <w:t xml:space="preserve">% (je zrealizováno 12 projektů zaměřených na zavádění standardů a standardních postupů řízení kvality a nákladovosti z cílové hodnoty 15 projektů). Vzhledem k tomu, že v současné době je evidován závazek 15 schválených projektů, bude cílová hodnota indikátoru naplněna dle plánu. S ohledem na zahájení </w:t>
      </w:r>
      <w:r w:rsidR="009A3DC8">
        <w:rPr>
          <w:sz w:val="22"/>
          <w:szCs w:val="22"/>
        </w:rPr>
        <w:t xml:space="preserve">realizace </w:t>
      </w:r>
      <w:r w:rsidRPr="00D1450B">
        <w:rPr>
          <w:sz w:val="22"/>
          <w:szCs w:val="22"/>
        </w:rPr>
        <w:t>projektů 17. výzvy v roce 2015, bude hodnota cílového indikátoru mírně překročena.</w:t>
      </w:r>
    </w:p>
    <w:p w:rsidR="00ED70F1" w:rsidRPr="00D1450B" w:rsidRDefault="00ED70F1" w:rsidP="00ED70F1">
      <w:pPr>
        <w:jc w:val="both"/>
        <w:rPr>
          <w:sz w:val="22"/>
          <w:szCs w:val="22"/>
        </w:rPr>
      </w:pPr>
    </w:p>
    <w:p w:rsidR="00DB44E1" w:rsidRPr="00073B71" w:rsidRDefault="00ED70F1" w:rsidP="00ED70F1">
      <w:pPr>
        <w:jc w:val="both"/>
        <w:rPr>
          <w:b/>
          <w:sz w:val="22"/>
          <w:szCs w:val="22"/>
        </w:rPr>
      </w:pPr>
      <w:r w:rsidRPr="00073B71">
        <w:rPr>
          <w:b/>
          <w:sz w:val="22"/>
          <w:szCs w:val="22"/>
        </w:rPr>
        <w:t xml:space="preserve">Indikátor 080100 </w:t>
      </w:r>
      <w:r w:rsidR="00DB44E1" w:rsidRPr="00073B71">
        <w:rPr>
          <w:b/>
          <w:sz w:val="22"/>
          <w:szCs w:val="22"/>
        </w:rPr>
        <w:t xml:space="preserve">Projekty na podporu zdraví </w:t>
      </w:r>
    </w:p>
    <w:p w:rsidR="00ED70F1" w:rsidRPr="00DB44E1" w:rsidRDefault="00DB44E1" w:rsidP="00ED70F1">
      <w:pPr>
        <w:jc w:val="both"/>
        <w:rPr>
          <w:b/>
          <w:sz w:val="22"/>
          <w:szCs w:val="22"/>
        </w:rPr>
      </w:pPr>
      <w:r w:rsidRPr="00DB44E1">
        <w:rPr>
          <w:sz w:val="22"/>
          <w:szCs w:val="22"/>
        </w:rPr>
        <w:t>Plnění indikátoru 80100 odpovídá hodnotám v indikátorech 80102,80101 a 80702, jejichž součet tvoří uvedený indikátor</w:t>
      </w:r>
      <w:r w:rsidR="0050047A">
        <w:rPr>
          <w:sz w:val="22"/>
          <w:szCs w:val="22"/>
        </w:rPr>
        <w:t>.</w:t>
      </w:r>
      <w:r w:rsidRPr="00DB44E1">
        <w:rPr>
          <w:sz w:val="22"/>
          <w:szCs w:val="22"/>
        </w:rPr>
        <w:t xml:space="preserve"> U tohoto indikátoru</w:t>
      </w:r>
      <w:r w:rsidR="00DB6D2D">
        <w:rPr>
          <w:sz w:val="22"/>
          <w:szCs w:val="22"/>
        </w:rPr>
        <w:t xml:space="preserve"> již byla naplněna cílová hodnota (1</w:t>
      </w:r>
      <w:r w:rsidR="00EF03E8">
        <w:rPr>
          <w:sz w:val="22"/>
          <w:szCs w:val="22"/>
        </w:rPr>
        <w:t>1</w:t>
      </w:r>
      <w:r w:rsidR="00DB6D2D">
        <w:rPr>
          <w:sz w:val="22"/>
          <w:szCs w:val="22"/>
        </w:rPr>
        <w:t xml:space="preserve">0), </w:t>
      </w:r>
      <w:r w:rsidRPr="00DB44E1">
        <w:rPr>
          <w:sz w:val="22"/>
          <w:szCs w:val="22"/>
        </w:rPr>
        <w:t>současná dosažená hodnota</w:t>
      </w:r>
      <w:r w:rsidR="00DB6D2D">
        <w:rPr>
          <w:sz w:val="22"/>
          <w:szCs w:val="22"/>
        </w:rPr>
        <w:t xml:space="preserve"> činí</w:t>
      </w:r>
      <w:r w:rsidRPr="00DB44E1">
        <w:rPr>
          <w:sz w:val="22"/>
          <w:szCs w:val="22"/>
        </w:rPr>
        <w:t xml:space="preserve"> 144</w:t>
      </w:r>
      <w:r w:rsidR="00073B71">
        <w:rPr>
          <w:sz w:val="22"/>
          <w:szCs w:val="22"/>
        </w:rPr>
        <w:t>.</w:t>
      </w:r>
    </w:p>
    <w:p w:rsidR="008936D8" w:rsidRDefault="008936D8" w:rsidP="00ED70F1">
      <w:pPr>
        <w:rPr>
          <w:b/>
          <w:sz w:val="22"/>
          <w:szCs w:val="22"/>
        </w:rPr>
      </w:pPr>
    </w:p>
    <w:p w:rsidR="00ED70F1" w:rsidRPr="00555962" w:rsidRDefault="00ED70F1" w:rsidP="00ED70F1">
      <w:pPr>
        <w:rPr>
          <w:b/>
          <w:sz w:val="22"/>
          <w:szCs w:val="22"/>
        </w:rPr>
      </w:pPr>
      <w:r w:rsidRPr="00555962">
        <w:rPr>
          <w:b/>
          <w:sz w:val="22"/>
          <w:szCs w:val="22"/>
        </w:rPr>
        <w:t>Oblast intervence 3.3</w:t>
      </w:r>
    </w:p>
    <w:p w:rsidR="009A3DC8" w:rsidRPr="00FC30B4" w:rsidRDefault="009A3DC8" w:rsidP="009A3DC8">
      <w:pPr>
        <w:jc w:val="both"/>
        <w:rPr>
          <w:sz w:val="22"/>
          <w:szCs w:val="22"/>
        </w:rPr>
      </w:pPr>
      <w:r w:rsidRPr="00FC30B4">
        <w:rPr>
          <w:sz w:val="22"/>
          <w:szCs w:val="22"/>
        </w:rPr>
        <w:t xml:space="preserve">U monitorovacího indikátoru </w:t>
      </w:r>
      <w:r w:rsidRPr="00FC30B4">
        <w:rPr>
          <w:b/>
          <w:sz w:val="22"/>
          <w:szCs w:val="22"/>
        </w:rPr>
        <w:t>74521 Počet podpořených institucí služeb zaměstnanosti</w:t>
      </w:r>
      <w:r w:rsidRPr="00FC30B4">
        <w:rPr>
          <w:sz w:val="22"/>
          <w:szCs w:val="22"/>
        </w:rPr>
        <w:t xml:space="preserve"> se ve stavu závazku v oblasti intervence 3.3</w:t>
      </w:r>
      <w:r>
        <w:rPr>
          <w:sz w:val="22"/>
          <w:szCs w:val="22"/>
        </w:rPr>
        <w:t>,</w:t>
      </w:r>
      <w:r w:rsidRPr="00FC30B4">
        <w:rPr>
          <w:sz w:val="22"/>
          <w:szCs w:val="22"/>
        </w:rPr>
        <w:t xml:space="preserve"> aktivitě a)  nachází 13 projektů. Jedná se o rozsáhlé investiční projekty, u kterých byl posunut termín ukončení realizace. Ukončení realizace je naplánováno </w:t>
      </w:r>
      <w:r w:rsidR="00B43DE6">
        <w:rPr>
          <w:sz w:val="22"/>
          <w:szCs w:val="22"/>
        </w:rPr>
        <w:br/>
      </w:r>
      <w:r w:rsidRPr="00FC30B4">
        <w:rPr>
          <w:sz w:val="22"/>
          <w:szCs w:val="22"/>
        </w:rPr>
        <w:t>k </w:t>
      </w:r>
      <w:r w:rsidR="00B43DE6" w:rsidRPr="00FC30B4">
        <w:rPr>
          <w:sz w:val="22"/>
          <w:szCs w:val="22"/>
        </w:rPr>
        <w:t>30. 6. 2015</w:t>
      </w:r>
      <w:r w:rsidRPr="00FC30B4">
        <w:rPr>
          <w:sz w:val="22"/>
          <w:szCs w:val="22"/>
        </w:rPr>
        <w:t xml:space="preserve"> – </w:t>
      </w:r>
      <w:r w:rsidR="00B43DE6" w:rsidRPr="00FC30B4">
        <w:rPr>
          <w:sz w:val="22"/>
          <w:szCs w:val="22"/>
        </w:rPr>
        <w:t>30. 11. 2015</w:t>
      </w:r>
      <w:r w:rsidRPr="00FC30B4">
        <w:rPr>
          <w:sz w:val="22"/>
          <w:szCs w:val="22"/>
        </w:rPr>
        <w:t xml:space="preserve">. Současná hodnota tohoto indikátoru je 3. </w:t>
      </w:r>
      <w:r>
        <w:rPr>
          <w:sz w:val="22"/>
          <w:szCs w:val="22"/>
        </w:rPr>
        <w:t>Ve</w:t>
      </w:r>
      <w:r w:rsidRPr="00FC30B4">
        <w:rPr>
          <w:sz w:val="22"/>
          <w:szCs w:val="22"/>
        </w:rPr>
        <w:t xml:space="preserve"> </w:t>
      </w:r>
      <w:r>
        <w:rPr>
          <w:sz w:val="22"/>
          <w:szCs w:val="22"/>
        </w:rPr>
        <w:t>dvou</w:t>
      </w:r>
      <w:r w:rsidRPr="00FC30B4">
        <w:rPr>
          <w:sz w:val="22"/>
          <w:szCs w:val="22"/>
        </w:rPr>
        <w:t>  rozsáhlých investičních projekt</w:t>
      </w:r>
      <w:r>
        <w:rPr>
          <w:sz w:val="22"/>
          <w:szCs w:val="22"/>
        </w:rPr>
        <w:t>ech</w:t>
      </w:r>
      <w:r w:rsidRPr="00FC30B4">
        <w:rPr>
          <w:sz w:val="22"/>
          <w:szCs w:val="22"/>
        </w:rPr>
        <w:t xml:space="preserve"> MPSV eviduje problémy, které indikují odstoupení od realizace projektů. Rizikovými projekty jsou „ÚP ČR Praha – nákup administrativní budovy“ (řešení způsobilosti výdajů s EK) a projekt „ÚP ČR – Pardubice – výstavba budovy a školicího střediska“, kdy dodavatel stavby odstoup</w:t>
      </w:r>
      <w:r>
        <w:rPr>
          <w:sz w:val="22"/>
          <w:szCs w:val="22"/>
        </w:rPr>
        <w:t>il</w:t>
      </w:r>
      <w:r w:rsidRPr="00FC30B4">
        <w:rPr>
          <w:sz w:val="22"/>
          <w:szCs w:val="22"/>
        </w:rPr>
        <w:t xml:space="preserve"> od smlouvy</w:t>
      </w:r>
      <w:r>
        <w:rPr>
          <w:sz w:val="22"/>
          <w:szCs w:val="22"/>
        </w:rPr>
        <w:t>.</w:t>
      </w:r>
      <w:r w:rsidRPr="00FC30B4">
        <w:rPr>
          <w:sz w:val="22"/>
          <w:szCs w:val="22"/>
        </w:rPr>
        <w:t xml:space="preserve"> </w:t>
      </w:r>
      <w:r>
        <w:rPr>
          <w:sz w:val="22"/>
          <w:szCs w:val="22"/>
        </w:rPr>
        <w:t>P</w:t>
      </w:r>
      <w:r w:rsidRPr="00FC30B4">
        <w:rPr>
          <w:sz w:val="22"/>
          <w:szCs w:val="22"/>
        </w:rPr>
        <w:t xml:space="preserve">rojekt tedy nebude do dosažené hodnoty zahrnut. Předpokládáme dosažení cílové hodnoty u 12 projektů za předpokladu pozitivního vývoje jednání s EK </w:t>
      </w:r>
      <w:r>
        <w:rPr>
          <w:sz w:val="22"/>
          <w:szCs w:val="22"/>
        </w:rPr>
        <w:t>k</w:t>
      </w:r>
      <w:r w:rsidRPr="00FC30B4">
        <w:rPr>
          <w:sz w:val="22"/>
          <w:szCs w:val="22"/>
        </w:rPr>
        <w:t xml:space="preserve"> projektu „ÚP ČR Praha – nákup administrativní budovy“. Pokud nebude uznána způsobilost výdajů tohoto projektu, lze predikovat dosaženou hodnotu 11.</w:t>
      </w:r>
    </w:p>
    <w:p w:rsidR="00ED70F1" w:rsidRPr="003D6239" w:rsidRDefault="00ED70F1" w:rsidP="00ED70F1">
      <w:pPr>
        <w:jc w:val="both"/>
        <w:rPr>
          <w:sz w:val="22"/>
          <w:szCs w:val="22"/>
          <w:highlight w:val="yellow"/>
        </w:rPr>
      </w:pPr>
    </w:p>
    <w:p w:rsidR="00026EDC" w:rsidRPr="004C5B98" w:rsidRDefault="00026EDC" w:rsidP="00026EDC">
      <w:pPr>
        <w:jc w:val="both"/>
        <w:rPr>
          <w:sz w:val="22"/>
          <w:szCs w:val="22"/>
        </w:rPr>
      </w:pPr>
      <w:r w:rsidRPr="00026EDC">
        <w:rPr>
          <w:b/>
          <w:sz w:val="22"/>
          <w:szCs w:val="22"/>
        </w:rPr>
        <w:t>Indikátor 7</w:t>
      </w:r>
      <w:r w:rsidRPr="004112E8">
        <w:rPr>
          <w:b/>
          <w:sz w:val="22"/>
          <w:szCs w:val="22"/>
        </w:rPr>
        <w:t xml:space="preserve">4532 </w:t>
      </w:r>
      <w:r w:rsidRPr="00026EDC">
        <w:rPr>
          <w:sz w:val="22"/>
          <w:szCs w:val="22"/>
        </w:rPr>
        <w:t xml:space="preserve">Počet nově vybudovaných a podpořených stávajících školicích středisek </w:t>
      </w:r>
      <w:r w:rsidR="00B43DE6">
        <w:rPr>
          <w:sz w:val="22"/>
          <w:szCs w:val="22"/>
        </w:rPr>
        <w:br/>
      </w:r>
      <w:r w:rsidRPr="00026EDC">
        <w:rPr>
          <w:sz w:val="22"/>
          <w:szCs w:val="22"/>
        </w:rPr>
        <w:t>SZ</w:t>
      </w:r>
      <w:r w:rsidRPr="004C5B98">
        <w:rPr>
          <w:sz w:val="22"/>
          <w:szCs w:val="22"/>
        </w:rPr>
        <w:t xml:space="preserve"> v aktivitě 3.3 b) zahrnuje 1 úspěšně ukončený projekt s názvem „ÚP ČR – Hradec Králové – rekonstrukce školicího střediska“ a dosažená hodnota tohoto indikátoru je</w:t>
      </w:r>
      <w:r>
        <w:rPr>
          <w:sz w:val="22"/>
          <w:szCs w:val="22"/>
        </w:rPr>
        <w:t xml:space="preserve"> tedy</w:t>
      </w:r>
      <w:r w:rsidRPr="004C5B98">
        <w:rPr>
          <w:sz w:val="22"/>
          <w:szCs w:val="22"/>
        </w:rPr>
        <w:t xml:space="preserve"> 1.</w:t>
      </w:r>
      <w:r>
        <w:rPr>
          <w:sz w:val="22"/>
          <w:szCs w:val="22"/>
        </w:rPr>
        <w:t xml:space="preserve"> Cílová hodnota indikátoru zahrnuje vybudování 3 školicích středisek SZ.</w:t>
      </w:r>
      <w:r w:rsidRPr="004C5B98">
        <w:rPr>
          <w:sz w:val="22"/>
          <w:szCs w:val="22"/>
        </w:rPr>
        <w:t xml:space="preserve"> V závazku ze schválených projektů </w:t>
      </w:r>
      <w:r>
        <w:rPr>
          <w:sz w:val="22"/>
          <w:szCs w:val="22"/>
        </w:rPr>
        <w:t xml:space="preserve">se nachází aktuálně 4 projekty. V roce 2015 MPSV očekává odstoupení příjemce od projektu ÚP ČR Pardubice. I přes tuto nepříznivou skutečnost očekáváme v optimistické variantě, pokud nenastanou vážné skutečnosti v realizaci projektů, naplnění cílové hodnoty indikátoru, tzn. </w:t>
      </w:r>
      <w:r w:rsidRPr="004C5B98">
        <w:rPr>
          <w:sz w:val="22"/>
          <w:szCs w:val="22"/>
        </w:rPr>
        <w:t>vybudování 3 školicích středisek SZ</w:t>
      </w:r>
      <w:r>
        <w:rPr>
          <w:sz w:val="22"/>
          <w:szCs w:val="22"/>
        </w:rPr>
        <w:t>.</w:t>
      </w:r>
    </w:p>
    <w:p w:rsidR="009F65FD" w:rsidRDefault="009F65FD" w:rsidP="009F65FD">
      <w:pPr>
        <w:jc w:val="both"/>
        <w:rPr>
          <w:sz w:val="22"/>
          <w:szCs w:val="22"/>
        </w:rPr>
      </w:pPr>
      <w:r w:rsidRPr="004C5B98">
        <w:rPr>
          <w:sz w:val="22"/>
          <w:szCs w:val="22"/>
        </w:rPr>
        <w:lastRenderedPageBreak/>
        <w:t xml:space="preserve">Dosažená hodnota </w:t>
      </w:r>
      <w:r w:rsidRPr="009F65FD">
        <w:rPr>
          <w:b/>
          <w:sz w:val="22"/>
          <w:szCs w:val="22"/>
        </w:rPr>
        <w:t xml:space="preserve">indikátoru </w:t>
      </w:r>
      <w:r>
        <w:rPr>
          <w:b/>
          <w:sz w:val="22"/>
          <w:szCs w:val="22"/>
        </w:rPr>
        <w:t xml:space="preserve">74533 </w:t>
      </w:r>
      <w:r w:rsidRPr="00486ED9">
        <w:rPr>
          <w:sz w:val="22"/>
          <w:szCs w:val="22"/>
        </w:rPr>
        <w:t>Počet nově vybudovaných informačně-vzdělávacích středisek SZ</w:t>
      </w:r>
      <w:r>
        <w:rPr>
          <w:sz w:val="22"/>
          <w:szCs w:val="22"/>
        </w:rPr>
        <w:t xml:space="preserve"> </w:t>
      </w:r>
      <w:r w:rsidRPr="004C5B98">
        <w:rPr>
          <w:sz w:val="22"/>
          <w:szCs w:val="22"/>
        </w:rPr>
        <w:t xml:space="preserve">činí 1 a váže se k úspěšnému ukončení projektu v aktivitě 3.3 c) „Vybudování informačně-vzdělávacího střediska Jihočeského kraje“. V aktivitě 3.3 c)  se ve stavu závazku dále nachází projekt s názvem Informačně-vzdělávací středisko Plzeňského kraje. Proto lze očekávat, že </w:t>
      </w:r>
      <w:r>
        <w:rPr>
          <w:sz w:val="22"/>
          <w:szCs w:val="22"/>
        </w:rPr>
        <w:t xml:space="preserve">plánovaná </w:t>
      </w:r>
      <w:r w:rsidRPr="004C5B98">
        <w:rPr>
          <w:sz w:val="22"/>
          <w:szCs w:val="22"/>
        </w:rPr>
        <w:t xml:space="preserve">cílová hodnota tohoto indikátoru </w:t>
      </w:r>
      <w:r>
        <w:rPr>
          <w:sz w:val="22"/>
          <w:szCs w:val="22"/>
        </w:rPr>
        <w:t xml:space="preserve">2 </w:t>
      </w:r>
      <w:r w:rsidRPr="004C5B98">
        <w:rPr>
          <w:sz w:val="22"/>
          <w:szCs w:val="22"/>
        </w:rPr>
        <w:t xml:space="preserve">bude v případě, že nenastanou vážné komplikace </w:t>
      </w:r>
      <w:r w:rsidR="009A3DC8">
        <w:rPr>
          <w:sz w:val="22"/>
          <w:szCs w:val="22"/>
        </w:rPr>
        <w:t>v</w:t>
      </w:r>
      <w:r w:rsidRPr="004C5B98">
        <w:rPr>
          <w:sz w:val="22"/>
          <w:szCs w:val="22"/>
        </w:rPr>
        <w:t xml:space="preserve"> projektu, dosažena.</w:t>
      </w:r>
    </w:p>
    <w:p w:rsidR="00323676" w:rsidRPr="003D6239" w:rsidRDefault="00323676" w:rsidP="00ED70F1">
      <w:pPr>
        <w:jc w:val="both"/>
        <w:rPr>
          <w:sz w:val="22"/>
          <w:szCs w:val="22"/>
          <w:highlight w:val="yellow"/>
        </w:rPr>
      </w:pPr>
    </w:p>
    <w:p w:rsidR="00486ED9" w:rsidRPr="00BE13A0" w:rsidRDefault="00486ED9" w:rsidP="00486ED9">
      <w:pPr>
        <w:jc w:val="both"/>
        <w:rPr>
          <w:sz w:val="22"/>
          <w:szCs w:val="22"/>
        </w:rPr>
      </w:pPr>
      <w:r w:rsidRPr="00486ED9">
        <w:rPr>
          <w:b/>
          <w:sz w:val="22"/>
          <w:szCs w:val="22"/>
        </w:rPr>
        <w:t>Indikátor</w:t>
      </w:r>
      <w:r w:rsidRPr="00BE13A0">
        <w:rPr>
          <w:sz w:val="22"/>
          <w:szCs w:val="22"/>
        </w:rPr>
        <w:t xml:space="preserve"> </w:t>
      </w:r>
      <w:r w:rsidRPr="00AF4351">
        <w:rPr>
          <w:sz w:val="22"/>
          <w:szCs w:val="22"/>
        </w:rPr>
        <w:t xml:space="preserve">výsledku </w:t>
      </w:r>
      <w:r w:rsidRPr="00D7397F">
        <w:rPr>
          <w:b/>
          <w:sz w:val="22"/>
          <w:szCs w:val="22"/>
        </w:rPr>
        <w:t xml:space="preserve">74514 </w:t>
      </w:r>
      <w:r w:rsidRPr="00486ED9">
        <w:rPr>
          <w:sz w:val="22"/>
          <w:szCs w:val="22"/>
        </w:rPr>
        <w:t>Nárůst kvality pracovního a klientského prostředí institucí služeb zaměstnanosti</w:t>
      </w:r>
      <w:r w:rsidRPr="00BE13A0">
        <w:rPr>
          <w:sz w:val="22"/>
          <w:szCs w:val="22"/>
        </w:rPr>
        <w:t xml:space="preserve"> je vykazo</w:t>
      </w:r>
      <w:r w:rsidRPr="005F0EA0">
        <w:rPr>
          <w:sz w:val="22"/>
          <w:szCs w:val="22"/>
        </w:rPr>
        <w:t>ván procentuálně za programové období</w:t>
      </w:r>
      <w:r>
        <w:rPr>
          <w:sz w:val="22"/>
          <w:szCs w:val="22"/>
        </w:rPr>
        <w:t xml:space="preserve">. </w:t>
      </w:r>
      <w:r w:rsidRPr="00BF3E52">
        <w:rPr>
          <w:sz w:val="22"/>
          <w:szCs w:val="22"/>
        </w:rPr>
        <w:t>Úspěšným ukončením realizace projekt</w:t>
      </w:r>
      <w:r w:rsidRPr="00BE13A0">
        <w:rPr>
          <w:sz w:val="22"/>
          <w:szCs w:val="22"/>
        </w:rPr>
        <w:t xml:space="preserve">ů bylo celkem naplněno </w:t>
      </w:r>
      <w:r>
        <w:rPr>
          <w:sz w:val="22"/>
          <w:szCs w:val="22"/>
        </w:rPr>
        <w:t xml:space="preserve">11,9 </w:t>
      </w:r>
      <w:r w:rsidR="0020487D">
        <w:rPr>
          <w:sz w:val="22"/>
          <w:szCs w:val="22"/>
        </w:rPr>
        <w:t>% (v tabulce níže</w:t>
      </w:r>
      <w:r>
        <w:rPr>
          <w:sz w:val="22"/>
          <w:szCs w:val="22"/>
        </w:rPr>
        <w:t xml:space="preserve"> není v dosažené hodnotě zahrnut projekt „ÚP ČR Praha – nákup administrativní budovy“ – proto je uvedena hodnota 8,29 %). </w:t>
      </w:r>
      <w:r w:rsidRPr="005F0EA0">
        <w:rPr>
          <w:sz w:val="22"/>
          <w:szCs w:val="22"/>
        </w:rPr>
        <w:t xml:space="preserve">Vzhledem k aktuálnímu stavu realizace </w:t>
      </w:r>
      <w:r>
        <w:rPr>
          <w:sz w:val="22"/>
          <w:szCs w:val="22"/>
        </w:rPr>
        <w:t xml:space="preserve">rizikových </w:t>
      </w:r>
      <w:r w:rsidRPr="005F0EA0">
        <w:rPr>
          <w:sz w:val="22"/>
          <w:szCs w:val="22"/>
        </w:rPr>
        <w:t>projektů MPSV</w:t>
      </w:r>
      <w:r>
        <w:rPr>
          <w:sz w:val="22"/>
          <w:szCs w:val="22"/>
        </w:rPr>
        <w:t xml:space="preserve"> (</w:t>
      </w:r>
      <w:r w:rsidRPr="004C5B98">
        <w:rPr>
          <w:sz w:val="22"/>
          <w:szCs w:val="22"/>
        </w:rPr>
        <w:t>„ÚP ČR Praha – nákup administrativní budovy“</w:t>
      </w:r>
      <w:r>
        <w:rPr>
          <w:sz w:val="22"/>
          <w:szCs w:val="22"/>
        </w:rPr>
        <w:t xml:space="preserve"> a dále projekt „</w:t>
      </w:r>
      <w:r w:rsidRPr="00B72413">
        <w:rPr>
          <w:sz w:val="22"/>
          <w:szCs w:val="28"/>
        </w:rPr>
        <w:t>ÚP ČR – Pardubice – výstavba budovy a školicího střediska</w:t>
      </w:r>
      <w:r>
        <w:rPr>
          <w:sz w:val="22"/>
          <w:szCs w:val="28"/>
        </w:rPr>
        <w:t>“)</w:t>
      </w:r>
      <w:r w:rsidRPr="005F0EA0">
        <w:rPr>
          <w:sz w:val="22"/>
          <w:szCs w:val="22"/>
        </w:rPr>
        <w:t xml:space="preserve"> </w:t>
      </w:r>
      <w:r>
        <w:rPr>
          <w:sz w:val="22"/>
          <w:szCs w:val="22"/>
        </w:rPr>
        <w:t>ne</w:t>
      </w:r>
      <w:r w:rsidRPr="005F0EA0">
        <w:rPr>
          <w:sz w:val="22"/>
          <w:szCs w:val="22"/>
        </w:rPr>
        <w:t xml:space="preserve">předpokládá naplnění </w:t>
      </w:r>
      <w:r>
        <w:rPr>
          <w:sz w:val="22"/>
          <w:szCs w:val="22"/>
        </w:rPr>
        <w:t xml:space="preserve">tohoto </w:t>
      </w:r>
      <w:r w:rsidRPr="005F0EA0">
        <w:rPr>
          <w:sz w:val="22"/>
          <w:szCs w:val="22"/>
        </w:rPr>
        <w:t>indikátoru</w:t>
      </w:r>
      <w:r>
        <w:rPr>
          <w:sz w:val="22"/>
          <w:szCs w:val="22"/>
        </w:rPr>
        <w:t xml:space="preserve"> v cílové hodnotě 18 %.</w:t>
      </w:r>
    </w:p>
    <w:p w:rsidR="00ED70F1" w:rsidRPr="003D6239" w:rsidRDefault="00ED70F1" w:rsidP="00ED70F1">
      <w:pPr>
        <w:jc w:val="both"/>
        <w:rPr>
          <w:sz w:val="22"/>
          <w:szCs w:val="22"/>
          <w:highlight w:val="yellow"/>
        </w:rPr>
      </w:pPr>
    </w:p>
    <w:p w:rsidR="00DB1B28" w:rsidRDefault="0020487D" w:rsidP="00DB1B28">
      <w:pPr>
        <w:jc w:val="both"/>
        <w:rPr>
          <w:color w:val="0070C0"/>
        </w:rPr>
      </w:pPr>
      <w:r w:rsidRPr="00BE13A0">
        <w:rPr>
          <w:sz w:val="22"/>
          <w:szCs w:val="22"/>
        </w:rPr>
        <w:t xml:space="preserve">K naplnění </w:t>
      </w:r>
      <w:r w:rsidRPr="005E7CCA">
        <w:rPr>
          <w:b/>
          <w:sz w:val="22"/>
          <w:szCs w:val="22"/>
        </w:rPr>
        <w:t xml:space="preserve">indikátorů 74512 </w:t>
      </w:r>
      <w:r w:rsidRPr="0035674D">
        <w:rPr>
          <w:sz w:val="22"/>
          <w:szCs w:val="22"/>
        </w:rPr>
        <w:t>a</w:t>
      </w:r>
      <w:r w:rsidRPr="005E7CCA">
        <w:rPr>
          <w:b/>
          <w:sz w:val="22"/>
          <w:szCs w:val="22"/>
        </w:rPr>
        <w:t xml:space="preserve"> 74513</w:t>
      </w:r>
      <w:r w:rsidRPr="00BE13A0">
        <w:rPr>
          <w:sz w:val="22"/>
          <w:szCs w:val="22"/>
        </w:rPr>
        <w:t xml:space="preserve"> bude docházet kontinuálně v období od data ukončení realizace projektů do data ukončení povinné </w:t>
      </w:r>
      <w:r w:rsidR="005E7CCA">
        <w:rPr>
          <w:sz w:val="22"/>
          <w:szCs w:val="22"/>
        </w:rPr>
        <w:t>5</w:t>
      </w:r>
      <w:r>
        <w:rPr>
          <w:sz w:val="22"/>
          <w:szCs w:val="22"/>
        </w:rPr>
        <w:t xml:space="preserve">leté </w:t>
      </w:r>
      <w:r w:rsidRPr="00BE13A0">
        <w:rPr>
          <w:sz w:val="22"/>
          <w:szCs w:val="22"/>
        </w:rPr>
        <w:t xml:space="preserve">udržitelnosti projektů.  Proto dosažená hodnota </w:t>
      </w:r>
      <w:r>
        <w:rPr>
          <w:sz w:val="22"/>
          <w:szCs w:val="22"/>
        </w:rPr>
        <w:t>těchto indikátorů</w:t>
      </w:r>
      <w:r w:rsidRPr="00BE13A0">
        <w:rPr>
          <w:sz w:val="22"/>
          <w:szCs w:val="22"/>
        </w:rPr>
        <w:t xml:space="preserve"> vykazuje </w:t>
      </w:r>
      <w:r>
        <w:rPr>
          <w:sz w:val="22"/>
          <w:szCs w:val="22"/>
        </w:rPr>
        <w:t xml:space="preserve">aktuálně </w:t>
      </w:r>
      <w:r w:rsidRPr="00BE13A0">
        <w:rPr>
          <w:sz w:val="22"/>
          <w:szCs w:val="22"/>
        </w:rPr>
        <w:t>nízké plnění.</w:t>
      </w:r>
      <w:r w:rsidR="00DB1B28" w:rsidRPr="00DB1B28">
        <w:rPr>
          <w:sz w:val="22"/>
          <w:szCs w:val="22"/>
        </w:rPr>
        <w:t xml:space="preserve"> </w:t>
      </w:r>
    </w:p>
    <w:p w:rsidR="00547FA3" w:rsidRDefault="00547FA3" w:rsidP="0020487D">
      <w:pPr>
        <w:jc w:val="both"/>
        <w:rPr>
          <w:sz w:val="22"/>
          <w:szCs w:val="22"/>
        </w:rPr>
      </w:pPr>
    </w:p>
    <w:p w:rsidR="002D43AF" w:rsidRPr="002D43AF" w:rsidRDefault="0020487D" w:rsidP="002D43AF">
      <w:pPr>
        <w:jc w:val="both"/>
        <w:rPr>
          <w:sz w:val="22"/>
          <w:szCs w:val="22"/>
        </w:rPr>
      </w:pPr>
      <w:r w:rsidRPr="002D43AF">
        <w:rPr>
          <w:sz w:val="22"/>
          <w:szCs w:val="22"/>
        </w:rPr>
        <w:t xml:space="preserve">Ve srovnání s rokem 2013 došlo v aktivitě 3.3 b) v roce 2014 k pokroku v naplňování indikátoru </w:t>
      </w:r>
      <w:r w:rsidRPr="002D43AF">
        <w:rPr>
          <w:b/>
          <w:sz w:val="22"/>
          <w:szCs w:val="22"/>
        </w:rPr>
        <w:t>74512</w:t>
      </w:r>
      <w:r w:rsidR="0035674D" w:rsidRPr="002D43AF">
        <w:rPr>
          <w:b/>
          <w:sz w:val="22"/>
          <w:szCs w:val="22"/>
        </w:rPr>
        <w:t xml:space="preserve"> </w:t>
      </w:r>
      <w:r w:rsidRPr="002D43AF">
        <w:rPr>
          <w:sz w:val="22"/>
          <w:szCs w:val="22"/>
        </w:rPr>
        <w:t>Nárůst kapacity školicích středisek služeb zaměstnanosti. Dosažená hodnota tohoto indikátoru vykazuje 1,27 % nárůstu kapacity školicích středisek služeb zaměstnanosti.</w:t>
      </w:r>
      <w:r w:rsidR="002D43AF" w:rsidRPr="002D43AF">
        <w:rPr>
          <w:sz w:val="22"/>
          <w:szCs w:val="22"/>
        </w:rPr>
        <w:t xml:space="preserve"> K plnění toho indikátorů dochází až po ukončení realizace jednotlivých projektů v době udržitelnosti, proto v současnosti vykazuje nízkou hodnotu plnění. Plnění hodnoty je kontinuální v průběhu 5 leté doby udržitelnosti. Vzhledem k tomu, že byl k</w:t>
      </w:r>
      <w:r w:rsidR="002D43AF">
        <w:rPr>
          <w:sz w:val="22"/>
          <w:szCs w:val="22"/>
        </w:rPr>
        <w:t> </w:t>
      </w:r>
      <w:r w:rsidR="00B43DE6">
        <w:rPr>
          <w:sz w:val="22"/>
          <w:szCs w:val="22"/>
        </w:rPr>
        <w:t>31. 12. 2014</w:t>
      </w:r>
      <w:r w:rsidR="002D43AF" w:rsidRPr="002D43AF">
        <w:rPr>
          <w:sz w:val="22"/>
          <w:szCs w:val="22"/>
        </w:rPr>
        <w:t xml:space="preserve"> ukončen pouze 1 projekt, dochází k průběžnému plnění </w:t>
      </w:r>
      <w:r w:rsidR="002D43AF">
        <w:rPr>
          <w:sz w:val="22"/>
          <w:szCs w:val="22"/>
        </w:rPr>
        <w:t>monitorovacích indikátoru</w:t>
      </w:r>
      <w:r w:rsidR="002D43AF" w:rsidRPr="002D43AF">
        <w:rPr>
          <w:sz w:val="22"/>
          <w:szCs w:val="22"/>
        </w:rPr>
        <w:t xml:space="preserve"> pouze u tohoto projektu. MPSV nedokáže jednoznačně potvrdit, že v době udržitelnosti bude cílová hodnota u 3 projektů spojených s plněním MI 74512  naplněna. </w:t>
      </w:r>
    </w:p>
    <w:p w:rsidR="00F125EC" w:rsidRDefault="00F125EC" w:rsidP="0020487D">
      <w:pPr>
        <w:jc w:val="both"/>
        <w:rPr>
          <w:sz w:val="22"/>
          <w:szCs w:val="22"/>
        </w:rPr>
      </w:pPr>
    </w:p>
    <w:p w:rsidR="0020487D" w:rsidRDefault="0020487D" w:rsidP="0020487D">
      <w:pPr>
        <w:jc w:val="both"/>
        <w:rPr>
          <w:sz w:val="22"/>
          <w:szCs w:val="22"/>
        </w:rPr>
      </w:pPr>
      <w:r>
        <w:rPr>
          <w:sz w:val="22"/>
          <w:szCs w:val="22"/>
        </w:rPr>
        <w:t>K</w:t>
      </w:r>
      <w:r w:rsidR="009A3DC8">
        <w:rPr>
          <w:sz w:val="22"/>
          <w:szCs w:val="22"/>
        </w:rPr>
        <w:t>e</w:t>
      </w:r>
      <w:r>
        <w:rPr>
          <w:sz w:val="22"/>
          <w:szCs w:val="22"/>
        </w:rPr>
        <w:t xml:space="preserve"> </w:t>
      </w:r>
      <w:r w:rsidR="009A3DC8">
        <w:rPr>
          <w:sz w:val="22"/>
          <w:szCs w:val="22"/>
        </w:rPr>
        <w:t>z</w:t>
      </w:r>
      <w:r w:rsidRPr="00BE13A0">
        <w:rPr>
          <w:sz w:val="22"/>
          <w:szCs w:val="22"/>
        </w:rPr>
        <w:t xml:space="preserve">výšení dosažené hodnoty došlo </w:t>
      </w:r>
      <w:r>
        <w:rPr>
          <w:sz w:val="22"/>
          <w:szCs w:val="22"/>
        </w:rPr>
        <w:t xml:space="preserve">v roce 2014 také </w:t>
      </w:r>
      <w:r w:rsidRPr="00BE13A0">
        <w:rPr>
          <w:sz w:val="22"/>
          <w:szCs w:val="22"/>
        </w:rPr>
        <w:t xml:space="preserve">u indikátoru </w:t>
      </w:r>
      <w:r w:rsidRPr="00D7397F">
        <w:rPr>
          <w:b/>
          <w:sz w:val="22"/>
          <w:szCs w:val="22"/>
        </w:rPr>
        <w:t>74513</w:t>
      </w:r>
      <w:r w:rsidR="0035674D">
        <w:rPr>
          <w:b/>
          <w:sz w:val="22"/>
          <w:szCs w:val="22"/>
        </w:rPr>
        <w:t xml:space="preserve"> </w:t>
      </w:r>
      <w:r w:rsidRPr="0035674D">
        <w:rPr>
          <w:sz w:val="22"/>
          <w:szCs w:val="22"/>
        </w:rPr>
        <w:t>Nárůst kapacity poradensko-vzdělávacích středisek</w:t>
      </w:r>
      <w:r w:rsidRPr="00BE13A0">
        <w:rPr>
          <w:sz w:val="22"/>
          <w:szCs w:val="22"/>
        </w:rPr>
        <w:t>, který je spjatý s aktivitou 3.3 c)</w:t>
      </w:r>
      <w:r>
        <w:rPr>
          <w:sz w:val="22"/>
          <w:szCs w:val="22"/>
        </w:rPr>
        <w:t>. Aktuálně je dosažená hodnota na 4,98 % (proškoleno prostřednictvím informačně vzdělávacího střediska</w:t>
      </w:r>
      <w:r w:rsidR="00290065" w:rsidRPr="00290065">
        <w:rPr>
          <w:sz w:val="22"/>
          <w:szCs w:val="22"/>
        </w:rPr>
        <w:t xml:space="preserve"> </w:t>
      </w:r>
      <w:r w:rsidR="00290065">
        <w:rPr>
          <w:sz w:val="22"/>
          <w:szCs w:val="22"/>
        </w:rPr>
        <w:t>bylo</w:t>
      </w:r>
      <w:r>
        <w:rPr>
          <w:sz w:val="22"/>
          <w:szCs w:val="22"/>
        </w:rPr>
        <w:t xml:space="preserve"> celkem 394 klientů). </w:t>
      </w:r>
      <w:r w:rsidRPr="00BE13A0">
        <w:rPr>
          <w:sz w:val="22"/>
          <w:szCs w:val="22"/>
        </w:rPr>
        <w:t>V</w:t>
      </w:r>
      <w:r>
        <w:rPr>
          <w:sz w:val="22"/>
          <w:szCs w:val="22"/>
        </w:rPr>
        <w:t> </w:t>
      </w:r>
      <w:r w:rsidRPr="00BE13A0">
        <w:rPr>
          <w:sz w:val="22"/>
          <w:szCs w:val="22"/>
        </w:rPr>
        <w:t>závazku</w:t>
      </w:r>
      <w:r>
        <w:rPr>
          <w:sz w:val="22"/>
          <w:szCs w:val="22"/>
        </w:rPr>
        <w:t xml:space="preserve"> ze schválených projektů</w:t>
      </w:r>
      <w:r w:rsidRPr="00BE13A0">
        <w:rPr>
          <w:sz w:val="22"/>
          <w:szCs w:val="22"/>
        </w:rPr>
        <w:t xml:space="preserve"> se nacházejí 2 projekty s cílovou hodnotou nárůstu kapacity poradensko-vzdělávacích středisek o 25</w:t>
      </w:r>
      <w:r w:rsidR="00290065">
        <w:rPr>
          <w:sz w:val="22"/>
          <w:szCs w:val="22"/>
        </w:rPr>
        <w:t xml:space="preserve"> </w:t>
      </w:r>
      <w:r w:rsidRPr="00BE13A0">
        <w:rPr>
          <w:sz w:val="22"/>
          <w:szCs w:val="22"/>
        </w:rPr>
        <w:t>%</w:t>
      </w:r>
      <w:r w:rsidRPr="005F0EA0">
        <w:rPr>
          <w:sz w:val="22"/>
          <w:szCs w:val="22"/>
        </w:rPr>
        <w:t xml:space="preserve">. MPSV proto očekává naplnění cílové hodnoty indikátoru. </w:t>
      </w:r>
      <w:r w:rsidR="00290065">
        <w:rPr>
          <w:sz w:val="22"/>
          <w:szCs w:val="22"/>
        </w:rPr>
        <w:t xml:space="preserve"> </w:t>
      </w:r>
    </w:p>
    <w:p w:rsidR="00ED70F1" w:rsidRPr="00555962" w:rsidRDefault="00ED70F1" w:rsidP="00ED70F1">
      <w:pPr>
        <w:rPr>
          <w:b/>
          <w:sz w:val="22"/>
          <w:szCs w:val="22"/>
        </w:rPr>
      </w:pPr>
    </w:p>
    <w:p w:rsidR="00B74424" w:rsidRPr="00555962" w:rsidRDefault="00ED70F1" w:rsidP="00ED70F1">
      <w:pPr>
        <w:rPr>
          <w:b/>
          <w:sz w:val="22"/>
          <w:szCs w:val="22"/>
        </w:rPr>
      </w:pPr>
      <w:r w:rsidRPr="00555962">
        <w:rPr>
          <w:b/>
          <w:sz w:val="22"/>
          <w:szCs w:val="22"/>
        </w:rPr>
        <w:t>Oblast intervence 3.4</w:t>
      </w:r>
    </w:p>
    <w:p w:rsidR="009A3DC8" w:rsidRPr="00B4564B" w:rsidRDefault="009A3DC8" w:rsidP="009A3DC8">
      <w:pPr>
        <w:jc w:val="both"/>
        <w:rPr>
          <w:sz w:val="22"/>
          <w:szCs w:val="22"/>
        </w:rPr>
      </w:pPr>
      <w:r w:rsidRPr="00B4564B">
        <w:rPr>
          <w:sz w:val="22"/>
          <w:szCs w:val="22"/>
        </w:rPr>
        <w:t>Cílová hodnota</w:t>
      </w:r>
      <w:r w:rsidRPr="00B4564B">
        <w:rPr>
          <w:b/>
          <w:bCs/>
          <w:sz w:val="22"/>
          <w:szCs w:val="22"/>
        </w:rPr>
        <w:t xml:space="preserve"> indikátoru 260407 </w:t>
      </w:r>
      <w:r w:rsidRPr="00B4564B">
        <w:rPr>
          <w:sz w:val="22"/>
          <w:szCs w:val="22"/>
        </w:rPr>
        <w:t>bude naplněna až s dokončením  projektu NIS IZS. Vytvořená integrovaná operační střediska musí být integrována s Národním informačním systémem IZS a tím dojde k jejich integraci a může být prohlášeno, že byl u projektu naplněn monitorovací indikátor. ŘO IOP chystá revizi monitorovacího indikátoru, aby byl zpřesněn výklad a nemohl</w:t>
      </w:r>
      <w:r>
        <w:rPr>
          <w:sz w:val="22"/>
          <w:szCs w:val="22"/>
        </w:rPr>
        <w:t>y</w:t>
      </w:r>
      <w:r w:rsidRPr="00B4564B">
        <w:rPr>
          <w:sz w:val="22"/>
          <w:szCs w:val="22"/>
        </w:rPr>
        <w:t xml:space="preserve"> </w:t>
      </w:r>
      <w:r>
        <w:rPr>
          <w:sz w:val="22"/>
          <w:szCs w:val="22"/>
        </w:rPr>
        <w:t>nastat</w:t>
      </w:r>
      <w:r w:rsidRPr="00B4564B">
        <w:rPr>
          <w:sz w:val="22"/>
          <w:szCs w:val="22"/>
        </w:rPr>
        <w:t> nejasnost</w:t>
      </w:r>
      <w:r>
        <w:rPr>
          <w:sz w:val="22"/>
          <w:szCs w:val="22"/>
        </w:rPr>
        <w:t>i</w:t>
      </w:r>
      <w:r w:rsidRPr="00B4564B">
        <w:rPr>
          <w:sz w:val="22"/>
          <w:szCs w:val="22"/>
        </w:rPr>
        <w:t xml:space="preserve"> při ukončování </w:t>
      </w:r>
      <w:r>
        <w:rPr>
          <w:sz w:val="22"/>
          <w:szCs w:val="22"/>
        </w:rPr>
        <w:t xml:space="preserve">realizace </w:t>
      </w:r>
      <w:r w:rsidRPr="00B4564B">
        <w:rPr>
          <w:sz w:val="22"/>
          <w:szCs w:val="22"/>
        </w:rPr>
        <w:t xml:space="preserve">projektů. </w:t>
      </w:r>
    </w:p>
    <w:p w:rsidR="00B4564B" w:rsidRPr="00B4564B" w:rsidRDefault="00B4564B" w:rsidP="00B4564B">
      <w:pPr>
        <w:jc w:val="both"/>
        <w:rPr>
          <w:sz w:val="22"/>
          <w:szCs w:val="22"/>
        </w:rPr>
      </w:pPr>
    </w:p>
    <w:p w:rsidR="009A3DC8" w:rsidRPr="00B4564B" w:rsidRDefault="009A3DC8" w:rsidP="009A3DC8">
      <w:pPr>
        <w:jc w:val="both"/>
        <w:rPr>
          <w:sz w:val="22"/>
          <w:szCs w:val="22"/>
        </w:rPr>
      </w:pPr>
      <w:r w:rsidRPr="00B4564B">
        <w:rPr>
          <w:sz w:val="22"/>
          <w:szCs w:val="22"/>
        </w:rPr>
        <w:t>Projekty, které využívají</w:t>
      </w:r>
      <w:r w:rsidRPr="00B4564B">
        <w:rPr>
          <w:b/>
          <w:bCs/>
          <w:sz w:val="22"/>
          <w:szCs w:val="22"/>
        </w:rPr>
        <w:t xml:space="preserve"> indikátor 260412</w:t>
      </w:r>
      <w:r w:rsidRPr="00B4564B">
        <w:rPr>
          <w:sz w:val="22"/>
          <w:szCs w:val="22"/>
        </w:rPr>
        <w:t xml:space="preserve"> </w:t>
      </w:r>
      <w:r w:rsidRPr="00B4564B">
        <w:rPr>
          <w:b/>
          <w:sz w:val="22"/>
          <w:szCs w:val="22"/>
        </w:rPr>
        <w:t>Počet technologických zařízení k eliminaci hrozeb či následků bezpečnostních rizik</w:t>
      </w:r>
      <w:r w:rsidRPr="00B4564B">
        <w:rPr>
          <w:sz w:val="22"/>
          <w:szCs w:val="22"/>
        </w:rPr>
        <w:t xml:space="preserve">, jsou postupně ukončovány a </w:t>
      </w:r>
      <w:r>
        <w:rPr>
          <w:sz w:val="22"/>
          <w:szCs w:val="22"/>
        </w:rPr>
        <w:t>z</w:t>
      </w:r>
      <w:r w:rsidRPr="00B4564B">
        <w:rPr>
          <w:sz w:val="22"/>
          <w:szCs w:val="22"/>
        </w:rPr>
        <w:t>v</w:t>
      </w:r>
      <w:r>
        <w:rPr>
          <w:sz w:val="22"/>
          <w:szCs w:val="22"/>
        </w:rPr>
        <w:t>y</w:t>
      </w:r>
      <w:r w:rsidRPr="00B4564B">
        <w:rPr>
          <w:sz w:val="22"/>
          <w:szCs w:val="22"/>
        </w:rPr>
        <w:t>š</w:t>
      </w:r>
      <w:r>
        <w:rPr>
          <w:sz w:val="22"/>
          <w:szCs w:val="22"/>
        </w:rPr>
        <w:t>uj</w:t>
      </w:r>
      <w:r w:rsidRPr="00B4564B">
        <w:rPr>
          <w:sz w:val="22"/>
          <w:szCs w:val="22"/>
        </w:rPr>
        <w:t xml:space="preserve">í </w:t>
      </w:r>
      <w:r>
        <w:rPr>
          <w:sz w:val="22"/>
          <w:szCs w:val="22"/>
        </w:rPr>
        <w:t xml:space="preserve">se </w:t>
      </w:r>
      <w:r w:rsidRPr="00B4564B">
        <w:rPr>
          <w:sz w:val="22"/>
          <w:szCs w:val="22"/>
        </w:rPr>
        <w:t xml:space="preserve">aktuální hodnoty </w:t>
      </w:r>
      <w:proofErr w:type="gramStart"/>
      <w:r w:rsidRPr="00B4564B">
        <w:rPr>
          <w:sz w:val="22"/>
          <w:szCs w:val="22"/>
        </w:rPr>
        <w:t>MI</w:t>
      </w:r>
      <w:proofErr w:type="gramEnd"/>
      <w:r w:rsidRPr="00B4564B">
        <w:rPr>
          <w:sz w:val="22"/>
          <w:szCs w:val="22"/>
        </w:rPr>
        <w:t>. V roce 2015 bude ukončena největší část realizovaných projektů a dojde k naplnění cílové hodnoty Indikátoru.</w:t>
      </w:r>
    </w:p>
    <w:p w:rsidR="00B4564B" w:rsidRPr="00B4564B" w:rsidRDefault="00B4564B" w:rsidP="00B4564B">
      <w:pPr>
        <w:rPr>
          <w:sz w:val="22"/>
          <w:szCs w:val="22"/>
        </w:rPr>
      </w:pPr>
    </w:p>
    <w:p w:rsidR="00B4564B" w:rsidRPr="00B4564B" w:rsidRDefault="00B4564B" w:rsidP="00B4564B">
      <w:pPr>
        <w:rPr>
          <w:sz w:val="22"/>
          <w:szCs w:val="22"/>
        </w:rPr>
      </w:pPr>
      <w:r w:rsidRPr="00B4564B">
        <w:rPr>
          <w:bCs/>
          <w:sz w:val="22"/>
          <w:szCs w:val="22"/>
        </w:rPr>
        <w:t>U</w:t>
      </w:r>
      <w:r w:rsidRPr="00B4564B">
        <w:rPr>
          <w:b/>
          <w:bCs/>
          <w:sz w:val="22"/>
          <w:szCs w:val="22"/>
        </w:rPr>
        <w:t xml:space="preserve"> indikátoru 260408</w:t>
      </w:r>
      <w:r w:rsidRPr="00B4564B">
        <w:rPr>
          <w:sz w:val="22"/>
          <w:szCs w:val="22"/>
        </w:rPr>
        <w:t xml:space="preserve"> </w:t>
      </w:r>
      <w:r w:rsidRPr="00B4564B">
        <w:rPr>
          <w:b/>
          <w:sz w:val="22"/>
          <w:szCs w:val="22"/>
        </w:rPr>
        <w:t>Počet nově vybudovaných logistických základen</w:t>
      </w:r>
      <w:r w:rsidRPr="00B4564B">
        <w:rPr>
          <w:sz w:val="22"/>
          <w:szCs w:val="22"/>
        </w:rPr>
        <w:t xml:space="preserve"> je jeden projekt dokončen v roce 2010. V návaznosti na zařazení velkých projektů byla zvýšena cílová hodnota na 2, aby odpovídala realitě po dokončení všech projektů. Dokončení velkých projektů se předpokládá v roce 2015.</w:t>
      </w:r>
    </w:p>
    <w:p w:rsidR="00B4564B" w:rsidRPr="00B4564B" w:rsidRDefault="00B4564B" w:rsidP="00B4564B">
      <w:pPr>
        <w:jc w:val="both"/>
        <w:rPr>
          <w:sz w:val="22"/>
          <w:szCs w:val="22"/>
        </w:rPr>
      </w:pPr>
    </w:p>
    <w:p w:rsidR="006A65A7" w:rsidRDefault="00B4564B" w:rsidP="00FE0DAD">
      <w:pPr>
        <w:jc w:val="both"/>
        <w:rPr>
          <w:sz w:val="22"/>
          <w:szCs w:val="22"/>
        </w:rPr>
        <w:sectPr w:rsidR="006A65A7" w:rsidSect="00DB44E1">
          <w:pgSz w:w="11906" w:h="16838"/>
          <w:pgMar w:top="1417" w:right="1417" w:bottom="1417" w:left="1417" w:header="708" w:footer="708" w:gutter="0"/>
          <w:cols w:space="708"/>
          <w:docGrid w:linePitch="272"/>
        </w:sectPr>
      </w:pPr>
      <w:r w:rsidRPr="00B4564B">
        <w:rPr>
          <w:bCs/>
          <w:sz w:val="22"/>
          <w:szCs w:val="22"/>
        </w:rPr>
        <w:t>U</w:t>
      </w:r>
      <w:r w:rsidRPr="00B4564B">
        <w:rPr>
          <w:b/>
          <w:bCs/>
          <w:sz w:val="22"/>
          <w:szCs w:val="22"/>
        </w:rPr>
        <w:t xml:space="preserve"> indikátoru 260404 </w:t>
      </w:r>
      <w:r w:rsidRPr="00B4564B">
        <w:rPr>
          <w:b/>
          <w:sz w:val="22"/>
          <w:szCs w:val="22"/>
        </w:rPr>
        <w:t>Vytvoření nových kapacit pro efektivní zajištění poskytování humanitární pomoci jiným zemím</w:t>
      </w:r>
      <w:r w:rsidRPr="00B4564B">
        <w:rPr>
          <w:sz w:val="22"/>
          <w:szCs w:val="22"/>
        </w:rPr>
        <w:t xml:space="preserve"> je jeden projekt dokončen v roce 2010. Z důvodů změny Programového dokumentu v návaznosti na zařazení velkých projektů byla zvýšena cílová hodnota tak, aby odpovídala realitě po dokončení všech projektů. Dokončení velkých proj</w:t>
      </w:r>
      <w:r w:rsidR="007A66C3">
        <w:rPr>
          <w:sz w:val="22"/>
          <w:szCs w:val="22"/>
        </w:rPr>
        <w:t>ektů se předpokládá v roce 2015</w:t>
      </w:r>
    </w:p>
    <w:p w:rsidR="00A75862" w:rsidRPr="00F45A83" w:rsidRDefault="00A23817" w:rsidP="009F480F">
      <w:pPr>
        <w:pStyle w:val="Tabulkanzev"/>
      </w:pPr>
      <w:bookmarkStart w:id="185" w:name="_Toc416431836"/>
      <w:r>
        <w:lastRenderedPageBreak/>
        <w:t>I</w:t>
      </w:r>
      <w:r w:rsidR="00025519" w:rsidRPr="008850A0">
        <w:t>ndikátory výstupu</w:t>
      </w:r>
      <w:r w:rsidR="004379B2">
        <w:t xml:space="preserve"> v PO 3</w:t>
      </w:r>
      <w:bookmarkEnd w:id="185"/>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33"/>
        <w:gridCol w:w="3283"/>
        <w:gridCol w:w="934"/>
        <w:gridCol w:w="934"/>
        <w:gridCol w:w="934"/>
        <w:gridCol w:w="679"/>
        <w:gridCol w:w="679"/>
        <w:gridCol w:w="679"/>
        <w:gridCol w:w="679"/>
        <w:gridCol w:w="679"/>
        <w:gridCol w:w="679"/>
        <w:gridCol w:w="679"/>
        <w:gridCol w:w="687"/>
        <w:gridCol w:w="874"/>
        <w:gridCol w:w="812"/>
      </w:tblGrid>
      <w:tr w:rsidR="00F45A83" w:rsidRPr="00F45A83" w:rsidTr="0010129A">
        <w:trPr>
          <w:trHeight w:val="765"/>
          <w:tblHeader/>
        </w:trPr>
        <w:tc>
          <w:tcPr>
            <w:tcW w:w="33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Kód NČI</w:t>
            </w:r>
          </w:p>
        </w:tc>
        <w:tc>
          <w:tcPr>
            <w:tcW w:w="1161" w:type="pct"/>
            <w:shd w:val="clear" w:color="000000" w:fill="C4D79B"/>
            <w:vAlign w:val="center"/>
            <w:hideMark/>
          </w:tcPr>
          <w:p w:rsidR="00F45A83" w:rsidRPr="00F45A83" w:rsidRDefault="00F45A83" w:rsidP="00F45A83">
            <w:pPr>
              <w:jc w:val="center"/>
              <w:rPr>
                <w:b/>
                <w:bCs/>
                <w:color w:val="000000"/>
              </w:rPr>
            </w:pPr>
            <w:r w:rsidRPr="00F45A83">
              <w:rPr>
                <w:b/>
                <w:bCs/>
                <w:color w:val="000000"/>
              </w:rPr>
              <w:t>Název indikátoru</w:t>
            </w:r>
          </w:p>
        </w:tc>
        <w:tc>
          <w:tcPr>
            <w:tcW w:w="330" w:type="pct"/>
            <w:shd w:val="clear" w:color="000000" w:fill="C4D79B"/>
            <w:vAlign w:val="center"/>
            <w:hideMark/>
          </w:tcPr>
          <w:p w:rsidR="00F45A83" w:rsidRPr="00F45A83" w:rsidRDefault="00F45A83" w:rsidP="00F45A83">
            <w:pPr>
              <w:jc w:val="center"/>
              <w:rPr>
                <w:b/>
                <w:bCs/>
                <w:color w:val="000000"/>
              </w:rPr>
            </w:pPr>
            <w:r w:rsidRPr="00F45A83">
              <w:rPr>
                <w:b/>
                <w:bCs/>
                <w:color w:val="000000"/>
              </w:rPr>
              <w:t>Měrná jednotka</w:t>
            </w:r>
          </w:p>
        </w:tc>
        <w:tc>
          <w:tcPr>
            <w:tcW w:w="33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 xml:space="preserve">Zdroj </w:t>
            </w:r>
          </w:p>
        </w:tc>
        <w:tc>
          <w:tcPr>
            <w:tcW w:w="33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 xml:space="preserve">Hodnota </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2007</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2008</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2009</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2010</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2011</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2012</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2013</w:t>
            </w:r>
          </w:p>
        </w:tc>
        <w:tc>
          <w:tcPr>
            <w:tcW w:w="240"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2014</w:t>
            </w:r>
          </w:p>
        </w:tc>
        <w:tc>
          <w:tcPr>
            <w:tcW w:w="309" w:type="pct"/>
            <w:shd w:val="clear" w:color="000000" w:fill="C4D79B"/>
            <w:vAlign w:val="center"/>
            <w:hideMark/>
          </w:tcPr>
          <w:p w:rsidR="00F45A83" w:rsidRPr="00F45A83" w:rsidRDefault="00F45A83" w:rsidP="00F45A83">
            <w:pPr>
              <w:jc w:val="center"/>
              <w:rPr>
                <w:b/>
                <w:bCs/>
                <w:color w:val="000000"/>
              </w:rPr>
            </w:pPr>
            <w:r w:rsidRPr="00F45A83">
              <w:rPr>
                <w:b/>
                <w:bCs/>
                <w:color w:val="000000"/>
              </w:rPr>
              <w:t>Cílová hodnota 2015</w:t>
            </w:r>
          </w:p>
        </w:tc>
        <w:tc>
          <w:tcPr>
            <w:tcW w:w="288" w:type="pct"/>
            <w:shd w:val="clear" w:color="000000" w:fill="C4D79B"/>
            <w:noWrap/>
            <w:vAlign w:val="center"/>
            <w:hideMark/>
          </w:tcPr>
          <w:p w:rsidR="00F45A83" w:rsidRPr="00F45A83" w:rsidRDefault="00F45A83" w:rsidP="00F45A83">
            <w:pPr>
              <w:jc w:val="center"/>
              <w:rPr>
                <w:b/>
                <w:bCs/>
                <w:color w:val="000000"/>
              </w:rPr>
            </w:pPr>
            <w:r w:rsidRPr="00F45A83">
              <w:rPr>
                <w:b/>
                <w:bCs/>
                <w:color w:val="000000"/>
              </w:rPr>
              <w:t xml:space="preserve">Celkem </w:t>
            </w:r>
          </w:p>
        </w:tc>
      </w:tr>
      <w:tr w:rsidR="00F45A83" w:rsidRPr="00F45A83" w:rsidTr="00F45A83">
        <w:trPr>
          <w:trHeight w:val="360"/>
        </w:trPr>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330300</w:t>
            </w:r>
            <w:r w:rsidRPr="00F45A83">
              <w:rPr>
                <w:color w:val="000000"/>
                <w:sz w:val="18"/>
                <w:szCs w:val="18"/>
              </w:rPr>
              <w:br/>
            </w:r>
            <w:proofErr w:type="spellStart"/>
            <w:r w:rsidRPr="00F45A83">
              <w:rPr>
                <w:color w:val="000000"/>
                <w:sz w:val="18"/>
                <w:szCs w:val="18"/>
              </w:rPr>
              <w:t>Core</w:t>
            </w:r>
            <w:proofErr w:type="spellEnd"/>
            <w:r w:rsidRPr="00F45A83">
              <w:rPr>
                <w:color w:val="000000"/>
                <w:sz w:val="18"/>
                <w:szCs w:val="18"/>
              </w:rPr>
              <w:t xml:space="preserve"> 41</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Počet projektů zaměřených na sociální inkluzi </w:t>
            </w:r>
          </w:p>
        </w:tc>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66</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98</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28</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50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84</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84</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66</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98</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28</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50</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127</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127</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75713</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Zařízení realizující transformaci </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60B3F" w:rsidP="00F45A83">
            <w:pPr>
              <w:jc w:val="right"/>
              <w:rPr>
                <w:color w:val="000000"/>
                <w:sz w:val="18"/>
                <w:szCs w:val="18"/>
              </w:rPr>
            </w:pPr>
            <w:r>
              <w:rPr>
                <w:color w:val="000000"/>
                <w:sz w:val="18"/>
                <w:szCs w:val="18"/>
              </w:rPr>
              <w:t>2</w:t>
            </w:r>
          </w:p>
        </w:tc>
        <w:tc>
          <w:tcPr>
            <w:tcW w:w="240" w:type="pct"/>
            <w:shd w:val="clear" w:color="000000" w:fill="FFFFFF"/>
            <w:vAlign w:val="bottom"/>
            <w:hideMark/>
          </w:tcPr>
          <w:p w:rsidR="00F45A83" w:rsidRPr="00F45A83" w:rsidRDefault="00F60B3F" w:rsidP="00F45A83">
            <w:pPr>
              <w:jc w:val="right"/>
              <w:rPr>
                <w:color w:val="000000"/>
                <w:sz w:val="18"/>
                <w:szCs w:val="18"/>
              </w:rPr>
            </w:pPr>
            <w:r>
              <w:rPr>
                <w:color w:val="000000"/>
                <w:sz w:val="18"/>
                <w:szCs w:val="18"/>
              </w:rPr>
              <w:t>3</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5E0D31" w:rsidP="00F45A83">
            <w:pPr>
              <w:jc w:val="right"/>
              <w:rPr>
                <w:color w:val="000000"/>
                <w:sz w:val="18"/>
                <w:szCs w:val="18"/>
              </w:rPr>
            </w:pPr>
            <w:r>
              <w:rPr>
                <w:color w:val="000000"/>
                <w:sz w:val="18"/>
                <w:szCs w:val="18"/>
              </w:rPr>
              <w:t>3</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563603"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60B3F" w:rsidP="00F45A83">
            <w:pPr>
              <w:jc w:val="right"/>
              <w:rPr>
                <w:color w:val="000000"/>
                <w:sz w:val="18"/>
                <w:szCs w:val="18"/>
              </w:rPr>
            </w:pPr>
            <w:r>
              <w:rPr>
                <w:color w:val="000000"/>
                <w:sz w:val="18"/>
                <w:szCs w:val="18"/>
              </w:rPr>
              <w:t>2</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20</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20</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75714</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Počet podpořených organizací</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563603" w:rsidP="0056360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8</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15</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25</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25</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563603"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8</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15</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30</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30</w:t>
            </w:r>
          </w:p>
        </w:tc>
      </w:tr>
      <w:tr w:rsidR="00F45A83" w:rsidRPr="00F45A83" w:rsidTr="00F45A83">
        <w:trPr>
          <w:trHeight w:val="300"/>
        </w:trPr>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75802</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Počet podpořených subjektů</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5E0D31"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20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32</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41</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41</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5E0D31"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20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32</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52</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52</w:t>
            </w:r>
          </w:p>
        </w:tc>
      </w:tr>
      <w:tr w:rsidR="00F45A83" w:rsidRPr="00F45A83" w:rsidTr="00F45A83">
        <w:trPr>
          <w:trHeight w:val="270"/>
        </w:trPr>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80100</w:t>
            </w:r>
            <w:r w:rsidRPr="00F45A83">
              <w:rPr>
                <w:color w:val="000000"/>
                <w:sz w:val="18"/>
                <w:szCs w:val="18"/>
              </w:rPr>
              <w:br/>
            </w:r>
            <w:proofErr w:type="spellStart"/>
            <w:r w:rsidRPr="00F45A83">
              <w:rPr>
                <w:color w:val="000000"/>
                <w:sz w:val="18"/>
                <w:szCs w:val="18"/>
              </w:rPr>
              <w:t>Core</w:t>
            </w:r>
            <w:proofErr w:type="spellEnd"/>
            <w:r w:rsidRPr="00F45A83">
              <w:rPr>
                <w:color w:val="000000"/>
                <w:sz w:val="18"/>
                <w:szCs w:val="18"/>
              </w:rPr>
              <w:t xml:space="preserve"> 38</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Projekty na podporu zdraví – celkem  </w:t>
            </w:r>
          </w:p>
        </w:tc>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 xml:space="preserve">Počet </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63</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66</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68</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8</w:t>
            </w:r>
            <w:r w:rsidR="00DD0D1E">
              <w:rPr>
                <w:color w:val="000000"/>
                <w:sz w:val="18"/>
                <w:szCs w:val="18"/>
              </w:rPr>
              <w:t>7</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104</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144</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144</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63</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66</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98</w:t>
            </w:r>
          </w:p>
        </w:tc>
        <w:tc>
          <w:tcPr>
            <w:tcW w:w="240" w:type="pct"/>
            <w:shd w:val="clear" w:color="000000" w:fill="D8E4BC"/>
            <w:vAlign w:val="bottom"/>
            <w:hideMark/>
          </w:tcPr>
          <w:p w:rsidR="00F45A83" w:rsidRPr="00F45A83" w:rsidRDefault="00DD0D1E" w:rsidP="00F45A83">
            <w:pPr>
              <w:jc w:val="right"/>
              <w:rPr>
                <w:color w:val="000000"/>
                <w:sz w:val="18"/>
                <w:szCs w:val="18"/>
              </w:rPr>
            </w:pPr>
            <w:r>
              <w:rPr>
                <w:color w:val="000000"/>
                <w:sz w:val="18"/>
                <w:szCs w:val="18"/>
              </w:rPr>
              <w:t>87</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104</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110</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110</w:t>
            </w:r>
          </w:p>
        </w:tc>
      </w:tr>
      <w:tr w:rsidR="00F45A83" w:rsidRPr="00F45A83" w:rsidTr="00F45A83">
        <w:trPr>
          <w:trHeight w:val="315"/>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80102</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Projekty na podporu zdraví – pro modernizaci přístrojového vybavení</w:t>
            </w:r>
          </w:p>
        </w:tc>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24</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34</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42</w:t>
            </w:r>
          </w:p>
        </w:tc>
        <w:tc>
          <w:tcPr>
            <w:tcW w:w="240" w:type="pct"/>
            <w:shd w:val="clear" w:color="000000" w:fill="FFFFFF"/>
            <w:vAlign w:val="bottom"/>
            <w:hideMark/>
          </w:tcPr>
          <w:p w:rsidR="00F45A83" w:rsidRPr="00F45A83" w:rsidRDefault="0035349F" w:rsidP="00F45A83">
            <w:pPr>
              <w:jc w:val="right"/>
              <w:rPr>
                <w:color w:val="000000"/>
                <w:sz w:val="18"/>
                <w:szCs w:val="18"/>
              </w:rPr>
            </w:pPr>
            <w:r>
              <w:rPr>
                <w:color w:val="000000"/>
                <w:sz w:val="18"/>
                <w:szCs w:val="18"/>
              </w:rPr>
              <w:t>50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61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85</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85</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24</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34</w:t>
            </w:r>
          </w:p>
        </w:tc>
        <w:tc>
          <w:tcPr>
            <w:tcW w:w="240" w:type="pct"/>
            <w:shd w:val="clear" w:color="000000" w:fill="D8E4BC"/>
            <w:vAlign w:val="bottom"/>
            <w:hideMark/>
          </w:tcPr>
          <w:p w:rsidR="00F45A83" w:rsidRPr="00F45A83" w:rsidRDefault="0035349F" w:rsidP="00F45A83">
            <w:pPr>
              <w:jc w:val="right"/>
              <w:rPr>
                <w:color w:val="000000"/>
                <w:sz w:val="18"/>
                <w:szCs w:val="18"/>
              </w:rPr>
            </w:pPr>
            <w:r>
              <w:rPr>
                <w:color w:val="000000"/>
                <w:sz w:val="18"/>
                <w:szCs w:val="18"/>
              </w:rPr>
              <w:t>42</w:t>
            </w:r>
          </w:p>
        </w:tc>
        <w:tc>
          <w:tcPr>
            <w:tcW w:w="240" w:type="pct"/>
            <w:shd w:val="clear" w:color="000000" w:fill="D8E4BC"/>
            <w:vAlign w:val="bottom"/>
            <w:hideMark/>
          </w:tcPr>
          <w:p w:rsidR="00F45A83" w:rsidRPr="00F45A83" w:rsidRDefault="0035349F" w:rsidP="00F45A83">
            <w:pPr>
              <w:jc w:val="right"/>
              <w:rPr>
                <w:color w:val="000000"/>
                <w:sz w:val="18"/>
                <w:szCs w:val="18"/>
              </w:rPr>
            </w:pPr>
            <w:r>
              <w:rPr>
                <w:color w:val="000000"/>
                <w:sz w:val="18"/>
                <w:szCs w:val="18"/>
              </w:rPr>
              <w:t>50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61</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50</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50</w:t>
            </w:r>
          </w:p>
        </w:tc>
      </w:tr>
      <w:tr w:rsidR="00F45A83" w:rsidRPr="00F45A83" w:rsidTr="00F45A83">
        <w:trPr>
          <w:trHeight w:val="315"/>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80101</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Projekty na podporu zdraví – pro prevenci zdravotních rizik </w:t>
            </w:r>
          </w:p>
        </w:tc>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35349F"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17</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17</w:t>
            </w:r>
          </w:p>
        </w:tc>
        <w:tc>
          <w:tcPr>
            <w:tcW w:w="240" w:type="pct"/>
            <w:shd w:val="clear" w:color="000000" w:fill="FFFFFF"/>
            <w:vAlign w:val="bottom"/>
            <w:hideMark/>
          </w:tcPr>
          <w:p w:rsidR="00F45A83" w:rsidRPr="00F45A83" w:rsidRDefault="0035349F" w:rsidP="00F45A83">
            <w:pPr>
              <w:jc w:val="right"/>
              <w:rPr>
                <w:color w:val="000000"/>
                <w:sz w:val="18"/>
                <w:szCs w:val="18"/>
              </w:rPr>
            </w:pPr>
            <w:r>
              <w:rPr>
                <w:color w:val="000000"/>
                <w:sz w:val="18"/>
                <w:szCs w:val="18"/>
              </w:rPr>
              <w:t>28</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32</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47</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47</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35349F"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17</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17</w:t>
            </w:r>
          </w:p>
        </w:tc>
        <w:tc>
          <w:tcPr>
            <w:tcW w:w="240" w:type="pct"/>
            <w:shd w:val="clear" w:color="000000" w:fill="D8E4BC"/>
            <w:vAlign w:val="bottom"/>
            <w:hideMark/>
          </w:tcPr>
          <w:p w:rsidR="00F45A83" w:rsidRPr="00F45A83" w:rsidRDefault="0035349F" w:rsidP="00F45A83">
            <w:pPr>
              <w:jc w:val="right"/>
              <w:rPr>
                <w:color w:val="000000"/>
                <w:sz w:val="18"/>
                <w:szCs w:val="18"/>
              </w:rPr>
            </w:pPr>
            <w:r>
              <w:rPr>
                <w:color w:val="000000"/>
                <w:sz w:val="18"/>
                <w:szCs w:val="18"/>
              </w:rPr>
              <w:t>28</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32</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45</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45</w:t>
            </w:r>
          </w:p>
        </w:tc>
      </w:tr>
      <w:tr w:rsidR="00F45A83" w:rsidRPr="00F45A83" w:rsidTr="00F45A83">
        <w:trPr>
          <w:trHeight w:val="315"/>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80702</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Počet projektů zaměřených na zavádění standardů a standardních postupů řízení kvality a nákladovosti  </w:t>
            </w:r>
          </w:p>
        </w:tc>
        <w:tc>
          <w:tcPr>
            <w:tcW w:w="330" w:type="pct"/>
            <w:vMerge w:val="restart"/>
            <w:shd w:val="clear" w:color="auto" w:fill="auto"/>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86544F"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8</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9</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9</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12</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12</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86544F"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8</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9</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9</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11</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15</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15</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74521</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Počet podpořených institucí služeb </w:t>
            </w:r>
            <w:r w:rsidRPr="00F45A83">
              <w:rPr>
                <w:color w:val="000000"/>
                <w:sz w:val="18"/>
                <w:szCs w:val="18"/>
              </w:rPr>
              <w:lastRenderedPageBreak/>
              <w:t xml:space="preserve">zaměstnanosti </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lastRenderedPageBreak/>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3</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3</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12</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12</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74532</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Počet nově vybudovaných a podpořených stávajících </w:t>
            </w:r>
            <w:r w:rsidR="005E645A" w:rsidRPr="00F45A83">
              <w:rPr>
                <w:color w:val="000000"/>
                <w:sz w:val="18"/>
                <w:szCs w:val="18"/>
              </w:rPr>
              <w:t>školicích</w:t>
            </w:r>
            <w:r w:rsidRPr="00F45A83">
              <w:rPr>
                <w:color w:val="000000"/>
                <w:sz w:val="18"/>
                <w:szCs w:val="18"/>
              </w:rPr>
              <w:t xml:space="preserve"> středisek SZ</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1</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D93E3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74533</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Počet nově vybudovaných informačně-vzdělávacích středisek SZ</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1</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2</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2</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260407</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Počet operačních středisek IZS </w:t>
            </w:r>
            <w:r w:rsidR="008C5368">
              <w:rPr>
                <w:color w:val="000000"/>
                <w:sz w:val="18"/>
                <w:szCs w:val="18"/>
              </w:rPr>
              <w:br/>
            </w:r>
            <w:r w:rsidRPr="00F45A83">
              <w:rPr>
                <w:color w:val="000000"/>
                <w:sz w:val="18"/>
                <w:szCs w:val="18"/>
              </w:rPr>
              <w:t xml:space="preserve">s provedenou integrací ICT </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2</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1</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2</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41</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41</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260408</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Počet nově vybudovaných logistických základen</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1</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2</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2</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260410</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 xml:space="preserve">Počet modernizovaných nebo vybudovaných kontaktních pracovišť typu Front </w:t>
            </w:r>
            <w:proofErr w:type="spellStart"/>
            <w:r w:rsidRPr="00F45A83">
              <w:rPr>
                <w:color w:val="000000"/>
                <w:sz w:val="18"/>
                <w:szCs w:val="18"/>
              </w:rPr>
              <w:t>office</w:t>
            </w:r>
            <w:proofErr w:type="spellEnd"/>
            <w:r w:rsidRPr="00F45A83">
              <w:rPr>
                <w:color w:val="000000"/>
                <w:sz w:val="18"/>
                <w:szCs w:val="18"/>
              </w:rPr>
              <w:t xml:space="preserve"> napojených do sítě IZS </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76</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242</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269</w:t>
            </w:r>
          </w:p>
        </w:tc>
        <w:tc>
          <w:tcPr>
            <w:tcW w:w="240" w:type="pct"/>
            <w:shd w:val="clear" w:color="000000" w:fill="FFFFFF"/>
            <w:vAlign w:val="bottom"/>
            <w:hideMark/>
          </w:tcPr>
          <w:p w:rsidR="00F45A83" w:rsidRPr="00F45A83" w:rsidRDefault="00DE4849" w:rsidP="00F45A83">
            <w:pPr>
              <w:jc w:val="right"/>
              <w:rPr>
                <w:color w:val="000000"/>
                <w:sz w:val="18"/>
                <w:szCs w:val="18"/>
              </w:rPr>
            </w:pPr>
            <w:r>
              <w:rPr>
                <w:color w:val="000000"/>
                <w:sz w:val="18"/>
                <w:szCs w:val="18"/>
              </w:rPr>
              <w:t>311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357</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368</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368</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76</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242</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269</w:t>
            </w:r>
          </w:p>
        </w:tc>
        <w:tc>
          <w:tcPr>
            <w:tcW w:w="240" w:type="pct"/>
            <w:shd w:val="clear" w:color="000000" w:fill="D8E4BC"/>
            <w:vAlign w:val="bottom"/>
            <w:hideMark/>
          </w:tcPr>
          <w:p w:rsidR="00F45A83" w:rsidRPr="00F45A83" w:rsidRDefault="00DE4849" w:rsidP="00F45A83">
            <w:pPr>
              <w:jc w:val="right"/>
              <w:rPr>
                <w:color w:val="000000"/>
                <w:sz w:val="18"/>
                <w:szCs w:val="18"/>
              </w:rPr>
            </w:pPr>
            <w:r>
              <w:rPr>
                <w:color w:val="000000"/>
                <w:sz w:val="18"/>
                <w:szCs w:val="18"/>
              </w:rPr>
              <w:t>311</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357</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369</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369</w:t>
            </w:r>
          </w:p>
        </w:tc>
      </w:tr>
      <w:tr w:rsidR="00F45A83" w:rsidRPr="00F45A83" w:rsidTr="00F45A83">
        <w:trPr>
          <w:trHeight w:val="300"/>
        </w:trPr>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260412</w:t>
            </w:r>
          </w:p>
        </w:tc>
        <w:tc>
          <w:tcPr>
            <w:tcW w:w="1161" w:type="pct"/>
            <w:vMerge w:val="restart"/>
            <w:shd w:val="clear" w:color="000000" w:fill="FFFFFF"/>
            <w:vAlign w:val="center"/>
            <w:hideMark/>
          </w:tcPr>
          <w:p w:rsidR="00F45A83" w:rsidRPr="00F45A83" w:rsidRDefault="00F45A83" w:rsidP="00F45A83">
            <w:pPr>
              <w:rPr>
                <w:color w:val="000000"/>
                <w:sz w:val="18"/>
                <w:szCs w:val="18"/>
              </w:rPr>
            </w:pPr>
            <w:r w:rsidRPr="00F45A83">
              <w:rPr>
                <w:color w:val="000000"/>
                <w:sz w:val="18"/>
                <w:szCs w:val="18"/>
              </w:rPr>
              <w:t>Počet technologických zařízení k eliminaci hrozeb či následků bezpečnostních rizik</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Počet</w:t>
            </w:r>
          </w:p>
        </w:tc>
        <w:tc>
          <w:tcPr>
            <w:tcW w:w="330" w:type="pct"/>
            <w:vMerge w:val="restart"/>
            <w:shd w:val="clear" w:color="auto" w:fill="auto"/>
            <w:noWrap/>
            <w:vAlign w:val="center"/>
            <w:hideMark/>
          </w:tcPr>
          <w:p w:rsidR="00F45A83" w:rsidRPr="00F45A83" w:rsidRDefault="00F45A83" w:rsidP="00F45A83">
            <w:pPr>
              <w:rPr>
                <w:color w:val="000000"/>
                <w:sz w:val="18"/>
                <w:szCs w:val="18"/>
              </w:rPr>
            </w:pPr>
            <w:r w:rsidRPr="00F45A83">
              <w:rPr>
                <w:color w:val="000000"/>
                <w:sz w:val="18"/>
                <w:szCs w:val="18"/>
              </w:rPr>
              <w:t>ŘO IOP</w:t>
            </w:r>
          </w:p>
        </w:tc>
        <w:tc>
          <w:tcPr>
            <w:tcW w:w="330" w:type="pct"/>
            <w:shd w:val="clear" w:color="000000" w:fill="FFFFFF"/>
            <w:noWrap/>
            <w:vAlign w:val="bottom"/>
            <w:hideMark/>
          </w:tcPr>
          <w:p w:rsidR="00F45A83" w:rsidRPr="00F45A83" w:rsidRDefault="00F45A83" w:rsidP="00F45A83">
            <w:pPr>
              <w:jc w:val="center"/>
              <w:rPr>
                <w:color w:val="000000"/>
                <w:sz w:val="18"/>
                <w:szCs w:val="18"/>
              </w:rPr>
            </w:pPr>
            <w:r w:rsidRPr="00F45A83">
              <w:rPr>
                <w:color w:val="000000"/>
                <w:sz w:val="18"/>
                <w:szCs w:val="18"/>
              </w:rPr>
              <w:t>Dosažená</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071D02"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FFFFFF"/>
            <w:vAlign w:val="bottom"/>
            <w:hideMark/>
          </w:tcPr>
          <w:p w:rsidR="00F45A83" w:rsidRPr="00F45A83" w:rsidRDefault="00071D02" w:rsidP="00F45A83">
            <w:pPr>
              <w:jc w:val="right"/>
              <w:rPr>
                <w:color w:val="000000"/>
                <w:sz w:val="18"/>
                <w:szCs w:val="18"/>
              </w:rPr>
            </w:pPr>
            <w:r>
              <w:rPr>
                <w:color w:val="000000"/>
                <w:sz w:val="18"/>
                <w:szCs w:val="18"/>
              </w:rPr>
              <w:t>0</w:t>
            </w:r>
          </w:p>
        </w:tc>
        <w:tc>
          <w:tcPr>
            <w:tcW w:w="240" w:type="pct"/>
            <w:shd w:val="clear" w:color="000000" w:fill="FFFFFF"/>
            <w:vAlign w:val="bottom"/>
            <w:hideMark/>
          </w:tcPr>
          <w:p w:rsidR="00F45A83" w:rsidRPr="00F45A83" w:rsidRDefault="00071D02" w:rsidP="00F45A83">
            <w:pPr>
              <w:jc w:val="right"/>
              <w:rPr>
                <w:color w:val="000000"/>
                <w:sz w:val="18"/>
                <w:szCs w:val="18"/>
              </w:rPr>
            </w:pPr>
            <w:r>
              <w:rPr>
                <w:color w:val="000000"/>
                <w:sz w:val="18"/>
                <w:szCs w:val="18"/>
              </w:rPr>
              <w:t>24</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181</w:t>
            </w:r>
          </w:p>
        </w:tc>
        <w:tc>
          <w:tcPr>
            <w:tcW w:w="240" w:type="pct"/>
            <w:shd w:val="clear" w:color="000000" w:fill="FFFFFF"/>
            <w:vAlign w:val="bottom"/>
            <w:hideMark/>
          </w:tcPr>
          <w:p w:rsidR="00F45A83" w:rsidRPr="00F45A83" w:rsidRDefault="00F45A83" w:rsidP="00F45A83">
            <w:pPr>
              <w:jc w:val="right"/>
              <w:rPr>
                <w:color w:val="000000"/>
                <w:sz w:val="18"/>
                <w:szCs w:val="18"/>
              </w:rPr>
            </w:pPr>
            <w:r w:rsidRPr="00F45A83">
              <w:rPr>
                <w:color w:val="000000"/>
                <w:sz w:val="18"/>
                <w:szCs w:val="18"/>
              </w:rPr>
              <w:t>230</w:t>
            </w:r>
          </w:p>
        </w:tc>
        <w:tc>
          <w:tcPr>
            <w:tcW w:w="309"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FFFFFF"/>
            <w:noWrap/>
            <w:vAlign w:val="bottom"/>
            <w:hideMark/>
          </w:tcPr>
          <w:p w:rsidR="00F45A83" w:rsidRPr="00F45A83" w:rsidRDefault="00F45A83" w:rsidP="00F45A83">
            <w:pPr>
              <w:jc w:val="right"/>
              <w:rPr>
                <w:color w:val="000000"/>
                <w:sz w:val="18"/>
                <w:szCs w:val="18"/>
              </w:rPr>
            </w:pPr>
            <w:r w:rsidRPr="00F45A83">
              <w:rPr>
                <w:color w:val="000000"/>
                <w:sz w:val="18"/>
                <w:szCs w:val="18"/>
              </w:rPr>
              <w:t>230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000000" w:fill="D8E4BC"/>
            <w:noWrap/>
            <w:vAlign w:val="bottom"/>
            <w:hideMark/>
          </w:tcPr>
          <w:p w:rsidR="00F45A83" w:rsidRPr="00F45A83" w:rsidRDefault="00F45A83" w:rsidP="00F45A83">
            <w:pPr>
              <w:jc w:val="center"/>
              <w:rPr>
                <w:color w:val="000000"/>
                <w:sz w:val="18"/>
                <w:szCs w:val="18"/>
              </w:rPr>
            </w:pPr>
            <w:r w:rsidRPr="00F45A83">
              <w:rPr>
                <w:color w:val="000000"/>
                <w:sz w:val="18"/>
                <w:szCs w:val="18"/>
              </w:rPr>
              <w:t>Výchozí</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071D02"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0</w:t>
            </w:r>
          </w:p>
        </w:tc>
        <w:tc>
          <w:tcPr>
            <w:tcW w:w="240" w:type="pct"/>
            <w:shd w:val="clear" w:color="000000" w:fill="D8E4BC"/>
            <w:vAlign w:val="bottom"/>
            <w:hideMark/>
          </w:tcPr>
          <w:p w:rsidR="00F45A83" w:rsidRPr="00F45A83" w:rsidRDefault="00071D02" w:rsidP="00F45A83">
            <w:pPr>
              <w:jc w:val="right"/>
              <w:rPr>
                <w:color w:val="000000"/>
                <w:sz w:val="18"/>
                <w:szCs w:val="18"/>
              </w:rPr>
            </w:pPr>
            <w:r>
              <w:rPr>
                <w:color w:val="000000"/>
                <w:sz w:val="18"/>
                <w:szCs w:val="18"/>
              </w:rPr>
              <w:t>0</w:t>
            </w:r>
          </w:p>
        </w:tc>
        <w:tc>
          <w:tcPr>
            <w:tcW w:w="240" w:type="pct"/>
            <w:shd w:val="clear" w:color="000000" w:fill="D8E4BC"/>
            <w:vAlign w:val="bottom"/>
            <w:hideMark/>
          </w:tcPr>
          <w:p w:rsidR="00F45A83" w:rsidRPr="00F45A83" w:rsidRDefault="00071D02" w:rsidP="00F45A83">
            <w:pPr>
              <w:jc w:val="right"/>
              <w:rPr>
                <w:color w:val="000000"/>
                <w:sz w:val="18"/>
                <w:szCs w:val="18"/>
              </w:rPr>
            </w:pPr>
            <w:r>
              <w:rPr>
                <w:color w:val="000000"/>
                <w:sz w:val="18"/>
                <w:szCs w:val="18"/>
              </w:rPr>
              <w:t>24</w:t>
            </w:r>
          </w:p>
        </w:tc>
        <w:tc>
          <w:tcPr>
            <w:tcW w:w="240" w:type="pct"/>
            <w:shd w:val="clear" w:color="000000" w:fill="D8E4BC"/>
            <w:vAlign w:val="bottom"/>
            <w:hideMark/>
          </w:tcPr>
          <w:p w:rsidR="00F45A83" w:rsidRPr="00F45A83" w:rsidRDefault="00F45A83" w:rsidP="00F45A83">
            <w:pPr>
              <w:jc w:val="right"/>
              <w:rPr>
                <w:color w:val="000000"/>
                <w:sz w:val="18"/>
                <w:szCs w:val="18"/>
              </w:rPr>
            </w:pPr>
            <w:r w:rsidRPr="00F45A83">
              <w:rPr>
                <w:color w:val="000000"/>
                <w:sz w:val="18"/>
                <w:szCs w:val="18"/>
              </w:rPr>
              <w:t>181</w:t>
            </w:r>
          </w:p>
        </w:tc>
        <w:tc>
          <w:tcPr>
            <w:tcW w:w="309"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N/A</w:t>
            </w:r>
          </w:p>
        </w:tc>
        <w:tc>
          <w:tcPr>
            <w:tcW w:w="288" w:type="pct"/>
            <w:shd w:val="clear" w:color="000000" w:fill="D8E4BC"/>
            <w:noWrap/>
            <w:vAlign w:val="bottom"/>
            <w:hideMark/>
          </w:tcPr>
          <w:p w:rsidR="00F45A83" w:rsidRPr="00F45A83" w:rsidRDefault="00F45A83" w:rsidP="00F45A83">
            <w:pPr>
              <w:jc w:val="right"/>
              <w:rPr>
                <w:color w:val="000000"/>
                <w:sz w:val="18"/>
                <w:szCs w:val="18"/>
              </w:rPr>
            </w:pPr>
            <w:r w:rsidRPr="00F45A83">
              <w:rPr>
                <w:color w:val="000000"/>
                <w:sz w:val="18"/>
                <w:szCs w:val="18"/>
              </w:rPr>
              <w:t>0</w:t>
            </w:r>
          </w:p>
        </w:tc>
      </w:tr>
      <w:tr w:rsidR="00F45A83" w:rsidRPr="00F45A83" w:rsidTr="00F45A83">
        <w:trPr>
          <w:trHeight w:val="300"/>
        </w:trPr>
        <w:tc>
          <w:tcPr>
            <w:tcW w:w="330" w:type="pct"/>
            <w:vMerge/>
            <w:vAlign w:val="center"/>
            <w:hideMark/>
          </w:tcPr>
          <w:p w:rsidR="00F45A83" w:rsidRPr="00F45A83" w:rsidRDefault="00F45A83" w:rsidP="00F45A83">
            <w:pPr>
              <w:rPr>
                <w:color w:val="000000"/>
                <w:sz w:val="18"/>
                <w:szCs w:val="18"/>
              </w:rPr>
            </w:pPr>
          </w:p>
        </w:tc>
        <w:tc>
          <w:tcPr>
            <w:tcW w:w="1161"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vMerge/>
            <w:vAlign w:val="center"/>
            <w:hideMark/>
          </w:tcPr>
          <w:p w:rsidR="00F45A83" w:rsidRPr="00F45A83" w:rsidRDefault="00F45A83" w:rsidP="00F45A83">
            <w:pPr>
              <w:rPr>
                <w:color w:val="000000"/>
                <w:sz w:val="18"/>
                <w:szCs w:val="18"/>
              </w:rPr>
            </w:pPr>
          </w:p>
        </w:tc>
        <w:tc>
          <w:tcPr>
            <w:tcW w:w="330" w:type="pct"/>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Plánovaná</w:t>
            </w:r>
          </w:p>
        </w:tc>
        <w:tc>
          <w:tcPr>
            <w:tcW w:w="1923" w:type="pct"/>
            <w:gridSpan w:val="8"/>
            <w:shd w:val="clear" w:color="auto" w:fill="auto"/>
            <w:noWrap/>
            <w:vAlign w:val="bottom"/>
            <w:hideMark/>
          </w:tcPr>
          <w:p w:rsidR="00F45A83" w:rsidRPr="00F45A83" w:rsidRDefault="00F45A83" w:rsidP="00F45A83">
            <w:pPr>
              <w:jc w:val="center"/>
              <w:rPr>
                <w:color w:val="000000"/>
                <w:sz w:val="18"/>
                <w:szCs w:val="18"/>
              </w:rPr>
            </w:pPr>
            <w:r w:rsidRPr="00F45A83">
              <w:rPr>
                <w:color w:val="000000"/>
                <w:sz w:val="18"/>
                <w:szCs w:val="18"/>
              </w:rPr>
              <w:t>N/A</w:t>
            </w:r>
          </w:p>
        </w:tc>
        <w:tc>
          <w:tcPr>
            <w:tcW w:w="309"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3 286</w:t>
            </w:r>
          </w:p>
        </w:tc>
        <w:tc>
          <w:tcPr>
            <w:tcW w:w="288" w:type="pct"/>
            <w:shd w:val="clear" w:color="auto" w:fill="auto"/>
            <w:noWrap/>
            <w:vAlign w:val="bottom"/>
            <w:hideMark/>
          </w:tcPr>
          <w:p w:rsidR="00F45A83" w:rsidRPr="00F45A83" w:rsidRDefault="00F45A83" w:rsidP="00F45A83">
            <w:pPr>
              <w:jc w:val="right"/>
              <w:rPr>
                <w:color w:val="000000"/>
                <w:sz w:val="18"/>
                <w:szCs w:val="18"/>
              </w:rPr>
            </w:pPr>
            <w:r w:rsidRPr="00F45A83">
              <w:rPr>
                <w:color w:val="000000"/>
                <w:sz w:val="18"/>
                <w:szCs w:val="18"/>
              </w:rPr>
              <w:t>3 286</w:t>
            </w:r>
          </w:p>
        </w:tc>
      </w:tr>
    </w:tbl>
    <w:p w:rsidR="00A75862" w:rsidRDefault="00A75862" w:rsidP="004D5C36">
      <w:pPr>
        <w:jc w:val="both"/>
        <w:rPr>
          <w:i/>
          <w:sz w:val="18"/>
          <w:szCs w:val="18"/>
        </w:rPr>
      </w:pPr>
      <w:r w:rsidRPr="00555962">
        <w:rPr>
          <w:i/>
          <w:sz w:val="18"/>
          <w:szCs w:val="18"/>
        </w:rPr>
        <w:t xml:space="preserve">Zdroj: MSC 2007 </w:t>
      </w:r>
      <w:r w:rsidR="00BB47D7">
        <w:rPr>
          <w:i/>
          <w:sz w:val="18"/>
          <w:szCs w:val="18"/>
        </w:rPr>
        <w:t>ke dni</w:t>
      </w:r>
      <w:r w:rsidRPr="00555962">
        <w:rPr>
          <w:i/>
          <w:sz w:val="18"/>
          <w:szCs w:val="18"/>
        </w:rPr>
        <w:t xml:space="preserve"> </w:t>
      </w:r>
      <w:r w:rsidR="00E5620D">
        <w:rPr>
          <w:i/>
          <w:sz w:val="18"/>
          <w:szCs w:val="18"/>
        </w:rPr>
        <w:t>2</w:t>
      </w:r>
      <w:r w:rsidR="00E5620D" w:rsidRPr="00555962">
        <w:rPr>
          <w:i/>
          <w:sz w:val="18"/>
          <w:szCs w:val="18"/>
        </w:rPr>
        <w:t>.</w:t>
      </w:r>
      <w:r w:rsidR="00E5620D">
        <w:rPr>
          <w:i/>
          <w:sz w:val="18"/>
          <w:szCs w:val="18"/>
        </w:rPr>
        <w:t xml:space="preserve"> 3. 2015</w:t>
      </w:r>
    </w:p>
    <w:p w:rsidR="00C86F4C" w:rsidRDefault="00C86F4C" w:rsidP="004D5C36">
      <w:pPr>
        <w:jc w:val="both"/>
        <w:rPr>
          <w:i/>
          <w:sz w:val="18"/>
          <w:szCs w:val="18"/>
        </w:rPr>
      </w:pPr>
    </w:p>
    <w:p w:rsidR="0010129A" w:rsidRDefault="0010129A" w:rsidP="004D5C36">
      <w:pPr>
        <w:jc w:val="both"/>
        <w:rPr>
          <w:i/>
          <w:sz w:val="18"/>
          <w:szCs w:val="18"/>
        </w:rPr>
      </w:pPr>
    </w:p>
    <w:p w:rsidR="00E5620D" w:rsidRDefault="00E5620D" w:rsidP="004D5C36">
      <w:pPr>
        <w:jc w:val="both"/>
        <w:rPr>
          <w:i/>
          <w:sz w:val="18"/>
          <w:szCs w:val="18"/>
        </w:rPr>
      </w:pPr>
    </w:p>
    <w:p w:rsidR="00E5620D" w:rsidRDefault="00E5620D" w:rsidP="004D5C36">
      <w:pPr>
        <w:jc w:val="both"/>
        <w:rPr>
          <w:i/>
          <w:sz w:val="18"/>
          <w:szCs w:val="18"/>
        </w:rPr>
      </w:pPr>
    </w:p>
    <w:p w:rsidR="007A66C3" w:rsidRDefault="007A66C3" w:rsidP="004D5C36">
      <w:pPr>
        <w:jc w:val="both"/>
        <w:rPr>
          <w:i/>
          <w:sz w:val="18"/>
          <w:szCs w:val="18"/>
        </w:rPr>
      </w:pPr>
    </w:p>
    <w:p w:rsidR="00E5620D" w:rsidRDefault="00E5620D" w:rsidP="004D5C36">
      <w:pPr>
        <w:jc w:val="both"/>
        <w:rPr>
          <w:i/>
          <w:sz w:val="18"/>
          <w:szCs w:val="18"/>
        </w:rPr>
      </w:pPr>
    </w:p>
    <w:p w:rsidR="00E5620D" w:rsidRDefault="00E5620D" w:rsidP="004D5C36">
      <w:pPr>
        <w:jc w:val="both"/>
        <w:rPr>
          <w:i/>
          <w:sz w:val="18"/>
          <w:szCs w:val="18"/>
        </w:rPr>
      </w:pPr>
    </w:p>
    <w:p w:rsidR="008850A0" w:rsidRPr="00555962" w:rsidRDefault="008850A0" w:rsidP="004D5C36">
      <w:pPr>
        <w:jc w:val="both"/>
        <w:rPr>
          <w:i/>
          <w:sz w:val="18"/>
          <w:szCs w:val="18"/>
        </w:rPr>
      </w:pPr>
    </w:p>
    <w:p w:rsidR="00417367" w:rsidRPr="002D1C6D" w:rsidRDefault="00025519" w:rsidP="00E5620D">
      <w:pPr>
        <w:pStyle w:val="Tabulkanzev"/>
      </w:pPr>
      <w:bookmarkStart w:id="186" w:name="_Toc416431837"/>
      <w:r w:rsidRPr="008850A0">
        <w:lastRenderedPageBreak/>
        <w:t>Indikátory výsledku</w:t>
      </w:r>
      <w:r w:rsidR="004379B2">
        <w:t xml:space="preserve"> v PO 3</w:t>
      </w:r>
      <w:bookmarkEnd w:id="186"/>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33"/>
        <w:gridCol w:w="3283"/>
        <w:gridCol w:w="934"/>
        <w:gridCol w:w="934"/>
        <w:gridCol w:w="934"/>
        <w:gridCol w:w="679"/>
        <w:gridCol w:w="679"/>
        <w:gridCol w:w="679"/>
        <w:gridCol w:w="679"/>
        <w:gridCol w:w="679"/>
        <w:gridCol w:w="679"/>
        <w:gridCol w:w="679"/>
        <w:gridCol w:w="687"/>
        <w:gridCol w:w="874"/>
        <w:gridCol w:w="812"/>
      </w:tblGrid>
      <w:tr w:rsidR="009A4749" w:rsidRPr="002D1C6D" w:rsidTr="0010129A">
        <w:trPr>
          <w:trHeight w:val="765"/>
          <w:tblHeader/>
        </w:trPr>
        <w:tc>
          <w:tcPr>
            <w:tcW w:w="33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Kód NČI</w:t>
            </w:r>
          </w:p>
        </w:tc>
        <w:tc>
          <w:tcPr>
            <w:tcW w:w="1161" w:type="pct"/>
            <w:shd w:val="clear" w:color="000000" w:fill="C4D79B"/>
            <w:vAlign w:val="center"/>
            <w:hideMark/>
          </w:tcPr>
          <w:p w:rsidR="002D1C6D" w:rsidRPr="002D1C6D" w:rsidRDefault="002D1C6D" w:rsidP="002D1C6D">
            <w:pPr>
              <w:jc w:val="center"/>
              <w:rPr>
                <w:b/>
                <w:bCs/>
                <w:color w:val="000000"/>
              </w:rPr>
            </w:pPr>
            <w:r w:rsidRPr="002D1C6D">
              <w:rPr>
                <w:b/>
                <w:bCs/>
                <w:color w:val="000000"/>
              </w:rPr>
              <w:t>Název indikátoru</w:t>
            </w:r>
          </w:p>
        </w:tc>
        <w:tc>
          <w:tcPr>
            <w:tcW w:w="330" w:type="pct"/>
            <w:shd w:val="clear" w:color="000000" w:fill="C4D79B"/>
            <w:vAlign w:val="center"/>
            <w:hideMark/>
          </w:tcPr>
          <w:p w:rsidR="002D1C6D" w:rsidRPr="002D1C6D" w:rsidRDefault="002D1C6D" w:rsidP="002D1C6D">
            <w:pPr>
              <w:jc w:val="center"/>
              <w:rPr>
                <w:b/>
                <w:bCs/>
                <w:color w:val="000000"/>
              </w:rPr>
            </w:pPr>
            <w:r w:rsidRPr="002D1C6D">
              <w:rPr>
                <w:b/>
                <w:bCs/>
                <w:color w:val="000000"/>
              </w:rPr>
              <w:t>Měrná jednotka</w:t>
            </w:r>
          </w:p>
        </w:tc>
        <w:tc>
          <w:tcPr>
            <w:tcW w:w="33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 xml:space="preserve">Zdroj </w:t>
            </w:r>
          </w:p>
        </w:tc>
        <w:tc>
          <w:tcPr>
            <w:tcW w:w="33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 xml:space="preserve">Hodnota </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2007</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2008</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2009</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2010</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2011</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2012</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2013</w:t>
            </w:r>
          </w:p>
        </w:tc>
        <w:tc>
          <w:tcPr>
            <w:tcW w:w="240"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2014</w:t>
            </w:r>
          </w:p>
        </w:tc>
        <w:tc>
          <w:tcPr>
            <w:tcW w:w="309" w:type="pct"/>
            <w:shd w:val="clear" w:color="000000" w:fill="C4D79B"/>
            <w:vAlign w:val="center"/>
            <w:hideMark/>
          </w:tcPr>
          <w:p w:rsidR="002D1C6D" w:rsidRPr="002D1C6D" w:rsidRDefault="002D1C6D" w:rsidP="002D1C6D">
            <w:pPr>
              <w:jc w:val="center"/>
              <w:rPr>
                <w:b/>
                <w:bCs/>
                <w:color w:val="000000"/>
              </w:rPr>
            </w:pPr>
            <w:r w:rsidRPr="002D1C6D">
              <w:rPr>
                <w:b/>
                <w:bCs/>
                <w:color w:val="000000"/>
              </w:rPr>
              <w:t>Cílová hodnota 2015</w:t>
            </w:r>
          </w:p>
        </w:tc>
        <w:tc>
          <w:tcPr>
            <w:tcW w:w="288" w:type="pct"/>
            <w:shd w:val="clear" w:color="000000" w:fill="C4D79B"/>
            <w:noWrap/>
            <w:vAlign w:val="center"/>
            <w:hideMark/>
          </w:tcPr>
          <w:p w:rsidR="002D1C6D" w:rsidRPr="002D1C6D" w:rsidRDefault="002D1C6D" w:rsidP="002D1C6D">
            <w:pPr>
              <w:jc w:val="center"/>
              <w:rPr>
                <w:b/>
                <w:bCs/>
                <w:color w:val="000000"/>
              </w:rPr>
            </w:pPr>
            <w:r w:rsidRPr="002D1C6D">
              <w:rPr>
                <w:b/>
                <w:bCs/>
                <w:color w:val="000000"/>
              </w:rPr>
              <w:t xml:space="preserve">Celkem </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75711</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Alternativní sociální služby </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Počet</w:t>
            </w:r>
          </w:p>
        </w:tc>
        <w:tc>
          <w:tcPr>
            <w:tcW w:w="330" w:type="pct"/>
            <w:vMerge w:val="restart"/>
            <w:shd w:val="clear" w:color="auto" w:fill="auto"/>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C40058"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C40058"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2</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5</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16</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31</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31</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C40058"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C40058"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2</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5</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16</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77</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77</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75712</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Počet nových sociálních služeb a aktivit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Počet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136BBA"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3</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3</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18</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52</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92</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92</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136BBA"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3</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3</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18</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52</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142</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142</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75603</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Účelnost podpory </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CE71DD"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61,8</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61,11</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65,29</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68,2</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73,5</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73,5</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CE71DD"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61,8</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61,11</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65,29</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68,2</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60</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60</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80721</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Zvýšení vybavenosti specializovaných pracovišť v národních sítích</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w:t>
            </w:r>
          </w:p>
        </w:tc>
        <w:tc>
          <w:tcPr>
            <w:tcW w:w="330" w:type="pct"/>
            <w:vMerge w:val="restart"/>
            <w:shd w:val="clear" w:color="auto" w:fill="auto"/>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64,12</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67,58</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70,98</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72,97</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71,41</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68,86</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68,86</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64,12</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67,58</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70,98</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72,97</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71,41</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60</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60</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80712</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Počet dostupných programů prevence pro obyvatele </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Počet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CE71DD"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12</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19</w:t>
            </w:r>
          </w:p>
        </w:tc>
        <w:tc>
          <w:tcPr>
            <w:tcW w:w="240" w:type="pct"/>
            <w:shd w:val="clear" w:color="000000" w:fill="FFFFFF"/>
            <w:vAlign w:val="bottom"/>
            <w:hideMark/>
          </w:tcPr>
          <w:p w:rsidR="002D1C6D" w:rsidRPr="002D1C6D" w:rsidRDefault="00CE71DD" w:rsidP="002D1C6D">
            <w:pPr>
              <w:jc w:val="right"/>
              <w:rPr>
                <w:color w:val="000000"/>
                <w:sz w:val="18"/>
                <w:szCs w:val="18"/>
              </w:rPr>
            </w:pPr>
            <w:r>
              <w:rPr>
                <w:color w:val="000000"/>
                <w:sz w:val="18"/>
                <w:szCs w:val="18"/>
              </w:rPr>
              <w:t>26</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28</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43</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43</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CE71DD"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12</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19</w:t>
            </w:r>
          </w:p>
        </w:tc>
        <w:tc>
          <w:tcPr>
            <w:tcW w:w="240" w:type="pct"/>
            <w:shd w:val="clear" w:color="000000" w:fill="D8E4BC"/>
            <w:vAlign w:val="bottom"/>
            <w:hideMark/>
          </w:tcPr>
          <w:p w:rsidR="002D1C6D" w:rsidRPr="002D1C6D" w:rsidRDefault="00CE71DD" w:rsidP="002D1C6D">
            <w:pPr>
              <w:jc w:val="right"/>
              <w:rPr>
                <w:color w:val="000000"/>
                <w:sz w:val="18"/>
                <w:szCs w:val="18"/>
              </w:rPr>
            </w:pPr>
            <w:r>
              <w:rPr>
                <w:color w:val="000000"/>
                <w:sz w:val="18"/>
                <w:szCs w:val="18"/>
              </w:rPr>
              <w:t>26</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28</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45</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45</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80704</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Počet programů zavádějících standardy </w:t>
            </w:r>
            <w:r w:rsidR="008C5368">
              <w:rPr>
                <w:sz w:val="18"/>
                <w:szCs w:val="18"/>
              </w:rPr>
              <w:br/>
            </w:r>
            <w:r w:rsidRPr="002D1C6D">
              <w:rPr>
                <w:sz w:val="18"/>
                <w:szCs w:val="18"/>
              </w:rPr>
              <w:t xml:space="preserve">a standardní postupy řízení kvality </w:t>
            </w:r>
            <w:r w:rsidR="008C5368">
              <w:rPr>
                <w:sz w:val="18"/>
                <w:szCs w:val="18"/>
              </w:rPr>
              <w:br/>
            </w:r>
            <w:r w:rsidRPr="002D1C6D">
              <w:rPr>
                <w:sz w:val="18"/>
                <w:szCs w:val="18"/>
              </w:rPr>
              <w:t xml:space="preserve">a nákladovosti </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Počet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E41F4C"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6</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11</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12</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14</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14</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E41F4C"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6</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11</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12</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24</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24</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74514</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Nárůst kvality pracovního a klientského prostředí institucí služeb zaměstnanosti</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w:t>
            </w:r>
          </w:p>
        </w:tc>
        <w:tc>
          <w:tcPr>
            <w:tcW w:w="330" w:type="pct"/>
            <w:vMerge w:val="restart"/>
            <w:shd w:val="clear" w:color="auto" w:fill="auto"/>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1,73</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1,73</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8,29</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8,29</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1,73</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1,73</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18</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18</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74512</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Nárůst kapacity </w:t>
            </w:r>
            <w:r w:rsidR="008C5368" w:rsidRPr="002D1C6D">
              <w:rPr>
                <w:sz w:val="18"/>
                <w:szCs w:val="18"/>
              </w:rPr>
              <w:t>školicích</w:t>
            </w:r>
            <w:r w:rsidRPr="002D1C6D">
              <w:rPr>
                <w:sz w:val="18"/>
                <w:szCs w:val="18"/>
              </w:rPr>
              <w:t xml:space="preserve"> středisek služeb zaměstnanosti</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0,61</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1,27</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1,27</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0,61</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20</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20</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74513</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Nárůst kapacity poradensko-vzdělávacích </w:t>
            </w:r>
            <w:r w:rsidRPr="002D1C6D">
              <w:rPr>
                <w:sz w:val="18"/>
                <w:szCs w:val="18"/>
              </w:rPr>
              <w:lastRenderedPageBreak/>
              <w:t>středisek</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lastRenderedPageBreak/>
              <w: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 xml:space="preserve"> 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0,28</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4,98</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4,98</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0,28</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25</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25</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260401</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Počet podpořených složek IZS </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Počet</w:t>
            </w:r>
          </w:p>
        </w:tc>
        <w:tc>
          <w:tcPr>
            <w:tcW w:w="330" w:type="pct"/>
            <w:vMerge w:val="restart"/>
            <w:shd w:val="clear" w:color="auto" w:fill="auto"/>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4901FC"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4901FC" w:rsidP="002D1C6D">
            <w:pPr>
              <w:jc w:val="right"/>
              <w:rPr>
                <w:color w:val="000000"/>
                <w:sz w:val="18"/>
                <w:szCs w:val="18"/>
              </w:rPr>
            </w:pPr>
            <w:r>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4901FC"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4901FC" w:rsidP="002D1C6D">
            <w:pPr>
              <w:jc w:val="right"/>
              <w:rPr>
                <w:color w:val="000000"/>
                <w:sz w:val="18"/>
                <w:szCs w:val="18"/>
              </w:rPr>
            </w:pPr>
            <w:r>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3</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3</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260406</w:t>
            </w:r>
          </w:p>
        </w:tc>
        <w:tc>
          <w:tcPr>
            <w:tcW w:w="1161" w:type="pct"/>
            <w:vMerge w:val="restart"/>
            <w:shd w:val="clear" w:color="000000" w:fill="FFFFFF"/>
            <w:vAlign w:val="center"/>
            <w:hideMark/>
          </w:tcPr>
          <w:p w:rsidR="002D1C6D" w:rsidRPr="002D1C6D" w:rsidRDefault="002D1C6D" w:rsidP="002D1C6D">
            <w:pPr>
              <w:rPr>
                <w:sz w:val="18"/>
                <w:szCs w:val="18"/>
              </w:rPr>
            </w:pPr>
            <w:r w:rsidRPr="002D1C6D">
              <w:rPr>
                <w:sz w:val="18"/>
                <w:szCs w:val="18"/>
              </w:rPr>
              <w:t xml:space="preserve">Snížení průměrné doby reakce na hrozící či nastalé bezpečnostní riziko </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FFFFFF"/>
            <w:vAlign w:val="bottom"/>
            <w:hideMark/>
          </w:tcPr>
          <w:p w:rsidR="002D1C6D" w:rsidRPr="002D1C6D" w:rsidRDefault="000D4AFF" w:rsidP="002D1C6D">
            <w:pPr>
              <w:jc w:val="right"/>
              <w:rPr>
                <w:color w:val="000000"/>
                <w:sz w:val="18"/>
                <w:szCs w:val="18"/>
              </w:rPr>
            </w:pPr>
            <w:r>
              <w:rPr>
                <w:color w:val="000000"/>
                <w:sz w:val="18"/>
                <w:szCs w:val="18"/>
              </w:rPr>
              <w:t>100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FFFFFF"/>
            <w:vAlign w:val="bottom"/>
            <w:hideMark/>
          </w:tcPr>
          <w:p w:rsidR="002D1C6D" w:rsidRPr="002D1C6D" w:rsidRDefault="000D4AFF" w:rsidP="002D1C6D">
            <w:pPr>
              <w:jc w:val="right"/>
              <w:rPr>
                <w:color w:val="000000"/>
                <w:sz w:val="18"/>
                <w:szCs w:val="18"/>
              </w:rPr>
            </w:pPr>
            <w:r>
              <w:rPr>
                <w:color w:val="000000"/>
                <w:sz w:val="18"/>
                <w:szCs w:val="18"/>
              </w:rPr>
              <w:t>100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D8E4BC"/>
            <w:vAlign w:val="bottom"/>
            <w:hideMark/>
          </w:tcPr>
          <w:p w:rsidR="002D1C6D" w:rsidRPr="002D1C6D" w:rsidRDefault="000D4AFF" w:rsidP="002D1C6D">
            <w:pPr>
              <w:jc w:val="right"/>
              <w:rPr>
                <w:color w:val="000000"/>
                <w:sz w:val="18"/>
                <w:szCs w:val="18"/>
              </w:rPr>
            </w:pPr>
            <w:r>
              <w:rPr>
                <w:color w:val="000000"/>
                <w:sz w:val="18"/>
                <w:szCs w:val="18"/>
              </w:rPr>
              <w:t>100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240" w:type="pct"/>
            <w:shd w:val="clear" w:color="000000" w:fill="D8E4BC"/>
            <w:vAlign w:val="bottom"/>
            <w:hideMark/>
          </w:tcPr>
          <w:p w:rsidR="002D1C6D" w:rsidRPr="002D1C6D" w:rsidRDefault="000D4AFF" w:rsidP="002D1C6D">
            <w:pPr>
              <w:jc w:val="right"/>
              <w:rPr>
                <w:color w:val="000000"/>
                <w:sz w:val="18"/>
                <w:szCs w:val="18"/>
              </w:rPr>
            </w:pPr>
            <w:r>
              <w:rPr>
                <w:color w:val="000000"/>
                <w:sz w:val="18"/>
                <w:szCs w:val="18"/>
              </w:rPr>
              <w:t>100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100</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100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75</w:t>
            </w:r>
          </w:p>
        </w:tc>
        <w:tc>
          <w:tcPr>
            <w:tcW w:w="288" w:type="pct"/>
            <w:shd w:val="clear" w:color="auto" w:fill="auto"/>
            <w:noWrap/>
            <w:vAlign w:val="bottom"/>
            <w:hideMark/>
          </w:tcPr>
          <w:p w:rsidR="002D1C6D" w:rsidRPr="002D1C6D" w:rsidRDefault="002D1C6D" w:rsidP="002D1C6D">
            <w:pPr>
              <w:jc w:val="right"/>
              <w:rPr>
                <w:color w:val="000000"/>
                <w:sz w:val="18"/>
                <w:szCs w:val="18"/>
              </w:rPr>
            </w:pPr>
            <w:r w:rsidRPr="002D1C6D">
              <w:rPr>
                <w:color w:val="000000"/>
                <w:sz w:val="18"/>
                <w:szCs w:val="18"/>
              </w:rPr>
              <w:t>75</w:t>
            </w:r>
          </w:p>
        </w:tc>
      </w:tr>
      <w:tr w:rsidR="009A4749" w:rsidRPr="002D1C6D" w:rsidTr="009A4749">
        <w:trPr>
          <w:trHeight w:val="300"/>
        </w:trPr>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260404</w:t>
            </w:r>
          </w:p>
        </w:tc>
        <w:tc>
          <w:tcPr>
            <w:tcW w:w="1161" w:type="pct"/>
            <w:vMerge w:val="restart"/>
            <w:shd w:val="clear" w:color="000000" w:fill="FFFFFF"/>
            <w:vAlign w:val="center"/>
            <w:hideMark/>
          </w:tcPr>
          <w:p w:rsidR="002D1C6D" w:rsidRPr="002D1C6D" w:rsidRDefault="002D1C6D" w:rsidP="00C75EF1">
            <w:pPr>
              <w:rPr>
                <w:sz w:val="18"/>
                <w:szCs w:val="18"/>
              </w:rPr>
            </w:pPr>
            <w:r w:rsidRPr="002D1C6D">
              <w:rPr>
                <w:sz w:val="18"/>
                <w:szCs w:val="18"/>
              </w:rPr>
              <w:t>Vytvoření nových kapacit pro efektivní zajištění poskytování humanitární pomoci jiným zemím</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m 2</w:t>
            </w:r>
          </w:p>
        </w:tc>
        <w:tc>
          <w:tcPr>
            <w:tcW w:w="330" w:type="pct"/>
            <w:vMerge w:val="restart"/>
            <w:shd w:val="clear" w:color="auto" w:fill="auto"/>
            <w:noWrap/>
            <w:vAlign w:val="center"/>
            <w:hideMark/>
          </w:tcPr>
          <w:p w:rsidR="002D1C6D" w:rsidRPr="002D1C6D" w:rsidRDefault="002D1C6D" w:rsidP="002D1C6D">
            <w:pPr>
              <w:rPr>
                <w:color w:val="000000"/>
                <w:sz w:val="18"/>
                <w:szCs w:val="18"/>
              </w:rPr>
            </w:pPr>
            <w:r w:rsidRPr="002D1C6D">
              <w:rPr>
                <w:color w:val="000000"/>
                <w:sz w:val="18"/>
                <w:szCs w:val="18"/>
              </w:rPr>
              <w:t>ŘO IOP</w:t>
            </w:r>
          </w:p>
        </w:tc>
        <w:tc>
          <w:tcPr>
            <w:tcW w:w="330" w:type="pct"/>
            <w:shd w:val="clear" w:color="000000" w:fill="FFFFFF"/>
            <w:noWrap/>
            <w:vAlign w:val="bottom"/>
            <w:hideMark/>
          </w:tcPr>
          <w:p w:rsidR="002D1C6D" w:rsidRPr="002D1C6D" w:rsidRDefault="002D1C6D" w:rsidP="002D1C6D">
            <w:pPr>
              <w:jc w:val="center"/>
              <w:rPr>
                <w:color w:val="000000"/>
                <w:sz w:val="18"/>
                <w:szCs w:val="18"/>
              </w:rPr>
            </w:pPr>
            <w:r w:rsidRPr="002D1C6D">
              <w:rPr>
                <w:color w:val="000000"/>
                <w:sz w:val="18"/>
                <w:szCs w:val="18"/>
              </w:rPr>
              <w:t>Dosažená</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2500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2500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2500</w:t>
            </w:r>
          </w:p>
        </w:tc>
        <w:tc>
          <w:tcPr>
            <w:tcW w:w="240" w:type="pct"/>
            <w:shd w:val="clear" w:color="000000" w:fill="FFFFFF"/>
            <w:vAlign w:val="bottom"/>
            <w:hideMark/>
          </w:tcPr>
          <w:p w:rsidR="002D1C6D" w:rsidRPr="002D1C6D" w:rsidRDefault="002D1C6D" w:rsidP="002D1C6D">
            <w:pPr>
              <w:jc w:val="right"/>
              <w:rPr>
                <w:color w:val="000000"/>
                <w:sz w:val="18"/>
                <w:szCs w:val="18"/>
              </w:rPr>
            </w:pPr>
            <w:r w:rsidRPr="002D1C6D">
              <w:rPr>
                <w:color w:val="000000"/>
                <w:sz w:val="18"/>
                <w:szCs w:val="18"/>
              </w:rPr>
              <w:t>2500</w:t>
            </w:r>
          </w:p>
        </w:tc>
        <w:tc>
          <w:tcPr>
            <w:tcW w:w="309"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FFFFFF"/>
            <w:noWrap/>
            <w:vAlign w:val="bottom"/>
            <w:hideMark/>
          </w:tcPr>
          <w:p w:rsidR="002D1C6D" w:rsidRPr="002D1C6D" w:rsidRDefault="002D1C6D" w:rsidP="002D1C6D">
            <w:pPr>
              <w:jc w:val="right"/>
              <w:rPr>
                <w:color w:val="000000"/>
                <w:sz w:val="18"/>
                <w:szCs w:val="18"/>
              </w:rPr>
            </w:pPr>
            <w:r w:rsidRPr="002D1C6D">
              <w:rPr>
                <w:color w:val="000000"/>
                <w:sz w:val="18"/>
                <w:szCs w:val="18"/>
              </w:rPr>
              <w:t>2500</w:t>
            </w:r>
          </w:p>
        </w:tc>
      </w:tr>
      <w:tr w:rsidR="009A4749"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000000" w:fill="D8E4BC"/>
            <w:noWrap/>
            <w:vAlign w:val="bottom"/>
            <w:hideMark/>
          </w:tcPr>
          <w:p w:rsidR="002D1C6D" w:rsidRPr="002D1C6D" w:rsidRDefault="002D1C6D" w:rsidP="002D1C6D">
            <w:pPr>
              <w:jc w:val="center"/>
              <w:rPr>
                <w:color w:val="000000"/>
                <w:sz w:val="18"/>
                <w:szCs w:val="18"/>
              </w:rPr>
            </w:pPr>
            <w:r w:rsidRPr="002D1C6D">
              <w:rPr>
                <w:color w:val="000000"/>
                <w:sz w:val="18"/>
                <w:szCs w:val="18"/>
              </w:rPr>
              <w:t>Výchozí</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2500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2500</w:t>
            </w:r>
          </w:p>
        </w:tc>
        <w:tc>
          <w:tcPr>
            <w:tcW w:w="240" w:type="pct"/>
            <w:shd w:val="clear" w:color="000000" w:fill="D8E4BC"/>
            <w:vAlign w:val="bottom"/>
            <w:hideMark/>
          </w:tcPr>
          <w:p w:rsidR="002D1C6D" w:rsidRPr="002D1C6D" w:rsidRDefault="002D1C6D" w:rsidP="002D1C6D">
            <w:pPr>
              <w:jc w:val="right"/>
              <w:rPr>
                <w:color w:val="000000"/>
                <w:sz w:val="18"/>
                <w:szCs w:val="18"/>
              </w:rPr>
            </w:pPr>
            <w:r w:rsidRPr="002D1C6D">
              <w:rPr>
                <w:color w:val="000000"/>
                <w:sz w:val="18"/>
                <w:szCs w:val="18"/>
              </w:rPr>
              <w:t>2500</w:t>
            </w:r>
          </w:p>
        </w:tc>
        <w:tc>
          <w:tcPr>
            <w:tcW w:w="309"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N/A</w:t>
            </w:r>
          </w:p>
        </w:tc>
        <w:tc>
          <w:tcPr>
            <w:tcW w:w="288" w:type="pct"/>
            <w:shd w:val="clear" w:color="000000" w:fill="D8E4BC"/>
            <w:noWrap/>
            <w:vAlign w:val="bottom"/>
            <w:hideMark/>
          </w:tcPr>
          <w:p w:rsidR="002D1C6D" w:rsidRPr="002D1C6D" w:rsidRDefault="002D1C6D" w:rsidP="002D1C6D">
            <w:pPr>
              <w:jc w:val="right"/>
              <w:rPr>
                <w:color w:val="000000"/>
                <w:sz w:val="18"/>
                <w:szCs w:val="18"/>
              </w:rPr>
            </w:pPr>
            <w:r w:rsidRPr="002D1C6D">
              <w:rPr>
                <w:color w:val="000000"/>
                <w:sz w:val="18"/>
                <w:szCs w:val="18"/>
              </w:rPr>
              <w:t>0</w:t>
            </w:r>
          </w:p>
        </w:tc>
      </w:tr>
      <w:tr w:rsidR="002D1C6D" w:rsidRPr="002D1C6D" w:rsidTr="009A4749">
        <w:trPr>
          <w:trHeight w:val="300"/>
        </w:trPr>
        <w:tc>
          <w:tcPr>
            <w:tcW w:w="330" w:type="pct"/>
            <w:vMerge/>
            <w:vAlign w:val="center"/>
            <w:hideMark/>
          </w:tcPr>
          <w:p w:rsidR="002D1C6D" w:rsidRPr="002D1C6D" w:rsidRDefault="002D1C6D" w:rsidP="002D1C6D">
            <w:pPr>
              <w:rPr>
                <w:color w:val="000000"/>
                <w:sz w:val="18"/>
                <w:szCs w:val="18"/>
              </w:rPr>
            </w:pPr>
          </w:p>
        </w:tc>
        <w:tc>
          <w:tcPr>
            <w:tcW w:w="1161" w:type="pct"/>
            <w:vMerge/>
            <w:vAlign w:val="center"/>
            <w:hideMark/>
          </w:tcPr>
          <w:p w:rsidR="002D1C6D" w:rsidRPr="002D1C6D" w:rsidRDefault="002D1C6D" w:rsidP="002D1C6D">
            <w:pPr>
              <w:rPr>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vMerge/>
            <w:vAlign w:val="center"/>
            <w:hideMark/>
          </w:tcPr>
          <w:p w:rsidR="002D1C6D" w:rsidRPr="002D1C6D" w:rsidRDefault="002D1C6D" w:rsidP="002D1C6D">
            <w:pPr>
              <w:rPr>
                <w:color w:val="000000"/>
                <w:sz w:val="18"/>
                <w:szCs w:val="18"/>
              </w:rPr>
            </w:pPr>
          </w:p>
        </w:tc>
        <w:tc>
          <w:tcPr>
            <w:tcW w:w="330"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Plánovaná</w:t>
            </w:r>
          </w:p>
        </w:tc>
        <w:tc>
          <w:tcPr>
            <w:tcW w:w="1923" w:type="pct"/>
            <w:gridSpan w:val="8"/>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N/A</w:t>
            </w:r>
          </w:p>
        </w:tc>
        <w:tc>
          <w:tcPr>
            <w:tcW w:w="309"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3450</w:t>
            </w:r>
          </w:p>
        </w:tc>
        <w:tc>
          <w:tcPr>
            <w:tcW w:w="288" w:type="pct"/>
            <w:shd w:val="clear" w:color="auto" w:fill="auto"/>
            <w:noWrap/>
            <w:vAlign w:val="bottom"/>
            <w:hideMark/>
          </w:tcPr>
          <w:p w:rsidR="002D1C6D" w:rsidRPr="002D1C6D" w:rsidRDefault="002D1C6D" w:rsidP="002D1C6D">
            <w:pPr>
              <w:jc w:val="center"/>
              <w:rPr>
                <w:color w:val="000000"/>
                <w:sz w:val="18"/>
                <w:szCs w:val="18"/>
              </w:rPr>
            </w:pPr>
            <w:r w:rsidRPr="002D1C6D">
              <w:rPr>
                <w:color w:val="000000"/>
                <w:sz w:val="18"/>
                <w:szCs w:val="18"/>
              </w:rPr>
              <w:t>3450</w:t>
            </w:r>
          </w:p>
        </w:tc>
      </w:tr>
    </w:tbl>
    <w:p w:rsidR="00A75862" w:rsidRDefault="00C67BDD" w:rsidP="00FE58B5">
      <w:pPr>
        <w:jc w:val="both"/>
      </w:pPr>
      <w:r w:rsidRPr="00555962">
        <w:rPr>
          <w:i/>
          <w:sz w:val="18"/>
          <w:szCs w:val="18"/>
        </w:rPr>
        <w:t xml:space="preserve">Zdroj: MSC 2007 </w:t>
      </w:r>
      <w:r>
        <w:rPr>
          <w:i/>
          <w:sz w:val="18"/>
          <w:szCs w:val="18"/>
        </w:rPr>
        <w:t>ke dni</w:t>
      </w:r>
      <w:r w:rsidRPr="00555962">
        <w:rPr>
          <w:i/>
          <w:sz w:val="18"/>
          <w:szCs w:val="18"/>
        </w:rPr>
        <w:t xml:space="preserve"> </w:t>
      </w:r>
      <w:r w:rsidR="00E5620D">
        <w:rPr>
          <w:i/>
          <w:sz w:val="18"/>
          <w:szCs w:val="18"/>
        </w:rPr>
        <w:t>2</w:t>
      </w:r>
      <w:r w:rsidR="00E5620D" w:rsidRPr="00555962">
        <w:rPr>
          <w:i/>
          <w:sz w:val="18"/>
          <w:szCs w:val="18"/>
        </w:rPr>
        <w:t>.</w:t>
      </w:r>
      <w:r w:rsidR="00E5620D">
        <w:rPr>
          <w:i/>
          <w:sz w:val="18"/>
          <w:szCs w:val="18"/>
        </w:rPr>
        <w:t xml:space="preserve"> 3. 2015</w:t>
      </w:r>
    </w:p>
    <w:p w:rsidR="00A75862" w:rsidRDefault="00A75862" w:rsidP="00D90A2E">
      <w:pPr>
        <w:spacing w:after="120"/>
        <w:jc w:val="both"/>
        <w:sectPr w:rsidR="00A75862" w:rsidSect="006A65A7">
          <w:pgSz w:w="16838" w:h="11906" w:orient="landscape"/>
          <w:pgMar w:top="1417" w:right="1417" w:bottom="1417" w:left="1417" w:header="708" w:footer="708" w:gutter="0"/>
          <w:cols w:space="708"/>
          <w:docGrid w:linePitch="272"/>
        </w:sectPr>
      </w:pPr>
    </w:p>
    <w:p w:rsidR="00A75862" w:rsidRDefault="00911229" w:rsidP="00184E0A">
      <w:pPr>
        <w:jc w:val="both"/>
        <w:rPr>
          <w:b/>
          <w:sz w:val="24"/>
          <w:szCs w:val="24"/>
        </w:rPr>
      </w:pPr>
      <w:r w:rsidRPr="00796E0A">
        <w:rPr>
          <w:b/>
          <w:sz w:val="24"/>
          <w:szCs w:val="24"/>
        </w:rPr>
        <w:lastRenderedPageBreak/>
        <w:t>3.</w:t>
      </w:r>
      <w:r>
        <w:rPr>
          <w:b/>
          <w:sz w:val="24"/>
          <w:szCs w:val="24"/>
        </w:rPr>
        <w:t>3</w:t>
      </w:r>
      <w:r w:rsidRPr="00796E0A">
        <w:rPr>
          <w:b/>
          <w:sz w:val="24"/>
          <w:szCs w:val="24"/>
        </w:rPr>
        <w:t>.</w:t>
      </w:r>
      <w:r>
        <w:rPr>
          <w:b/>
          <w:sz w:val="24"/>
          <w:szCs w:val="24"/>
        </w:rPr>
        <w:t>1.</w:t>
      </w:r>
      <w:r w:rsidRPr="00796E0A">
        <w:rPr>
          <w:b/>
          <w:sz w:val="24"/>
          <w:szCs w:val="24"/>
        </w:rPr>
        <w:t xml:space="preserve"> B Kvalitativní</w:t>
      </w:r>
      <w:r w:rsidR="00A75862" w:rsidRPr="00796E0A">
        <w:rPr>
          <w:b/>
          <w:sz w:val="24"/>
          <w:szCs w:val="24"/>
        </w:rPr>
        <w:t xml:space="preserve"> analýza</w:t>
      </w:r>
    </w:p>
    <w:p w:rsidR="00A75862" w:rsidRDefault="00A75862" w:rsidP="00184E0A">
      <w:pPr>
        <w:jc w:val="both"/>
        <w:rPr>
          <w:b/>
          <w:sz w:val="24"/>
          <w:szCs w:val="24"/>
        </w:rPr>
      </w:pPr>
    </w:p>
    <w:p w:rsidR="00A75862" w:rsidRDefault="00A75862" w:rsidP="004D5C36">
      <w:pPr>
        <w:jc w:val="both"/>
        <w:rPr>
          <w:b/>
          <w:sz w:val="22"/>
          <w:szCs w:val="22"/>
        </w:rPr>
      </w:pPr>
      <w:r w:rsidRPr="00B52CF0">
        <w:rPr>
          <w:b/>
          <w:sz w:val="22"/>
          <w:szCs w:val="22"/>
        </w:rPr>
        <w:t>Finanční pokrok</w:t>
      </w:r>
    </w:p>
    <w:p w:rsidR="00A75862" w:rsidRDefault="00A75862" w:rsidP="004D5C36">
      <w:pPr>
        <w:jc w:val="both"/>
        <w:rPr>
          <w:b/>
          <w:sz w:val="22"/>
          <w:szCs w:val="22"/>
        </w:rPr>
      </w:pPr>
    </w:p>
    <w:p w:rsidR="00A75862" w:rsidRDefault="00A75862" w:rsidP="004D5C36">
      <w:pPr>
        <w:jc w:val="both"/>
        <w:rPr>
          <w:rStyle w:val="slovnik"/>
          <w:b/>
          <w:sz w:val="22"/>
          <w:szCs w:val="22"/>
        </w:rPr>
      </w:pPr>
      <w:r>
        <w:rPr>
          <w:rStyle w:val="slovnik"/>
          <w:b/>
          <w:sz w:val="22"/>
          <w:szCs w:val="22"/>
        </w:rPr>
        <w:t>O</w:t>
      </w:r>
      <w:r w:rsidRPr="00DF0769">
        <w:rPr>
          <w:rStyle w:val="slovnik"/>
          <w:b/>
          <w:sz w:val="22"/>
          <w:szCs w:val="22"/>
        </w:rPr>
        <w:t>blast intervence 3.</w:t>
      </w:r>
      <w:r>
        <w:rPr>
          <w:rStyle w:val="slovnik"/>
          <w:b/>
          <w:sz w:val="22"/>
          <w:szCs w:val="22"/>
        </w:rPr>
        <w:t>1</w:t>
      </w:r>
    </w:p>
    <w:p w:rsidR="00A13792" w:rsidRDefault="00A13792" w:rsidP="00A13792">
      <w:pPr>
        <w:jc w:val="both"/>
        <w:rPr>
          <w:sz w:val="22"/>
          <w:szCs w:val="22"/>
        </w:rPr>
      </w:pPr>
      <w:r>
        <w:rPr>
          <w:sz w:val="22"/>
          <w:szCs w:val="22"/>
        </w:rPr>
        <w:t xml:space="preserve">V porovnání s rokem 2013 došlo ke snížení finančních prostředků krytých Rozhodnutím nebo Smlouvou o 1 148 tis. EUR (CZV). Důvodem bylo odstoupení příjemců u 21 projektů v této prioritní ose za rok 2014.  </w:t>
      </w:r>
    </w:p>
    <w:p w:rsidR="00A13792" w:rsidRDefault="00A13792" w:rsidP="00A13792">
      <w:pPr>
        <w:jc w:val="both"/>
        <w:rPr>
          <w:sz w:val="22"/>
          <w:szCs w:val="22"/>
        </w:rPr>
      </w:pPr>
      <w:r>
        <w:rPr>
          <w:sz w:val="22"/>
          <w:szCs w:val="22"/>
        </w:rPr>
        <w:t xml:space="preserve">Naopak u proplacených a certifikovaných prostředků došlo za rok 2014 k podstatnému nárůstu v porovnání s rokem 2013. Za rok 2014 byly certifikovány prostředky v celkové hodnotě 12,786 </w:t>
      </w:r>
      <w:r w:rsidR="0095318B">
        <w:rPr>
          <w:sz w:val="22"/>
          <w:szCs w:val="22"/>
        </w:rPr>
        <w:t>m</w:t>
      </w:r>
      <w:bookmarkStart w:id="187" w:name="_GoBack"/>
      <w:bookmarkEnd w:id="187"/>
      <w:r w:rsidR="0095318B">
        <w:rPr>
          <w:sz w:val="22"/>
          <w:szCs w:val="22"/>
        </w:rPr>
        <w:t>il</w:t>
      </w:r>
      <w:r>
        <w:rPr>
          <w:sz w:val="22"/>
          <w:szCs w:val="22"/>
        </w:rPr>
        <w:t>. EUR (podíl EU), přičemž MMR na počátku roku 2014 stanovilo jako nutný objem výdajů k certifikaci (pravidlo n+2) částku ve výši 8 793 110 EUR. Tohoto příznivého vývoje bylo dosaženo proto, že příjemci byli vyzváni k etapizaci projektů a předkládání žádostí o platbu nejpozději v září 2014 za účelem maximálního čerpání finančních prostředků v roce 2014.</w:t>
      </w:r>
    </w:p>
    <w:p w:rsidR="00FE2FF2" w:rsidRDefault="00FE2FF2" w:rsidP="004D5C36">
      <w:pPr>
        <w:jc w:val="both"/>
        <w:rPr>
          <w:b/>
          <w:sz w:val="22"/>
          <w:szCs w:val="22"/>
        </w:rPr>
      </w:pPr>
    </w:p>
    <w:p w:rsidR="00A75862" w:rsidRDefault="00A75862" w:rsidP="00D01014">
      <w:pPr>
        <w:jc w:val="both"/>
        <w:rPr>
          <w:rStyle w:val="slovnik"/>
          <w:b/>
          <w:sz w:val="22"/>
          <w:szCs w:val="22"/>
        </w:rPr>
      </w:pPr>
      <w:r>
        <w:rPr>
          <w:rStyle w:val="slovnik"/>
          <w:b/>
          <w:sz w:val="22"/>
          <w:szCs w:val="22"/>
        </w:rPr>
        <w:t>O</w:t>
      </w:r>
      <w:r w:rsidRPr="00DF0769">
        <w:rPr>
          <w:rStyle w:val="slovnik"/>
          <w:b/>
          <w:sz w:val="22"/>
          <w:szCs w:val="22"/>
        </w:rPr>
        <w:t>blast intervence 3.2</w:t>
      </w:r>
    </w:p>
    <w:p w:rsidR="007A1D9C" w:rsidRDefault="007A1D9C" w:rsidP="007A1D9C">
      <w:pPr>
        <w:jc w:val="both"/>
        <w:rPr>
          <w:sz w:val="22"/>
          <w:szCs w:val="22"/>
        </w:rPr>
      </w:pPr>
      <w:r w:rsidRPr="00CE2C9B">
        <w:rPr>
          <w:sz w:val="22"/>
          <w:szCs w:val="22"/>
        </w:rPr>
        <w:t xml:space="preserve">Ke konci roku 2014 je v oblasti intervence 3.2 </w:t>
      </w:r>
      <w:proofErr w:type="spellStart"/>
      <w:r w:rsidRPr="00CE2C9B">
        <w:rPr>
          <w:sz w:val="22"/>
          <w:szCs w:val="22"/>
        </w:rPr>
        <w:t>zasmluvněno</w:t>
      </w:r>
      <w:proofErr w:type="spellEnd"/>
      <w:r w:rsidRPr="00CE2C9B">
        <w:rPr>
          <w:sz w:val="22"/>
          <w:szCs w:val="22"/>
        </w:rPr>
        <w:t xml:space="preserve"> celkem 94,5 % (EU zdroje) resp. 95,2 % (CZV) prostředků. Podíl certifikovaných výdajů je na úrovni 71,9 % (EU zdroje) resp. 72,5 % (CZV). Oproti předchozímu roku došlo v oblasti certifikovaných výdajů k nárůstu o 15 %. Díky zavedeným opatřením k urychlení čerpání finančních prostředků směrem k příjemcům dotací a díky efektiv</w:t>
      </w:r>
      <w:r>
        <w:rPr>
          <w:sz w:val="22"/>
          <w:szCs w:val="22"/>
        </w:rPr>
        <w:t>nějším</w:t>
      </w:r>
      <w:r w:rsidRPr="00CE2C9B">
        <w:rPr>
          <w:sz w:val="22"/>
          <w:szCs w:val="22"/>
        </w:rPr>
        <w:t xml:space="preserve"> kontrolní</w:t>
      </w:r>
      <w:r>
        <w:rPr>
          <w:sz w:val="22"/>
          <w:szCs w:val="22"/>
        </w:rPr>
        <w:t>m</w:t>
      </w:r>
      <w:r w:rsidRPr="00CE2C9B">
        <w:rPr>
          <w:sz w:val="22"/>
          <w:szCs w:val="22"/>
        </w:rPr>
        <w:t xml:space="preserve"> procesů</w:t>
      </w:r>
      <w:r>
        <w:rPr>
          <w:sz w:val="22"/>
          <w:szCs w:val="22"/>
        </w:rPr>
        <w:t>m</w:t>
      </w:r>
      <w:r w:rsidRPr="00CE2C9B">
        <w:rPr>
          <w:sz w:val="22"/>
          <w:szCs w:val="22"/>
        </w:rPr>
        <w:t xml:space="preserve"> se podařilo administrovat enormní počet žádostí o platbu</w:t>
      </w:r>
      <w:r>
        <w:rPr>
          <w:sz w:val="22"/>
          <w:szCs w:val="22"/>
        </w:rPr>
        <w:t xml:space="preserve"> a</w:t>
      </w:r>
      <w:r w:rsidRPr="00CE2C9B">
        <w:rPr>
          <w:sz w:val="22"/>
          <w:szCs w:val="22"/>
        </w:rPr>
        <w:t xml:space="preserve"> v</w:t>
      </w:r>
      <w:r>
        <w:rPr>
          <w:sz w:val="22"/>
          <w:szCs w:val="22"/>
        </w:rPr>
        <w:t>rostl objem</w:t>
      </w:r>
      <w:r w:rsidRPr="00CE2C9B">
        <w:rPr>
          <w:sz w:val="22"/>
          <w:szCs w:val="22"/>
        </w:rPr>
        <w:t xml:space="preserve"> prostředků proplacených příjemcům (cca 75 % z celkové alokace).</w:t>
      </w:r>
    </w:p>
    <w:p w:rsidR="00CE2C9B" w:rsidRDefault="00CE2C9B" w:rsidP="00F35CE4">
      <w:pPr>
        <w:jc w:val="both"/>
        <w:rPr>
          <w:rStyle w:val="slovnik"/>
          <w:b/>
          <w:sz w:val="22"/>
          <w:szCs w:val="22"/>
        </w:rPr>
      </w:pPr>
    </w:p>
    <w:p w:rsidR="00DA7CB7" w:rsidRDefault="00A75862" w:rsidP="00DA7CB7">
      <w:pPr>
        <w:jc w:val="both"/>
        <w:rPr>
          <w:sz w:val="22"/>
          <w:szCs w:val="22"/>
        </w:rPr>
      </w:pPr>
      <w:r>
        <w:rPr>
          <w:rStyle w:val="slovnik"/>
          <w:b/>
          <w:sz w:val="22"/>
          <w:szCs w:val="22"/>
        </w:rPr>
        <w:t>O</w:t>
      </w:r>
      <w:r w:rsidRPr="00DF0769">
        <w:rPr>
          <w:rStyle w:val="slovnik"/>
          <w:b/>
          <w:sz w:val="22"/>
          <w:szCs w:val="22"/>
        </w:rPr>
        <w:t>blast intervence 3.</w:t>
      </w:r>
      <w:r>
        <w:rPr>
          <w:rStyle w:val="slovnik"/>
          <w:b/>
          <w:sz w:val="22"/>
          <w:szCs w:val="22"/>
        </w:rPr>
        <w:t>3</w:t>
      </w:r>
      <w:r w:rsidR="00DA7CB7" w:rsidRPr="00DA7CB7">
        <w:rPr>
          <w:sz w:val="22"/>
          <w:szCs w:val="22"/>
        </w:rPr>
        <w:t xml:space="preserve"> </w:t>
      </w:r>
    </w:p>
    <w:p w:rsidR="00DA7CB7" w:rsidRDefault="00DA7CB7" w:rsidP="00DA7CB7">
      <w:pPr>
        <w:jc w:val="both"/>
        <w:rPr>
          <w:sz w:val="22"/>
          <w:szCs w:val="22"/>
        </w:rPr>
      </w:pPr>
      <w:r>
        <w:rPr>
          <w:sz w:val="22"/>
          <w:szCs w:val="22"/>
        </w:rPr>
        <w:t xml:space="preserve">Oproti roku 2013 došlo ke snížení finančních prostředků krytých Rozhodnutím / Smlouvou (dodatkem) o 11 116 618 EUR (celkové způsobilé výdaje). Důvodem bylo odstoupení příjemců od realizace projektu a zároveň snížení finančních prostředků na jednotlivých Rozhodnutích na základě zrealizovaných zakázek. </w:t>
      </w:r>
    </w:p>
    <w:p w:rsidR="00A75862" w:rsidRPr="000E0B72" w:rsidRDefault="00DA7CB7" w:rsidP="000E0B72">
      <w:pPr>
        <w:spacing w:after="120"/>
        <w:jc w:val="both"/>
        <w:rPr>
          <w:sz w:val="22"/>
          <w:szCs w:val="22"/>
        </w:rPr>
      </w:pPr>
      <w:r>
        <w:rPr>
          <w:sz w:val="22"/>
          <w:szCs w:val="22"/>
        </w:rPr>
        <w:t>U proplacených a certifikovaných prostředků došlo oproti roku 2013 k mírnému zvýšení. U proplacených prostředků došlo k navýšení o 2 740 296 EUR (celkové způsobilé výdaje), u certifikovaných prostředků činilo navýšení 3 328 322 EUR (celkové způsobilé výdaje). K 31. 12. 2014 byly certifikovány finanční prostředky ve výši 51,5 % alokace.</w:t>
      </w:r>
    </w:p>
    <w:p w:rsidR="00A75862" w:rsidRPr="00161EC2" w:rsidRDefault="00A75862" w:rsidP="00F35CE4">
      <w:pPr>
        <w:rPr>
          <w:rFonts w:ascii="Arial" w:hAnsi="Arial" w:cs="Arial"/>
          <w:sz w:val="16"/>
          <w:szCs w:val="16"/>
          <w:lang w:eastAsia="en-US"/>
        </w:rPr>
      </w:pPr>
    </w:p>
    <w:p w:rsidR="00AB5EAA" w:rsidRDefault="00A75862" w:rsidP="008936D8">
      <w:pPr>
        <w:jc w:val="both"/>
        <w:rPr>
          <w:rStyle w:val="slovnik"/>
          <w:b/>
          <w:sz w:val="22"/>
          <w:szCs w:val="22"/>
        </w:rPr>
      </w:pPr>
      <w:r>
        <w:rPr>
          <w:rStyle w:val="slovnik"/>
          <w:b/>
          <w:sz w:val="22"/>
          <w:szCs w:val="22"/>
        </w:rPr>
        <w:t>O</w:t>
      </w:r>
      <w:r w:rsidRPr="00DF0769">
        <w:rPr>
          <w:rStyle w:val="slovnik"/>
          <w:b/>
          <w:sz w:val="22"/>
          <w:szCs w:val="22"/>
        </w:rPr>
        <w:t>blast intervence 3</w:t>
      </w:r>
      <w:r>
        <w:rPr>
          <w:rStyle w:val="slovnik"/>
          <w:b/>
          <w:sz w:val="22"/>
          <w:szCs w:val="22"/>
        </w:rPr>
        <w:t>.4</w:t>
      </w:r>
    </w:p>
    <w:p w:rsidR="00930076" w:rsidRDefault="00930076" w:rsidP="008936D8">
      <w:pPr>
        <w:jc w:val="both"/>
        <w:rPr>
          <w:sz w:val="22"/>
          <w:szCs w:val="22"/>
        </w:rPr>
      </w:pPr>
      <w:r w:rsidRPr="00930076">
        <w:rPr>
          <w:sz w:val="22"/>
          <w:szCs w:val="22"/>
        </w:rPr>
        <w:t>Faktory ovlivňující finanční pokrok v oblasti intervence jsou zejména veřejné zakázky, kt</w:t>
      </w:r>
      <w:r>
        <w:rPr>
          <w:sz w:val="22"/>
          <w:szCs w:val="22"/>
        </w:rPr>
        <w:t>e</w:t>
      </w:r>
      <w:r w:rsidRPr="00930076">
        <w:rPr>
          <w:sz w:val="22"/>
          <w:szCs w:val="22"/>
        </w:rPr>
        <w:t>ré významnou měrou zpožďují realizaci projektů a tím i čerpání finančních prostředků.</w:t>
      </w:r>
    </w:p>
    <w:p w:rsidR="00930076" w:rsidRDefault="00930076" w:rsidP="00EE0E1B">
      <w:pPr>
        <w:jc w:val="both"/>
        <w:rPr>
          <w:sz w:val="22"/>
          <w:szCs w:val="22"/>
        </w:rPr>
      </w:pPr>
      <w:r w:rsidRPr="008E1628">
        <w:rPr>
          <w:sz w:val="22"/>
          <w:szCs w:val="22"/>
        </w:rPr>
        <w:t xml:space="preserve">K 31. 12. 2014 byly schváleny žádosti v celkové výši </w:t>
      </w:r>
      <w:r w:rsidR="008E1628" w:rsidRPr="008E1628">
        <w:rPr>
          <w:sz w:val="22"/>
          <w:szCs w:val="22"/>
        </w:rPr>
        <w:t>320,8</w:t>
      </w:r>
      <w:r w:rsidRPr="008E1628">
        <w:rPr>
          <w:sz w:val="22"/>
          <w:szCs w:val="22"/>
        </w:rPr>
        <w:t xml:space="preserve"> mil. EUR, což představuje 10</w:t>
      </w:r>
      <w:r w:rsidR="008E1628" w:rsidRPr="008E1628">
        <w:rPr>
          <w:sz w:val="22"/>
          <w:szCs w:val="22"/>
        </w:rPr>
        <w:t>0,</w:t>
      </w:r>
      <w:r w:rsidRPr="008E1628">
        <w:rPr>
          <w:sz w:val="22"/>
          <w:szCs w:val="22"/>
        </w:rPr>
        <w:t xml:space="preserve">5 % alokace pro tuto oblast intervence. V roce 2014 bylo schváleno 29 projektů. Alokace oblasti byla mírně </w:t>
      </w:r>
      <w:proofErr w:type="spellStart"/>
      <w:r w:rsidRPr="008E1628">
        <w:rPr>
          <w:sz w:val="22"/>
          <w:szCs w:val="22"/>
        </w:rPr>
        <w:t>přezávazkována</w:t>
      </w:r>
      <w:proofErr w:type="spellEnd"/>
      <w:r w:rsidRPr="008E1628">
        <w:rPr>
          <w:sz w:val="22"/>
          <w:szCs w:val="22"/>
        </w:rPr>
        <w:t xml:space="preserve"> k zajištění celkového dočerpaní na konci roku 2015 započtením předpokládaných úspor z projektů </w:t>
      </w:r>
    </w:p>
    <w:p w:rsidR="00930076" w:rsidRPr="00131423" w:rsidRDefault="00930076" w:rsidP="00131423">
      <w:pPr>
        <w:jc w:val="both"/>
        <w:rPr>
          <w:color w:val="0070C0"/>
          <w:sz w:val="22"/>
          <w:szCs w:val="22"/>
        </w:rPr>
      </w:pPr>
      <w:r w:rsidRPr="008E1628">
        <w:rPr>
          <w:sz w:val="22"/>
          <w:szCs w:val="22"/>
        </w:rPr>
        <w:t>Celkově byl</w:t>
      </w:r>
      <w:r w:rsidR="007A1D9C">
        <w:rPr>
          <w:sz w:val="22"/>
          <w:szCs w:val="22"/>
        </w:rPr>
        <w:t>y</w:t>
      </w:r>
      <w:r w:rsidRPr="008E1628">
        <w:rPr>
          <w:sz w:val="22"/>
          <w:szCs w:val="22"/>
        </w:rPr>
        <w:t xml:space="preserve"> za sledované období proplacené a certifikované výdaje za 14 procentních bodů alokace oblasti</w:t>
      </w:r>
      <w:r w:rsidR="007A1D9C">
        <w:rPr>
          <w:sz w:val="22"/>
          <w:szCs w:val="22"/>
        </w:rPr>
        <w:t xml:space="preserve"> intervence</w:t>
      </w:r>
      <w:r w:rsidRPr="006C4E5D">
        <w:rPr>
          <w:color w:val="0070C0"/>
          <w:sz w:val="22"/>
          <w:szCs w:val="22"/>
        </w:rPr>
        <w:t>.</w:t>
      </w:r>
    </w:p>
    <w:p w:rsidR="00A75862" w:rsidRPr="00555962" w:rsidRDefault="00A75862" w:rsidP="00555962">
      <w:pPr>
        <w:jc w:val="both"/>
        <w:rPr>
          <w:sz w:val="22"/>
          <w:szCs w:val="22"/>
        </w:rPr>
      </w:pPr>
    </w:p>
    <w:p w:rsidR="00A75862" w:rsidRDefault="00A75862" w:rsidP="00730DDC">
      <w:pPr>
        <w:pStyle w:val="Tabulkanzev"/>
      </w:pPr>
      <w:bookmarkStart w:id="188" w:name="_Toc416431838"/>
      <w:r w:rsidRPr="00025519">
        <w:t>Finanční</w:t>
      </w:r>
      <w:r w:rsidRPr="009026D3">
        <w:t xml:space="preserve"> stav PO 3 k </w:t>
      </w:r>
      <w:bookmarkEnd w:id="188"/>
      <w:r w:rsidR="00730DDC" w:rsidRPr="009026D3">
        <w:t>31. 12. 2014</w:t>
      </w:r>
    </w:p>
    <w:tbl>
      <w:tblPr>
        <w:tblW w:w="909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9"/>
        <w:gridCol w:w="1451"/>
        <w:gridCol w:w="1355"/>
        <w:gridCol w:w="841"/>
        <w:gridCol w:w="1379"/>
        <w:gridCol w:w="798"/>
        <w:gridCol w:w="1379"/>
        <w:gridCol w:w="774"/>
      </w:tblGrid>
      <w:tr w:rsidR="005660FE" w:rsidRPr="005660FE" w:rsidTr="00131423">
        <w:trPr>
          <w:trHeight w:val="592"/>
          <w:tblHeader/>
        </w:trPr>
        <w:tc>
          <w:tcPr>
            <w:tcW w:w="1119" w:type="dxa"/>
            <w:vMerge w:val="restart"/>
            <w:shd w:val="clear" w:color="000000" w:fill="C4D79B"/>
            <w:vAlign w:val="center"/>
            <w:hideMark/>
          </w:tcPr>
          <w:p w:rsidR="005660FE" w:rsidRPr="00CA399B" w:rsidRDefault="005660FE" w:rsidP="005660FE">
            <w:pPr>
              <w:jc w:val="center"/>
              <w:rPr>
                <w:b/>
                <w:bCs/>
                <w:color w:val="000000"/>
                <w:sz w:val="16"/>
                <w:szCs w:val="16"/>
              </w:rPr>
            </w:pPr>
            <w:r w:rsidRPr="00CA399B">
              <w:rPr>
                <w:b/>
                <w:bCs/>
                <w:color w:val="000000"/>
                <w:sz w:val="16"/>
                <w:szCs w:val="16"/>
              </w:rPr>
              <w:t>Oblast podpory</w:t>
            </w:r>
          </w:p>
        </w:tc>
        <w:tc>
          <w:tcPr>
            <w:tcW w:w="1451" w:type="dxa"/>
            <w:shd w:val="clear" w:color="000000" w:fill="C4D79B"/>
            <w:vAlign w:val="center"/>
            <w:hideMark/>
          </w:tcPr>
          <w:p w:rsidR="005660FE" w:rsidRPr="005660FE" w:rsidRDefault="005660FE" w:rsidP="005660FE">
            <w:pPr>
              <w:jc w:val="center"/>
              <w:rPr>
                <w:b/>
                <w:bCs/>
                <w:color w:val="000000"/>
                <w:sz w:val="16"/>
                <w:szCs w:val="16"/>
              </w:rPr>
            </w:pPr>
            <w:r w:rsidRPr="005660FE">
              <w:rPr>
                <w:b/>
                <w:bCs/>
                <w:color w:val="000000"/>
                <w:sz w:val="16"/>
                <w:szCs w:val="16"/>
              </w:rPr>
              <w:t>Alokace podpory 2007-2013</w:t>
            </w:r>
          </w:p>
        </w:tc>
        <w:tc>
          <w:tcPr>
            <w:tcW w:w="2195" w:type="dxa"/>
            <w:gridSpan w:val="2"/>
            <w:shd w:val="clear" w:color="000000" w:fill="C4D79B"/>
            <w:vAlign w:val="center"/>
            <w:hideMark/>
          </w:tcPr>
          <w:p w:rsidR="005660FE" w:rsidRPr="005660FE" w:rsidRDefault="005660FE" w:rsidP="005660FE">
            <w:pPr>
              <w:jc w:val="center"/>
              <w:rPr>
                <w:b/>
                <w:bCs/>
                <w:color w:val="000000"/>
                <w:sz w:val="16"/>
                <w:szCs w:val="16"/>
              </w:rPr>
            </w:pPr>
            <w:r w:rsidRPr="005660FE">
              <w:rPr>
                <w:b/>
                <w:bCs/>
                <w:color w:val="000000"/>
                <w:sz w:val="16"/>
                <w:szCs w:val="16"/>
              </w:rPr>
              <w:t>Prostředky kryté Rozhodnutím / Smlouvou (dodatkem)</w:t>
            </w:r>
          </w:p>
        </w:tc>
        <w:tc>
          <w:tcPr>
            <w:tcW w:w="2177" w:type="dxa"/>
            <w:gridSpan w:val="2"/>
            <w:shd w:val="clear" w:color="000000" w:fill="C4D79B"/>
            <w:vAlign w:val="center"/>
            <w:hideMark/>
          </w:tcPr>
          <w:p w:rsidR="005660FE" w:rsidRPr="005660FE" w:rsidRDefault="005660FE" w:rsidP="005660FE">
            <w:pPr>
              <w:jc w:val="center"/>
              <w:rPr>
                <w:b/>
                <w:bCs/>
                <w:color w:val="000000"/>
                <w:sz w:val="16"/>
                <w:szCs w:val="16"/>
              </w:rPr>
            </w:pPr>
            <w:r w:rsidRPr="005660FE">
              <w:rPr>
                <w:b/>
                <w:bCs/>
                <w:color w:val="000000"/>
                <w:sz w:val="16"/>
                <w:szCs w:val="16"/>
              </w:rPr>
              <w:t>Proplacené prostředky příjemcům (vyúčtované prostředky)</w:t>
            </w:r>
          </w:p>
        </w:tc>
        <w:tc>
          <w:tcPr>
            <w:tcW w:w="2153" w:type="dxa"/>
            <w:gridSpan w:val="2"/>
            <w:shd w:val="clear" w:color="000000" w:fill="C4D79B"/>
            <w:vAlign w:val="center"/>
            <w:hideMark/>
          </w:tcPr>
          <w:p w:rsidR="005660FE" w:rsidRPr="005660FE" w:rsidRDefault="005660FE" w:rsidP="005660FE">
            <w:pPr>
              <w:jc w:val="center"/>
              <w:rPr>
                <w:b/>
                <w:bCs/>
                <w:color w:val="000000"/>
                <w:sz w:val="16"/>
                <w:szCs w:val="16"/>
              </w:rPr>
            </w:pPr>
            <w:r w:rsidRPr="005660FE">
              <w:rPr>
                <w:b/>
                <w:bCs/>
                <w:color w:val="000000"/>
                <w:sz w:val="16"/>
                <w:szCs w:val="16"/>
              </w:rPr>
              <w:t>Certifikované prostředky (včetně vratek)</w:t>
            </w:r>
          </w:p>
        </w:tc>
      </w:tr>
      <w:tr w:rsidR="005660FE" w:rsidRPr="005660FE" w:rsidTr="00131423">
        <w:trPr>
          <w:trHeight w:val="300"/>
          <w:tblHeader/>
        </w:trPr>
        <w:tc>
          <w:tcPr>
            <w:tcW w:w="1119" w:type="dxa"/>
            <w:vMerge/>
            <w:vAlign w:val="center"/>
            <w:hideMark/>
          </w:tcPr>
          <w:p w:rsidR="005660FE" w:rsidRPr="00CA399B" w:rsidRDefault="005660FE" w:rsidP="005660FE">
            <w:pPr>
              <w:rPr>
                <w:bCs/>
                <w:color w:val="000000"/>
                <w:sz w:val="16"/>
                <w:szCs w:val="16"/>
              </w:rPr>
            </w:pPr>
          </w:p>
        </w:tc>
        <w:tc>
          <w:tcPr>
            <w:tcW w:w="1451" w:type="dxa"/>
            <w:shd w:val="clear" w:color="000000" w:fill="C4D79B"/>
            <w:vAlign w:val="bottom"/>
            <w:hideMark/>
          </w:tcPr>
          <w:p w:rsidR="005660FE" w:rsidRPr="005660FE" w:rsidRDefault="005660FE" w:rsidP="005660FE">
            <w:pPr>
              <w:jc w:val="center"/>
              <w:rPr>
                <w:color w:val="000000"/>
                <w:sz w:val="18"/>
                <w:szCs w:val="18"/>
              </w:rPr>
            </w:pPr>
            <w:r w:rsidRPr="005660FE">
              <w:rPr>
                <w:color w:val="000000"/>
                <w:sz w:val="18"/>
                <w:szCs w:val="18"/>
              </w:rPr>
              <w:t>EUR</w:t>
            </w:r>
          </w:p>
        </w:tc>
        <w:tc>
          <w:tcPr>
            <w:tcW w:w="1355" w:type="dxa"/>
            <w:shd w:val="clear" w:color="000000" w:fill="C4D79B"/>
            <w:vAlign w:val="bottom"/>
            <w:hideMark/>
          </w:tcPr>
          <w:p w:rsidR="005660FE" w:rsidRPr="005660FE" w:rsidRDefault="005660FE" w:rsidP="005660FE">
            <w:pPr>
              <w:jc w:val="center"/>
              <w:rPr>
                <w:color w:val="000000"/>
                <w:sz w:val="18"/>
                <w:szCs w:val="18"/>
              </w:rPr>
            </w:pPr>
            <w:r w:rsidRPr="005660FE">
              <w:rPr>
                <w:color w:val="000000"/>
                <w:sz w:val="18"/>
                <w:szCs w:val="18"/>
              </w:rPr>
              <w:t>EUR</w:t>
            </w:r>
          </w:p>
        </w:tc>
        <w:tc>
          <w:tcPr>
            <w:tcW w:w="841" w:type="dxa"/>
            <w:shd w:val="clear" w:color="000000" w:fill="C4D79B"/>
            <w:vAlign w:val="bottom"/>
            <w:hideMark/>
          </w:tcPr>
          <w:p w:rsidR="005660FE" w:rsidRPr="005660FE" w:rsidRDefault="005660FE" w:rsidP="005660FE">
            <w:pPr>
              <w:jc w:val="center"/>
              <w:rPr>
                <w:color w:val="000000"/>
                <w:sz w:val="18"/>
                <w:szCs w:val="18"/>
              </w:rPr>
            </w:pPr>
            <w:r w:rsidRPr="005660FE">
              <w:rPr>
                <w:color w:val="000000"/>
                <w:sz w:val="18"/>
                <w:szCs w:val="18"/>
              </w:rPr>
              <w:t>%</w:t>
            </w:r>
          </w:p>
        </w:tc>
        <w:tc>
          <w:tcPr>
            <w:tcW w:w="1379" w:type="dxa"/>
            <w:shd w:val="clear" w:color="000000" w:fill="C4D79B"/>
            <w:vAlign w:val="bottom"/>
            <w:hideMark/>
          </w:tcPr>
          <w:p w:rsidR="005660FE" w:rsidRPr="005660FE" w:rsidRDefault="005660FE" w:rsidP="005660FE">
            <w:pPr>
              <w:jc w:val="center"/>
              <w:rPr>
                <w:color w:val="000000"/>
                <w:sz w:val="18"/>
                <w:szCs w:val="18"/>
              </w:rPr>
            </w:pPr>
            <w:r w:rsidRPr="005660FE">
              <w:rPr>
                <w:color w:val="000000"/>
                <w:sz w:val="18"/>
                <w:szCs w:val="18"/>
              </w:rPr>
              <w:t>EUR</w:t>
            </w:r>
          </w:p>
        </w:tc>
        <w:tc>
          <w:tcPr>
            <w:tcW w:w="798" w:type="dxa"/>
            <w:shd w:val="clear" w:color="000000" w:fill="C4D79B"/>
            <w:vAlign w:val="bottom"/>
            <w:hideMark/>
          </w:tcPr>
          <w:p w:rsidR="005660FE" w:rsidRPr="005660FE" w:rsidRDefault="005660FE" w:rsidP="005660FE">
            <w:pPr>
              <w:jc w:val="center"/>
              <w:rPr>
                <w:color w:val="000000"/>
                <w:sz w:val="18"/>
                <w:szCs w:val="18"/>
              </w:rPr>
            </w:pPr>
            <w:r w:rsidRPr="005660FE">
              <w:rPr>
                <w:color w:val="000000"/>
                <w:sz w:val="18"/>
                <w:szCs w:val="18"/>
              </w:rPr>
              <w:t>%</w:t>
            </w:r>
          </w:p>
        </w:tc>
        <w:tc>
          <w:tcPr>
            <w:tcW w:w="1379" w:type="dxa"/>
            <w:shd w:val="clear" w:color="000000" w:fill="C4D79B"/>
            <w:vAlign w:val="bottom"/>
            <w:hideMark/>
          </w:tcPr>
          <w:p w:rsidR="005660FE" w:rsidRPr="005660FE" w:rsidRDefault="005660FE" w:rsidP="005660FE">
            <w:pPr>
              <w:jc w:val="center"/>
              <w:rPr>
                <w:color w:val="000000"/>
                <w:sz w:val="18"/>
                <w:szCs w:val="18"/>
              </w:rPr>
            </w:pPr>
            <w:r w:rsidRPr="005660FE">
              <w:rPr>
                <w:color w:val="000000"/>
                <w:sz w:val="18"/>
                <w:szCs w:val="18"/>
              </w:rPr>
              <w:t>EUR</w:t>
            </w:r>
          </w:p>
        </w:tc>
        <w:tc>
          <w:tcPr>
            <w:tcW w:w="774" w:type="dxa"/>
            <w:shd w:val="clear" w:color="000000" w:fill="C4D79B"/>
            <w:vAlign w:val="bottom"/>
            <w:hideMark/>
          </w:tcPr>
          <w:p w:rsidR="005660FE" w:rsidRPr="005660FE" w:rsidRDefault="005660FE" w:rsidP="005660FE">
            <w:pPr>
              <w:jc w:val="center"/>
              <w:rPr>
                <w:color w:val="000000"/>
                <w:sz w:val="18"/>
                <w:szCs w:val="18"/>
              </w:rPr>
            </w:pPr>
            <w:r w:rsidRPr="005660FE">
              <w:rPr>
                <w:color w:val="000000"/>
                <w:sz w:val="18"/>
                <w:szCs w:val="18"/>
              </w:rPr>
              <w:t>%</w:t>
            </w:r>
          </w:p>
        </w:tc>
      </w:tr>
      <w:tr w:rsidR="005660FE" w:rsidRPr="005660FE" w:rsidTr="00131423">
        <w:trPr>
          <w:trHeight w:val="300"/>
          <w:tblHeader/>
        </w:trPr>
        <w:tc>
          <w:tcPr>
            <w:tcW w:w="1119" w:type="dxa"/>
            <w:vMerge/>
            <w:vAlign w:val="center"/>
            <w:hideMark/>
          </w:tcPr>
          <w:p w:rsidR="005660FE" w:rsidRPr="00CA399B" w:rsidRDefault="005660FE" w:rsidP="005660FE">
            <w:pPr>
              <w:rPr>
                <w:bCs/>
                <w:color w:val="000000"/>
                <w:sz w:val="16"/>
                <w:szCs w:val="16"/>
              </w:rPr>
            </w:pPr>
          </w:p>
        </w:tc>
        <w:tc>
          <w:tcPr>
            <w:tcW w:w="1451" w:type="dxa"/>
            <w:shd w:val="clear" w:color="000000" w:fill="C4D79B"/>
            <w:vAlign w:val="bottom"/>
            <w:hideMark/>
          </w:tcPr>
          <w:p w:rsidR="005660FE" w:rsidRPr="005660FE" w:rsidRDefault="005660FE" w:rsidP="005660FE">
            <w:pPr>
              <w:jc w:val="center"/>
              <w:rPr>
                <w:b/>
                <w:bCs/>
                <w:color w:val="000000"/>
                <w:sz w:val="18"/>
                <w:szCs w:val="18"/>
              </w:rPr>
            </w:pPr>
            <w:r w:rsidRPr="005660FE">
              <w:rPr>
                <w:b/>
                <w:bCs/>
                <w:color w:val="000000"/>
                <w:sz w:val="18"/>
                <w:szCs w:val="18"/>
              </w:rPr>
              <w:t xml:space="preserve">a </w:t>
            </w:r>
          </w:p>
        </w:tc>
        <w:tc>
          <w:tcPr>
            <w:tcW w:w="1355" w:type="dxa"/>
            <w:shd w:val="clear" w:color="000000" w:fill="C4D79B"/>
            <w:vAlign w:val="bottom"/>
            <w:hideMark/>
          </w:tcPr>
          <w:p w:rsidR="005660FE" w:rsidRPr="005660FE" w:rsidRDefault="005660FE" w:rsidP="005660FE">
            <w:pPr>
              <w:jc w:val="center"/>
              <w:rPr>
                <w:b/>
                <w:bCs/>
                <w:color w:val="000000"/>
                <w:sz w:val="18"/>
                <w:szCs w:val="18"/>
              </w:rPr>
            </w:pPr>
            <w:r w:rsidRPr="005660FE">
              <w:rPr>
                <w:b/>
                <w:bCs/>
                <w:color w:val="000000"/>
                <w:sz w:val="18"/>
                <w:szCs w:val="18"/>
              </w:rPr>
              <w:t xml:space="preserve">b </w:t>
            </w:r>
          </w:p>
        </w:tc>
        <w:tc>
          <w:tcPr>
            <w:tcW w:w="841" w:type="dxa"/>
            <w:shd w:val="clear" w:color="000000" w:fill="C4D79B"/>
            <w:vAlign w:val="bottom"/>
            <w:hideMark/>
          </w:tcPr>
          <w:p w:rsidR="005660FE" w:rsidRPr="005660FE" w:rsidRDefault="005660FE" w:rsidP="005660FE">
            <w:pPr>
              <w:jc w:val="center"/>
              <w:rPr>
                <w:b/>
                <w:bCs/>
                <w:color w:val="000000"/>
                <w:sz w:val="18"/>
                <w:szCs w:val="18"/>
              </w:rPr>
            </w:pPr>
            <w:r w:rsidRPr="005660FE">
              <w:rPr>
                <w:b/>
                <w:bCs/>
                <w:color w:val="000000"/>
                <w:sz w:val="18"/>
                <w:szCs w:val="18"/>
              </w:rPr>
              <w:t xml:space="preserve">b/a </w:t>
            </w:r>
          </w:p>
        </w:tc>
        <w:tc>
          <w:tcPr>
            <w:tcW w:w="1379" w:type="dxa"/>
            <w:shd w:val="clear" w:color="000000" w:fill="C4D79B"/>
            <w:vAlign w:val="bottom"/>
            <w:hideMark/>
          </w:tcPr>
          <w:p w:rsidR="005660FE" w:rsidRPr="005660FE" w:rsidRDefault="005660FE" w:rsidP="005660FE">
            <w:pPr>
              <w:jc w:val="center"/>
              <w:rPr>
                <w:b/>
                <w:bCs/>
                <w:color w:val="000000"/>
                <w:sz w:val="18"/>
                <w:szCs w:val="18"/>
              </w:rPr>
            </w:pPr>
            <w:r w:rsidRPr="005660FE">
              <w:rPr>
                <w:b/>
                <w:bCs/>
                <w:color w:val="000000"/>
                <w:sz w:val="18"/>
                <w:szCs w:val="18"/>
              </w:rPr>
              <w:t xml:space="preserve">c </w:t>
            </w:r>
          </w:p>
        </w:tc>
        <w:tc>
          <w:tcPr>
            <w:tcW w:w="798" w:type="dxa"/>
            <w:shd w:val="clear" w:color="000000" w:fill="C4D79B"/>
            <w:vAlign w:val="bottom"/>
            <w:hideMark/>
          </w:tcPr>
          <w:p w:rsidR="005660FE" w:rsidRPr="005660FE" w:rsidRDefault="005660FE" w:rsidP="005660FE">
            <w:pPr>
              <w:jc w:val="center"/>
              <w:rPr>
                <w:b/>
                <w:bCs/>
                <w:color w:val="000000"/>
                <w:sz w:val="18"/>
                <w:szCs w:val="18"/>
              </w:rPr>
            </w:pPr>
            <w:r w:rsidRPr="005660FE">
              <w:rPr>
                <w:b/>
                <w:bCs/>
                <w:color w:val="000000"/>
                <w:sz w:val="18"/>
                <w:szCs w:val="18"/>
              </w:rPr>
              <w:t xml:space="preserve">c/a </w:t>
            </w:r>
          </w:p>
        </w:tc>
        <w:tc>
          <w:tcPr>
            <w:tcW w:w="1379" w:type="dxa"/>
            <w:shd w:val="clear" w:color="000000" w:fill="C4D79B"/>
            <w:vAlign w:val="bottom"/>
            <w:hideMark/>
          </w:tcPr>
          <w:p w:rsidR="005660FE" w:rsidRPr="005660FE" w:rsidRDefault="005660FE" w:rsidP="005660FE">
            <w:pPr>
              <w:jc w:val="center"/>
              <w:rPr>
                <w:b/>
                <w:bCs/>
                <w:color w:val="000000"/>
                <w:sz w:val="18"/>
                <w:szCs w:val="18"/>
              </w:rPr>
            </w:pPr>
            <w:r w:rsidRPr="005660FE">
              <w:rPr>
                <w:b/>
                <w:bCs/>
                <w:color w:val="000000"/>
                <w:sz w:val="18"/>
                <w:szCs w:val="18"/>
              </w:rPr>
              <w:t xml:space="preserve">d </w:t>
            </w:r>
          </w:p>
        </w:tc>
        <w:tc>
          <w:tcPr>
            <w:tcW w:w="774" w:type="dxa"/>
            <w:shd w:val="clear" w:color="000000" w:fill="C4D79B"/>
            <w:vAlign w:val="bottom"/>
            <w:hideMark/>
          </w:tcPr>
          <w:p w:rsidR="005660FE" w:rsidRPr="005660FE" w:rsidRDefault="005660FE" w:rsidP="005660FE">
            <w:pPr>
              <w:jc w:val="center"/>
              <w:rPr>
                <w:b/>
                <w:bCs/>
                <w:color w:val="000000"/>
                <w:sz w:val="18"/>
                <w:szCs w:val="18"/>
              </w:rPr>
            </w:pPr>
            <w:r w:rsidRPr="005660FE">
              <w:rPr>
                <w:b/>
                <w:bCs/>
                <w:color w:val="000000"/>
                <w:sz w:val="18"/>
                <w:szCs w:val="18"/>
              </w:rPr>
              <w:t xml:space="preserve">d/a </w:t>
            </w:r>
          </w:p>
        </w:tc>
      </w:tr>
      <w:tr w:rsidR="005660FE" w:rsidRPr="005660FE" w:rsidTr="00CA399B">
        <w:trPr>
          <w:trHeight w:val="315"/>
        </w:trPr>
        <w:tc>
          <w:tcPr>
            <w:tcW w:w="1119" w:type="dxa"/>
            <w:shd w:val="clear" w:color="000000" w:fill="FFFFFF"/>
            <w:vAlign w:val="center"/>
            <w:hideMark/>
          </w:tcPr>
          <w:p w:rsidR="005660FE" w:rsidRPr="00CA399B" w:rsidRDefault="005660FE" w:rsidP="005660FE">
            <w:pPr>
              <w:jc w:val="center"/>
              <w:rPr>
                <w:color w:val="000000"/>
                <w:sz w:val="18"/>
                <w:szCs w:val="18"/>
              </w:rPr>
            </w:pPr>
            <w:r w:rsidRPr="00CA399B">
              <w:rPr>
                <w:color w:val="000000"/>
                <w:sz w:val="18"/>
                <w:szCs w:val="18"/>
              </w:rPr>
              <w:t>3.1</w:t>
            </w:r>
          </w:p>
        </w:tc>
        <w:tc>
          <w:tcPr>
            <w:tcW w:w="145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64 286 158</w:t>
            </w:r>
          </w:p>
        </w:tc>
        <w:tc>
          <w:tcPr>
            <w:tcW w:w="1355"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60 033 137</w:t>
            </w:r>
          </w:p>
        </w:tc>
        <w:tc>
          <w:tcPr>
            <w:tcW w:w="84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93,4%</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31 290 425</w:t>
            </w:r>
          </w:p>
        </w:tc>
        <w:tc>
          <w:tcPr>
            <w:tcW w:w="798"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48,7%</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30 051 378</w:t>
            </w:r>
          </w:p>
        </w:tc>
        <w:tc>
          <w:tcPr>
            <w:tcW w:w="774"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46,7%</w:t>
            </w:r>
          </w:p>
        </w:tc>
      </w:tr>
      <w:tr w:rsidR="005660FE" w:rsidRPr="005660FE" w:rsidTr="00CA399B">
        <w:trPr>
          <w:trHeight w:val="315"/>
        </w:trPr>
        <w:tc>
          <w:tcPr>
            <w:tcW w:w="1119" w:type="dxa"/>
            <w:shd w:val="clear" w:color="000000" w:fill="FFFFFF"/>
            <w:vAlign w:val="center"/>
            <w:hideMark/>
          </w:tcPr>
          <w:p w:rsidR="005660FE" w:rsidRPr="00CA399B" w:rsidRDefault="005660FE" w:rsidP="005660FE">
            <w:pPr>
              <w:jc w:val="center"/>
              <w:rPr>
                <w:color w:val="000000"/>
                <w:sz w:val="18"/>
                <w:szCs w:val="18"/>
              </w:rPr>
            </w:pPr>
            <w:r w:rsidRPr="00CA399B">
              <w:rPr>
                <w:color w:val="000000"/>
                <w:sz w:val="18"/>
                <w:szCs w:val="18"/>
              </w:rPr>
              <w:t xml:space="preserve">3.2 </w:t>
            </w:r>
          </w:p>
        </w:tc>
        <w:tc>
          <w:tcPr>
            <w:tcW w:w="145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292 331 419</w:t>
            </w:r>
          </w:p>
        </w:tc>
        <w:tc>
          <w:tcPr>
            <w:tcW w:w="1355"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278 347 235</w:t>
            </w:r>
          </w:p>
        </w:tc>
        <w:tc>
          <w:tcPr>
            <w:tcW w:w="84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95,2%</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219 237 187</w:t>
            </w:r>
          </w:p>
        </w:tc>
        <w:tc>
          <w:tcPr>
            <w:tcW w:w="798"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75,0%</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211 834 008</w:t>
            </w:r>
          </w:p>
        </w:tc>
        <w:tc>
          <w:tcPr>
            <w:tcW w:w="774"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72,5%</w:t>
            </w:r>
          </w:p>
        </w:tc>
      </w:tr>
      <w:tr w:rsidR="005660FE" w:rsidRPr="005660FE" w:rsidTr="00CA399B">
        <w:trPr>
          <w:trHeight w:val="315"/>
        </w:trPr>
        <w:tc>
          <w:tcPr>
            <w:tcW w:w="1119" w:type="dxa"/>
            <w:shd w:val="clear" w:color="000000" w:fill="FFFFFF"/>
            <w:vAlign w:val="center"/>
            <w:hideMark/>
          </w:tcPr>
          <w:p w:rsidR="005660FE" w:rsidRPr="00CA399B" w:rsidRDefault="005660FE" w:rsidP="005660FE">
            <w:pPr>
              <w:jc w:val="center"/>
              <w:rPr>
                <w:color w:val="000000"/>
                <w:sz w:val="18"/>
                <w:szCs w:val="18"/>
              </w:rPr>
            </w:pPr>
            <w:r w:rsidRPr="00CA399B">
              <w:rPr>
                <w:color w:val="000000"/>
                <w:sz w:val="18"/>
                <w:szCs w:val="18"/>
              </w:rPr>
              <w:t xml:space="preserve">3.3 </w:t>
            </w:r>
          </w:p>
        </w:tc>
        <w:tc>
          <w:tcPr>
            <w:tcW w:w="145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47 301 825</w:t>
            </w:r>
          </w:p>
        </w:tc>
        <w:tc>
          <w:tcPr>
            <w:tcW w:w="1355"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34 445 296</w:t>
            </w:r>
          </w:p>
        </w:tc>
        <w:tc>
          <w:tcPr>
            <w:tcW w:w="84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72,8%</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24 381 356</w:t>
            </w:r>
          </w:p>
        </w:tc>
        <w:tc>
          <w:tcPr>
            <w:tcW w:w="798"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51,5%</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24 381 356</w:t>
            </w:r>
          </w:p>
        </w:tc>
        <w:tc>
          <w:tcPr>
            <w:tcW w:w="774"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51,5%</w:t>
            </w:r>
          </w:p>
        </w:tc>
      </w:tr>
      <w:tr w:rsidR="005660FE" w:rsidRPr="005660FE" w:rsidTr="00CA399B">
        <w:trPr>
          <w:trHeight w:val="278"/>
        </w:trPr>
        <w:tc>
          <w:tcPr>
            <w:tcW w:w="1119" w:type="dxa"/>
            <w:shd w:val="clear" w:color="000000" w:fill="FFFFFF"/>
            <w:vAlign w:val="center"/>
            <w:hideMark/>
          </w:tcPr>
          <w:p w:rsidR="005660FE" w:rsidRPr="00CA399B" w:rsidRDefault="005660FE" w:rsidP="005660FE">
            <w:pPr>
              <w:jc w:val="center"/>
              <w:rPr>
                <w:color w:val="000000"/>
                <w:sz w:val="18"/>
                <w:szCs w:val="18"/>
              </w:rPr>
            </w:pPr>
            <w:r w:rsidRPr="00CA399B">
              <w:rPr>
                <w:color w:val="000000"/>
                <w:sz w:val="18"/>
                <w:szCs w:val="18"/>
              </w:rPr>
              <w:t>3.4</w:t>
            </w:r>
          </w:p>
        </w:tc>
        <w:tc>
          <w:tcPr>
            <w:tcW w:w="145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319 160 670</w:t>
            </w:r>
          </w:p>
        </w:tc>
        <w:tc>
          <w:tcPr>
            <w:tcW w:w="1355"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320 869 615</w:t>
            </w:r>
          </w:p>
        </w:tc>
        <w:tc>
          <w:tcPr>
            <w:tcW w:w="841"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100,5%</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117 931 394</w:t>
            </w:r>
          </w:p>
        </w:tc>
        <w:tc>
          <w:tcPr>
            <w:tcW w:w="798"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37,0%</w:t>
            </w:r>
          </w:p>
        </w:tc>
        <w:tc>
          <w:tcPr>
            <w:tcW w:w="1379"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117 925 444</w:t>
            </w:r>
          </w:p>
        </w:tc>
        <w:tc>
          <w:tcPr>
            <w:tcW w:w="774" w:type="dxa"/>
            <w:shd w:val="clear" w:color="000000" w:fill="FFFFFF"/>
            <w:noWrap/>
            <w:vAlign w:val="center"/>
            <w:hideMark/>
          </w:tcPr>
          <w:p w:rsidR="005660FE" w:rsidRPr="005660FE" w:rsidRDefault="005660FE" w:rsidP="005660FE">
            <w:pPr>
              <w:jc w:val="center"/>
              <w:rPr>
                <w:color w:val="000000"/>
                <w:sz w:val="18"/>
                <w:szCs w:val="18"/>
              </w:rPr>
            </w:pPr>
            <w:r w:rsidRPr="005660FE">
              <w:rPr>
                <w:color w:val="000000"/>
                <w:sz w:val="18"/>
                <w:szCs w:val="18"/>
              </w:rPr>
              <w:t>36,9%</w:t>
            </w:r>
          </w:p>
        </w:tc>
      </w:tr>
      <w:tr w:rsidR="005660FE" w:rsidRPr="005660FE" w:rsidTr="00CA399B">
        <w:trPr>
          <w:trHeight w:val="315"/>
        </w:trPr>
        <w:tc>
          <w:tcPr>
            <w:tcW w:w="1119" w:type="dxa"/>
            <w:shd w:val="clear" w:color="000000" w:fill="D9D9D9"/>
            <w:vAlign w:val="center"/>
            <w:hideMark/>
          </w:tcPr>
          <w:p w:rsidR="005660FE" w:rsidRPr="00CA399B" w:rsidRDefault="005660FE" w:rsidP="005660FE">
            <w:pPr>
              <w:jc w:val="center"/>
              <w:rPr>
                <w:bCs/>
                <w:color w:val="000000"/>
                <w:sz w:val="18"/>
                <w:szCs w:val="18"/>
              </w:rPr>
            </w:pPr>
            <w:r w:rsidRPr="00CA399B">
              <w:rPr>
                <w:bCs/>
                <w:color w:val="000000"/>
                <w:sz w:val="18"/>
                <w:szCs w:val="18"/>
              </w:rPr>
              <w:lastRenderedPageBreak/>
              <w:t>PO 3</w:t>
            </w:r>
          </w:p>
        </w:tc>
        <w:tc>
          <w:tcPr>
            <w:tcW w:w="1451" w:type="dxa"/>
            <w:shd w:val="clear" w:color="000000" w:fill="D9D9D9"/>
            <w:noWrap/>
            <w:vAlign w:val="center"/>
            <w:hideMark/>
          </w:tcPr>
          <w:p w:rsidR="005660FE" w:rsidRPr="005660FE" w:rsidRDefault="005660FE" w:rsidP="005660FE">
            <w:pPr>
              <w:jc w:val="center"/>
              <w:rPr>
                <w:b/>
                <w:bCs/>
                <w:color w:val="000000"/>
                <w:sz w:val="18"/>
                <w:szCs w:val="18"/>
              </w:rPr>
            </w:pPr>
            <w:r w:rsidRPr="005660FE">
              <w:rPr>
                <w:b/>
                <w:bCs/>
                <w:color w:val="000000"/>
                <w:sz w:val="18"/>
                <w:szCs w:val="18"/>
              </w:rPr>
              <w:t>723 080 072</w:t>
            </w:r>
          </w:p>
        </w:tc>
        <w:tc>
          <w:tcPr>
            <w:tcW w:w="1355" w:type="dxa"/>
            <w:shd w:val="clear" w:color="000000" w:fill="D9D9D9"/>
            <w:noWrap/>
            <w:vAlign w:val="center"/>
            <w:hideMark/>
          </w:tcPr>
          <w:p w:rsidR="005660FE" w:rsidRPr="005660FE" w:rsidRDefault="005660FE" w:rsidP="005660FE">
            <w:pPr>
              <w:jc w:val="center"/>
              <w:rPr>
                <w:b/>
                <w:bCs/>
                <w:color w:val="000000"/>
                <w:sz w:val="18"/>
                <w:szCs w:val="18"/>
              </w:rPr>
            </w:pPr>
            <w:r w:rsidRPr="005660FE">
              <w:rPr>
                <w:b/>
                <w:bCs/>
                <w:color w:val="000000"/>
                <w:sz w:val="18"/>
                <w:szCs w:val="18"/>
              </w:rPr>
              <w:t>693 695 283</w:t>
            </w:r>
          </w:p>
        </w:tc>
        <w:tc>
          <w:tcPr>
            <w:tcW w:w="841" w:type="dxa"/>
            <w:shd w:val="clear" w:color="000000" w:fill="D9D9D9"/>
            <w:noWrap/>
            <w:vAlign w:val="center"/>
            <w:hideMark/>
          </w:tcPr>
          <w:p w:rsidR="005660FE" w:rsidRPr="005660FE" w:rsidRDefault="005660FE" w:rsidP="005660FE">
            <w:pPr>
              <w:jc w:val="center"/>
              <w:rPr>
                <w:b/>
                <w:bCs/>
                <w:color w:val="000000"/>
                <w:sz w:val="18"/>
                <w:szCs w:val="18"/>
              </w:rPr>
            </w:pPr>
            <w:r w:rsidRPr="005660FE">
              <w:rPr>
                <w:b/>
                <w:bCs/>
                <w:color w:val="000000"/>
                <w:sz w:val="18"/>
                <w:szCs w:val="18"/>
              </w:rPr>
              <w:t>95,9%</w:t>
            </w:r>
          </w:p>
        </w:tc>
        <w:tc>
          <w:tcPr>
            <w:tcW w:w="1379" w:type="dxa"/>
            <w:shd w:val="clear" w:color="000000" w:fill="D9D9D9"/>
            <w:noWrap/>
            <w:vAlign w:val="center"/>
            <w:hideMark/>
          </w:tcPr>
          <w:p w:rsidR="005660FE" w:rsidRPr="005660FE" w:rsidRDefault="005660FE" w:rsidP="005660FE">
            <w:pPr>
              <w:jc w:val="center"/>
              <w:rPr>
                <w:b/>
                <w:bCs/>
                <w:color w:val="000000"/>
                <w:sz w:val="18"/>
                <w:szCs w:val="18"/>
              </w:rPr>
            </w:pPr>
            <w:r w:rsidRPr="005660FE">
              <w:rPr>
                <w:b/>
                <w:bCs/>
                <w:color w:val="000000"/>
                <w:sz w:val="18"/>
                <w:szCs w:val="18"/>
              </w:rPr>
              <w:t>392 840 361</w:t>
            </w:r>
          </w:p>
        </w:tc>
        <w:tc>
          <w:tcPr>
            <w:tcW w:w="798" w:type="dxa"/>
            <w:shd w:val="clear" w:color="000000" w:fill="D9D9D9"/>
            <w:noWrap/>
            <w:vAlign w:val="center"/>
            <w:hideMark/>
          </w:tcPr>
          <w:p w:rsidR="005660FE" w:rsidRPr="005660FE" w:rsidRDefault="005660FE" w:rsidP="005660FE">
            <w:pPr>
              <w:jc w:val="center"/>
              <w:rPr>
                <w:b/>
                <w:bCs/>
                <w:color w:val="000000"/>
                <w:sz w:val="18"/>
                <w:szCs w:val="18"/>
              </w:rPr>
            </w:pPr>
            <w:r w:rsidRPr="005660FE">
              <w:rPr>
                <w:b/>
                <w:bCs/>
                <w:color w:val="000000"/>
                <w:sz w:val="18"/>
                <w:szCs w:val="18"/>
              </w:rPr>
              <w:t>54,3%</w:t>
            </w:r>
          </w:p>
        </w:tc>
        <w:tc>
          <w:tcPr>
            <w:tcW w:w="1379" w:type="dxa"/>
            <w:shd w:val="clear" w:color="000000" w:fill="D9D9D9"/>
            <w:noWrap/>
            <w:vAlign w:val="center"/>
            <w:hideMark/>
          </w:tcPr>
          <w:p w:rsidR="005660FE" w:rsidRPr="005660FE" w:rsidRDefault="005660FE" w:rsidP="005660FE">
            <w:pPr>
              <w:jc w:val="center"/>
              <w:rPr>
                <w:b/>
                <w:bCs/>
                <w:color w:val="000000"/>
                <w:sz w:val="18"/>
                <w:szCs w:val="18"/>
              </w:rPr>
            </w:pPr>
            <w:r w:rsidRPr="005660FE">
              <w:rPr>
                <w:b/>
                <w:bCs/>
                <w:color w:val="000000"/>
                <w:sz w:val="18"/>
                <w:szCs w:val="18"/>
              </w:rPr>
              <w:t>384 192 185</w:t>
            </w:r>
          </w:p>
        </w:tc>
        <w:tc>
          <w:tcPr>
            <w:tcW w:w="774" w:type="dxa"/>
            <w:shd w:val="clear" w:color="000000" w:fill="D9D9D9"/>
            <w:noWrap/>
            <w:vAlign w:val="center"/>
            <w:hideMark/>
          </w:tcPr>
          <w:p w:rsidR="005660FE" w:rsidRPr="005660FE" w:rsidRDefault="005660FE" w:rsidP="005660FE">
            <w:pPr>
              <w:jc w:val="center"/>
              <w:rPr>
                <w:b/>
                <w:bCs/>
                <w:color w:val="000000"/>
                <w:sz w:val="18"/>
                <w:szCs w:val="18"/>
              </w:rPr>
            </w:pPr>
            <w:r w:rsidRPr="005660FE">
              <w:rPr>
                <w:b/>
                <w:bCs/>
                <w:color w:val="000000"/>
                <w:sz w:val="18"/>
                <w:szCs w:val="18"/>
              </w:rPr>
              <w:t>53,1%</w:t>
            </w:r>
          </w:p>
        </w:tc>
      </w:tr>
    </w:tbl>
    <w:p w:rsidR="00A75862" w:rsidRPr="00D95A18" w:rsidRDefault="00A75862" w:rsidP="00D8282A">
      <w:pPr>
        <w:spacing w:before="60"/>
        <w:rPr>
          <w:i/>
          <w:sz w:val="18"/>
          <w:szCs w:val="18"/>
        </w:rPr>
      </w:pPr>
      <w:r w:rsidRPr="00D95A18">
        <w:rPr>
          <w:i/>
          <w:sz w:val="18"/>
          <w:szCs w:val="18"/>
        </w:rPr>
        <w:t xml:space="preserve">Zdroj: MSC2007 ke dni </w:t>
      </w:r>
      <w:r w:rsidR="00E037E5">
        <w:rPr>
          <w:i/>
          <w:sz w:val="18"/>
          <w:szCs w:val="18"/>
        </w:rPr>
        <w:t>31</w:t>
      </w:r>
      <w:r w:rsidR="00E037E5" w:rsidRPr="00D95A18">
        <w:rPr>
          <w:i/>
          <w:sz w:val="18"/>
          <w:szCs w:val="18"/>
        </w:rPr>
        <w:t>. 12. 2014</w:t>
      </w:r>
    </w:p>
    <w:p w:rsidR="00A75862" w:rsidRPr="00D95A18" w:rsidRDefault="00A75862" w:rsidP="00D8282A">
      <w:pPr>
        <w:rPr>
          <w:i/>
          <w:sz w:val="18"/>
          <w:szCs w:val="18"/>
        </w:rPr>
      </w:pPr>
      <w:r w:rsidRPr="00D95A18">
        <w:rPr>
          <w:i/>
          <w:sz w:val="18"/>
          <w:szCs w:val="18"/>
        </w:rPr>
        <w:t xml:space="preserve">Kurz CZK/EUR: </w:t>
      </w:r>
      <w:r w:rsidR="005660FE">
        <w:rPr>
          <w:i/>
          <w:sz w:val="18"/>
          <w:szCs w:val="18"/>
        </w:rPr>
        <w:t>27,728</w:t>
      </w:r>
    </w:p>
    <w:p w:rsidR="00D62FA6" w:rsidRPr="000435AC" w:rsidRDefault="004F2E98" w:rsidP="00D62FA6">
      <w:pPr>
        <w:spacing w:after="240"/>
        <w:rPr>
          <w:i/>
          <w:sz w:val="18"/>
          <w:szCs w:val="18"/>
        </w:rPr>
      </w:pPr>
      <w:r>
        <w:rPr>
          <w:i/>
          <w:color w:val="000000"/>
          <w:sz w:val="18"/>
          <w:szCs w:val="18"/>
        </w:rPr>
        <w:t>Zdroj financování: p</w:t>
      </w:r>
      <w:r w:rsidR="00D62FA6" w:rsidRPr="000435AC">
        <w:rPr>
          <w:i/>
          <w:color w:val="000000"/>
          <w:sz w:val="18"/>
          <w:szCs w:val="18"/>
        </w:rPr>
        <w:t>odíl EU</w:t>
      </w:r>
      <w:r w:rsidR="00A13D07">
        <w:rPr>
          <w:i/>
          <w:color w:val="000000"/>
          <w:sz w:val="18"/>
          <w:szCs w:val="18"/>
        </w:rPr>
        <w:t xml:space="preserve"> </w:t>
      </w:r>
      <w:r>
        <w:rPr>
          <w:i/>
          <w:color w:val="000000"/>
          <w:sz w:val="18"/>
          <w:szCs w:val="18"/>
        </w:rPr>
        <w:t>+</w:t>
      </w:r>
      <w:r w:rsidR="00A13D07">
        <w:rPr>
          <w:i/>
          <w:color w:val="000000"/>
          <w:sz w:val="18"/>
          <w:szCs w:val="18"/>
        </w:rPr>
        <w:t xml:space="preserve"> </w:t>
      </w:r>
      <w:r>
        <w:rPr>
          <w:i/>
          <w:color w:val="000000"/>
          <w:sz w:val="18"/>
          <w:szCs w:val="18"/>
        </w:rPr>
        <w:t>národní veřejné zdroje</w:t>
      </w:r>
      <w:r w:rsidR="00A13D07">
        <w:rPr>
          <w:i/>
          <w:color w:val="000000"/>
          <w:sz w:val="18"/>
          <w:szCs w:val="18"/>
        </w:rPr>
        <w:t xml:space="preserve"> </w:t>
      </w:r>
      <w:r>
        <w:rPr>
          <w:i/>
          <w:color w:val="000000"/>
          <w:sz w:val="18"/>
          <w:szCs w:val="18"/>
        </w:rPr>
        <w:t>+</w:t>
      </w:r>
      <w:r w:rsidR="00A13D07">
        <w:rPr>
          <w:i/>
          <w:color w:val="000000"/>
          <w:sz w:val="18"/>
          <w:szCs w:val="18"/>
        </w:rPr>
        <w:t xml:space="preserve"> </w:t>
      </w:r>
      <w:r>
        <w:rPr>
          <w:i/>
          <w:color w:val="000000"/>
          <w:sz w:val="18"/>
          <w:szCs w:val="18"/>
        </w:rPr>
        <w:t>s</w:t>
      </w:r>
      <w:r w:rsidR="00D62FA6">
        <w:rPr>
          <w:i/>
          <w:color w:val="000000"/>
          <w:sz w:val="18"/>
          <w:szCs w:val="18"/>
        </w:rPr>
        <w:t>oukromé výdaje</w:t>
      </w:r>
      <w:r w:rsidR="00D62FA6" w:rsidRPr="000435AC">
        <w:rPr>
          <w:i/>
          <w:color w:val="000000"/>
          <w:sz w:val="18"/>
          <w:szCs w:val="18"/>
        </w:rPr>
        <w:t xml:space="preserve">  </w:t>
      </w:r>
    </w:p>
    <w:p w:rsidR="00A75862" w:rsidRPr="00896343" w:rsidRDefault="00A75862" w:rsidP="00104D50">
      <w:pPr>
        <w:spacing w:after="120"/>
        <w:rPr>
          <w:color w:val="000080"/>
          <w:sz w:val="22"/>
          <w:szCs w:val="22"/>
        </w:rPr>
      </w:pPr>
    </w:p>
    <w:p w:rsidR="004576ED" w:rsidRDefault="00A75862" w:rsidP="00730DDC">
      <w:pPr>
        <w:pStyle w:val="Tabulkanzev"/>
      </w:pPr>
      <w:bookmarkStart w:id="189" w:name="_Toc416431839"/>
      <w:r w:rsidRPr="009026D3">
        <w:t>F</w:t>
      </w:r>
      <w:r w:rsidR="00104FA0">
        <w:t>inanční pokrok PO 3 k </w:t>
      </w:r>
      <w:bookmarkEnd w:id="189"/>
      <w:r w:rsidR="00730DDC">
        <w:t>31. 12. 2014</w:t>
      </w:r>
    </w:p>
    <w:tbl>
      <w:tblPr>
        <w:tblW w:w="9140"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2"/>
        <w:gridCol w:w="1578"/>
        <w:gridCol w:w="1343"/>
        <w:gridCol w:w="819"/>
        <w:gridCol w:w="1531"/>
        <w:gridCol w:w="896"/>
        <w:gridCol w:w="1343"/>
        <w:gridCol w:w="748"/>
      </w:tblGrid>
      <w:tr w:rsidR="004576ED" w:rsidRPr="004576ED" w:rsidTr="00CA399B">
        <w:trPr>
          <w:trHeight w:val="705"/>
        </w:trPr>
        <w:tc>
          <w:tcPr>
            <w:tcW w:w="883" w:type="dxa"/>
            <w:vMerge w:val="restart"/>
            <w:shd w:val="clear" w:color="000000" w:fill="C4D79B"/>
            <w:vAlign w:val="center"/>
            <w:hideMark/>
          </w:tcPr>
          <w:p w:rsidR="004576ED" w:rsidRPr="004576ED" w:rsidRDefault="004576ED" w:rsidP="004576ED">
            <w:pPr>
              <w:jc w:val="center"/>
              <w:rPr>
                <w:b/>
                <w:bCs/>
                <w:color w:val="000000"/>
                <w:sz w:val="16"/>
                <w:szCs w:val="16"/>
              </w:rPr>
            </w:pPr>
            <w:r w:rsidRPr="004576ED">
              <w:rPr>
                <w:b/>
                <w:bCs/>
                <w:color w:val="000000"/>
                <w:sz w:val="16"/>
                <w:szCs w:val="16"/>
              </w:rPr>
              <w:t>Oblast podpory</w:t>
            </w:r>
          </w:p>
        </w:tc>
        <w:tc>
          <w:tcPr>
            <w:tcW w:w="1578" w:type="dxa"/>
            <w:shd w:val="clear" w:color="000000" w:fill="C4D79B"/>
            <w:vAlign w:val="center"/>
            <w:hideMark/>
          </w:tcPr>
          <w:p w:rsidR="004576ED" w:rsidRPr="004576ED" w:rsidRDefault="004576ED" w:rsidP="004576ED">
            <w:pPr>
              <w:jc w:val="center"/>
              <w:rPr>
                <w:b/>
                <w:bCs/>
                <w:color w:val="000000"/>
                <w:sz w:val="16"/>
                <w:szCs w:val="16"/>
              </w:rPr>
            </w:pPr>
            <w:r w:rsidRPr="004576ED">
              <w:rPr>
                <w:b/>
                <w:bCs/>
                <w:color w:val="000000"/>
                <w:sz w:val="16"/>
                <w:szCs w:val="16"/>
              </w:rPr>
              <w:t>Alokace podpory 2007-2013</w:t>
            </w:r>
          </w:p>
        </w:tc>
        <w:tc>
          <w:tcPr>
            <w:tcW w:w="2161" w:type="dxa"/>
            <w:gridSpan w:val="2"/>
            <w:shd w:val="clear" w:color="000000" w:fill="C4D79B"/>
            <w:vAlign w:val="center"/>
            <w:hideMark/>
          </w:tcPr>
          <w:p w:rsidR="004576ED" w:rsidRPr="004576ED" w:rsidRDefault="004576ED" w:rsidP="004576ED">
            <w:pPr>
              <w:jc w:val="center"/>
              <w:rPr>
                <w:b/>
                <w:bCs/>
                <w:color w:val="000000"/>
                <w:sz w:val="16"/>
                <w:szCs w:val="16"/>
              </w:rPr>
            </w:pPr>
            <w:r w:rsidRPr="004576ED">
              <w:rPr>
                <w:b/>
                <w:bCs/>
                <w:color w:val="000000"/>
                <w:sz w:val="16"/>
                <w:szCs w:val="16"/>
              </w:rPr>
              <w:t>Prostředky kryté Rozhodnutím / Smlouvou (dodatkem)</w:t>
            </w:r>
          </w:p>
        </w:tc>
        <w:tc>
          <w:tcPr>
            <w:tcW w:w="2427" w:type="dxa"/>
            <w:gridSpan w:val="2"/>
            <w:shd w:val="clear" w:color="000000" w:fill="C4D79B"/>
            <w:vAlign w:val="center"/>
            <w:hideMark/>
          </w:tcPr>
          <w:p w:rsidR="004576ED" w:rsidRPr="004576ED" w:rsidRDefault="004576ED" w:rsidP="004576ED">
            <w:pPr>
              <w:jc w:val="center"/>
              <w:rPr>
                <w:b/>
                <w:bCs/>
                <w:color w:val="000000"/>
                <w:sz w:val="16"/>
                <w:szCs w:val="16"/>
              </w:rPr>
            </w:pPr>
            <w:r w:rsidRPr="004576ED">
              <w:rPr>
                <w:b/>
                <w:bCs/>
                <w:color w:val="000000"/>
                <w:sz w:val="16"/>
                <w:szCs w:val="16"/>
              </w:rPr>
              <w:t>Proplacené prostředky příjemcům (vyúčtované prostředky)</w:t>
            </w:r>
          </w:p>
        </w:tc>
        <w:tc>
          <w:tcPr>
            <w:tcW w:w="2091" w:type="dxa"/>
            <w:gridSpan w:val="2"/>
            <w:shd w:val="clear" w:color="000000" w:fill="C4D79B"/>
            <w:vAlign w:val="center"/>
            <w:hideMark/>
          </w:tcPr>
          <w:p w:rsidR="004576ED" w:rsidRPr="004576ED" w:rsidRDefault="004576ED" w:rsidP="004576ED">
            <w:pPr>
              <w:jc w:val="center"/>
              <w:rPr>
                <w:b/>
                <w:bCs/>
                <w:color w:val="000000"/>
                <w:sz w:val="16"/>
                <w:szCs w:val="16"/>
              </w:rPr>
            </w:pPr>
            <w:r w:rsidRPr="004576ED">
              <w:rPr>
                <w:b/>
                <w:bCs/>
                <w:color w:val="000000"/>
                <w:sz w:val="16"/>
                <w:szCs w:val="16"/>
              </w:rPr>
              <w:t>Certifikované prostředky (včetně vratek)</w:t>
            </w:r>
          </w:p>
        </w:tc>
      </w:tr>
      <w:tr w:rsidR="004576ED" w:rsidRPr="004576ED" w:rsidTr="00CA399B">
        <w:trPr>
          <w:trHeight w:val="300"/>
        </w:trPr>
        <w:tc>
          <w:tcPr>
            <w:tcW w:w="883" w:type="dxa"/>
            <w:vMerge/>
            <w:vAlign w:val="center"/>
            <w:hideMark/>
          </w:tcPr>
          <w:p w:rsidR="004576ED" w:rsidRPr="004576ED" w:rsidRDefault="004576ED" w:rsidP="004576ED">
            <w:pPr>
              <w:rPr>
                <w:b/>
                <w:bCs/>
                <w:color w:val="000000"/>
                <w:sz w:val="16"/>
                <w:szCs w:val="16"/>
              </w:rPr>
            </w:pPr>
          </w:p>
        </w:tc>
        <w:tc>
          <w:tcPr>
            <w:tcW w:w="1578" w:type="dxa"/>
            <w:shd w:val="clear" w:color="000000" w:fill="C4D79B"/>
            <w:vAlign w:val="bottom"/>
            <w:hideMark/>
          </w:tcPr>
          <w:p w:rsidR="004576ED" w:rsidRPr="004576ED" w:rsidRDefault="004576ED" w:rsidP="004576ED">
            <w:pPr>
              <w:jc w:val="center"/>
              <w:rPr>
                <w:color w:val="000000"/>
                <w:sz w:val="18"/>
                <w:szCs w:val="18"/>
              </w:rPr>
            </w:pPr>
            <w:r w:rsidRPr="004576ED">
              <w:rPr>
                <w:color w:val="000000"/>
                <w:sz w:val="18"/>
                <w:szCs w:val="18"/>
              </w:rPr>
              <w:t>EUR</w:t>
            </w:r>
          </w:p>
        </w:tc>
        <w:tc>
          <w:tcPr>
            <w:tcW w:w="1343" w:type="dxa"/>
            <w:shd w:val="clear" w:color="000000" w:fill="C4D79B"/>
            <w:vAlign w:val="bottom"/>
            <w:hideMark/>
          </w:tcPr>
          <w:p w:rsidR="004576ED" w:rsidRPr="004576ED" w:rsidRDefault="004576ED" w:rsidP="004576ED">
            <w:pPr>
              <w:jc w:val="center"/>
              <w:rPr>
                <w:color w:val="000000"/>
                <w:sz w:val="18"/>
                <w:szCs w:val="18"/>
              </w:rPr>
            </w:pPr>
            <w:r w:rsidRPr="004576ED">
              <w:rPr>
                <w:color w:val="000000"/>
                <w:sz w:val="18"/>
                <w:szCs w:val="18"/>
              </w:rPr>
              <w:t>EUR</w:t>
            </w:r>
          </w:p>
        </w:tc>
        <w:tc>
          <w:tcPr>
            <w:tcW w:w="819" w:type="dxa"/>
            <w:shd w:val="clear" w:color="000000" w:fill="C4D79B"/>
            <w:vAlign w:val="bottom"/>
            <w:hideMark/>
          </w:tcPr>
          <w:p w:rsidR="004576ED" w:rsidRPr="004576ED" w:rsidRDefault="004576ED" w:rsidP="004576ED">
            <w:pPr>
              <w:jc w:val="center"/>
              <w:rPr>
                <w:color w:val="000000"/>
                <w:sz w:val="18"/>
                <w:szCs w:val="18"/>
              </w:rPr>
            </w:pPr>
            <w:r w:rsidRPr="004576ED">
              <w:rPr>
                <w:color w:val="000000"/>
                <w:sz w:val="18"/>
                <w:szCs w:val="18"/>
              </w:rPr>
              <w:t>%</w:t>
            </w:r>
          </w:p>
        </w:tc>
        <w:tc>
          <w:tcPr>
            <w:tcW w:w="1531" w:type="dxa"/>
            <w:shd w:val="clear" w:color="000000" w:fill="C4D79B"/>
            <w:vAlign w:val="bottom"/>
            <w:hideMark/>
          </w:tcPr>
          <w:p w:rsidR="004576ED" w:rsidRPr="004576ED" w:rsidRDefault="004576ED" w:rsidP="004576ED">
            <w:pPr>
              <w:jc w:val="center"/>
              <w:rPr>
                <w:color w:val="000000"/>
                <w:sz w:val="18"/>
                <w:szCs w:val="18"/>
              </w:rPr>
            </w:pPr>
            <w:r w:rsidRPr="004576ED">
              <w:rPr>
                <w:color w:val="000000"/>
                <w:sz w:val="18"/>
                <w:szCs w:val="18"/>
              </w:rPr>
              <w:t>EUR</w:t>
            </w:r>
          </w:p>
        </w:tc>
        <w:tc>
          <w:tcPr>
            <w:tcW w:w="895" w:type="dxa"/>
            <w:shd w:val="clear" w:color="000000" w:fill="C4D79B"/>
            <w:vAlign w:val="bottom"/>
            <w:hideMark/>
          </w:tcPr>
          <w:p w:rsidR="004576ED" w:rsidRPr="004576ED" w:rsidRDefault="004576ED" w:rsidP="004576ED">
            <w:pPr>
              <w:jc w:val="center"/>
              <w:rPr>
                <w:color w:val="000000"/>
                <w:sz w:val="18"/>
                <w:szCs w:val="18"/>
              </w:rPr>
            </w:pPr>
            <w:r w:rsidRPr="004576ED">
              <w:rPr>
                <w:color w:val="000000"/>
                <w:sz w:val="18"/>
                <w:szCs w:val="18"/>
              </w:rPr>
              <w:t>%</w:t>
            </w:r>
          </w:p>
        </w:tc>
        <w:tc>
          <w:tcPr>
            <w:tcW w:w="1343" w:type="dxa"/>
            <w:shd w:val="clear" w:color="000000" w:fill="C4D79B"/>
            <w:vAlign w:val="bottom"/>
            <w:hideMark/>
          </w:tcPr>
          <w:p w:rsidR="004576ED" w:rsidRPr="004576ED" w:rsidRDefault="004576ED" w:rsidP="004576ED">
            <w:pPr>
              <w:jc w:val="center"/>
              <w:rPr>
                <w:color w:val="000000"/>
                <w:sz w:val="18"/>
                <w:szCs w:val="18"/>
              </w:rPr>
            </w:pPr>
            <w:r w:rsidRPr="004576ED">
              <w:rPr>
                <w:color w:val="000000"/>
                <w:sz w:val="18"/>
                <w:szCs w:val="18"/>
              </w:rPr>
              <w:t>EUR</w:t>
            </w:r>
          </w:p>
        </w:tc>
        <w:tc>
          <w:tcPr>
            <w:tcW w:w="748" w:type="dxa"/>
            <w:shd w:val="clear" w:color="000000" w:fill="C4D79B"/>
            <w:vAlign w:val="bottom"/>
            <w:hideMark/>
          </w:tcPr>
          <w:p w:rsidR="004576ED" w:rsidRPr="004576ED" w:rsidRDefault="004576ED" w:rsidP="004576ED">
            <w:pPr>
              <w:jc w:val="center"/>
              <w:rPr>
                <w:color w:val="000000"/>
                <w:sz w:val="18"/>
                <w:szCs w:val="18"/>
              </w:rPr>
            </w:pPr>
            <w:r w:rsidRPr="004576ED">
              <w:rPr>
                <w:color w:val="000000"/>
                <w:sz w:val="18"/>
                <w:szCs w:val="18"/>
              </w:rPr>
              <w:t>%</w:t>
            </w:r>
          </w:p>
        </w:tc>
      </w:tr>
      <w:tr w:rsidR="004576ED" w:rsidRPr="004576ED" w:rsidTr="00CA399B">
        <w:trPr>
          <w:trHeight w:val="300"/>
        </w:trPr>
        <w:tc>
          <w:tcPr>
            <w:tcW w:w="883" w:type="dxa"/>
            <w:vMerge/>
            <w:vAlign w:val="center"/>
            <w:hideMark/>
          </w:tcPr>
          <w:p w:rsidR="004576ED" w:rsidRPr="004576ED" w:rsidRDefault="004576ED" w:rsidP="004576ED">
            <w:pPr>
              <w:rPr>
                <w:b/>
                <w:bCs/>
                <w:color w:val="000000"/>
                <w:sz w:val="16"/>
                <w:szCs w:val="16"/>
              </w:rPr>
            </w:pPr>
          </w:p>
        </w:tc>
        <w:tc>
          <w:tcPr>
            <w:tcW w:w="1578" w:type="dxa"/>
            <w:shd w:val="clear" w:color="000000" w:fill="C4D79B"/>
            <w:vAlign w:val="bottom"/>
            <w:hideMark/>
          </w:tcPr>
          <w:p w:rsidR="004576ED" w:rsidRPr="004576ED" w:rsidRDefault="004576ED" w:rsidP="004576ED">
            <w:pPr>
              <w:jc w:val="center"/>
              <w:rPr>
                <w:b/>
                <w:bCs/>
                <w:color w:val="000000"/>
                <w:sz w:val="18"/>
                <w:szCs w:val="18"/>
              </w:rPr>
            </w:pPr>
            <w:r w:rsidRPr="004576ED">
              <w:rPr>
                <w:b/>
                <w:bCs/>
                <w:color w:val="000000"/>
                <w:sz w:val="18"/>
                <w:szCs w:val="18"/>
              </w:rPr>
              <w:t xml:space="preserve">a </w:t>
            </w:r>
          </w:p>
        </w:tc>
        <w:tc>
          <w:tcPr>
            <w:tcW w:w="1343" w:type="dxa"/>
            <w:shd w:val="clear" w:color="000000" w:fill="C4D79B"/>
            <w:vAlign w:val="bottom"/>
            <w:hideMark/>
          </w:tcPr>
          <w:p w:rsidR="004576ED" w:rsidRPr="004576ED" w:rsidRDefault="004576ED" w:rsidP="004576ED">
            <w:pPr>
              <w:jc w:val="center"/>
              <w:rPr>
                <w:b/>
                <w:bCs/>
                <w:color w:val="000000"/>
                <w:sz w:val="18"/>
                <w:szCs w:val="18"/>
              </w:rPr>
            </w:pPr>
            <w:r w:rsidRPr="004576ED">
              <w:rPr>
                <w:b/>
                <w:bCs/>
                <w:color w:val="000000"/>
                <w:sz w:val="18"/>
                <w:szCs w:val="18"/>
              </w:rPr>
              <w:t xml:space="preserve">b </w:t>
            </w:r>
          </w:p>
        </w:tc>
        <w:tc>
          <w:tcPr>
            <w:tcW w:w="819" w:type="dxa"/>
            <w:shd w:val="clear" w:color="000000" w:fill="C4D79B"/>
            <w:vAlign w:val="bottom"/>
            <w:hideMark/>
          </w:tcPr>
          <w:p w:rsidR="004576ED" w:rsidRPr="004576ED" w:rsidRDefault="004576ED" w:rsidP="004576ED">
            <w:pPr>
              <w:jc w:val="center"/>
              <w:rPr>
                <w:b/>
                <w:bCs/>
                <w:color w:val="000000"/>
                <w:sz w:val="18"/>
                <w:szCs w:val="18"/>
              </w:rPr>
            </w:pPr>
            <w:r w:rsidRPr="004576ED">
              <w:rPr>
                <w:b/>
                <w:bCs/>
                <w:color w:val="000000"/>
                <w:sz w:val="18"/>
                <w:szCs w:val="18"/>
              </w:rPr>
              <w:t xml:space="preserve">b/a </w:t>
            </w:r>
          </w:p>
        </w:tc>
        <w:tc>
          <w:tcPr>
            <w:tcW w:w="1531" w:type="dxa"/>
            <w:shd w:val="clear" w:color="000000" w:fill="C4D79B"/>
            <w:vAlign w:val="bottom"/>
            <w:hideMark/>
          </w:tcPr>
          <w:p w:rsidR="004576ED" w:rsidRPr="004576ED" w:rsidRDefault="004576ED" w:rsidP="004576ED">
            <w:pPr>
              <w:jc w:val="center"/>
              <w:rPr>
                <w:b/>
                <w:bCs/>
                <w:color w:val="000000"/>
                <w:sz w:val="18"/>
                <w:szCs w:val="18"/>
              </w:rPr>
            </w:pPr>
            <w:r w:rsidRPr="004576ED">
              <w:rPr>
                <w:b/>
                <w:bCs/>
                <w:color w:val="000000"/>
                <w:sz w:val="18"/>
                <w:szCs w:val="18"/>
              </w:rPr>
              <w:t xml:space="preserve">c </w:t>
            </w:r>
          </w:p>
        </w:tc>
        <w:tc>
          <w:tcPr>
            <w:tcW w:w="895" w:type="dxa"/>
            <w:shd w:val="clear" w:color="000000" w:fill="C4D79B"/>
            <w:vAlign w:val="bottom"/>
            <w:hideMark/>
          </w:tcPr>
          <w:p w:rsidR="004576ED" w:rsidRPr="004576ED" w:rsidRDefault="004576ED" w:rsidP="004576ED">
            <w:pPr>
              <w:jc w:val="center"/>
              <w:rPr>
                <w:b/>
                <w:bCs/>
                <w:color w:val="000000"/>
                <w:sz w:val="18"/>
                <w:szCs w:val="18"/>
              </w:rPr>
            </w:pPr>
            <w:r w:rsidRPr="004576ED">
              <w:rPr>
                <w:b/>
                <w:bCs/>
                <w:color w:val="000000"/>
                <w:sz w:val="18"/>
                <w:szCs w:val="18"/>
              </w:rPr>
              <w:t xml:space="preserve">c/a </w:t>
            </w:r>
          </w:p>
        </w:tc>
        <w:tc>
          <w:tcPr>
            <w:tcW w:w="1343" w:type="dxa"/>
            <w:shd w:val="clear" w:color="000000" w:fill="C4D79B"/>
            <w:vAlign w:val="bottom"/>
            <w:hideMark/>
          </w:tcPr>
          <w:p w:rsidR="004576ED" w:rsidRPr="004576ED" w:rsidRDefault="004576ED" w:rsidP="004576ED">
            <w:pPr>
              <w:jc w:val="center"/>
              <w:rPr>
                <w:b/>
                <w:bCs/>
                <w:color w:val="000000"/>
                <w:sz w:val="18"/>
                <w:szCs w:val="18"/>
              </w:rPr>
            </w:pPr>
            <w:r w:rsidRPr="004576ED">
              <w:rPr>
                <w:b/>
                <w:bCs/>
                <w:color w:val="000000"/>
                <w:sz w:val="18"/>
                <w:szCs w:val="18"/>
              </w:rPr>
              <w:t xml:space="preserve">d </w:t>
            </w:r>
          </w:p>
        </w:tc>
        <w:tc>
          <w:tcPr>
            <w:tcW w:w="748" w:type="dxa"/>
            <w:shd w:val="clear" w:color="000000" w:fill="C4D79B"/>
            <w:vAlign w:val="bottom"/>
            <w:hideMark/>
          </w:tcPr>
          <w:p w:rsidR="004576ED" w:rsidRPr="004576ED" w:rsidRDefault="004576ED" w:rsidP="004576ED">
            <w:pPr>
              <w:jc w:val="center"/>
              <w:rPr>
                <w:b/>
                <w:bCs/>
                <w:color w:val="000000"/>
                <w:sz w:val="18"/>
                <w:szCs w:val="18"/>
              </w:rPr>
            </w:pPr>
            <w:r w:rsidRPr="004576ED">
              <w:rPr>
                <w:b/>
                <w:bCs/>
                <w:color w:val="000000"/>
                <w:sz w:val="18"/>
                <w:szCs w:val="18"/>
              </w:rPr>
              <w:t xml:space="preserve">d/a </w:t>
            </w:r>
          </w:p>
        </w:tc>
      </w:tr>
      <w:tr w:rsidR="004576ED" w:rsidRPr="004576ED" w:rsidTr="00CA399B">
        <w:trPr>
          <w:trHeight w:val="300"/>
        </w:trPr>
        <w:tc>
          <w:tcPr>
            <w:tcW w:w="883" w:type="dxa"/>
            <w:shd w:val="clear" w:color="000000" w:fill="FFFFFF"/>
            <w:vAlign w:val="center"/>
            <w:hideMark/>
          </w:tcPr>
          <w:p w:rsidR="004576ED" w:rsidRPr="004576ED" w:rsidRDefault="004576ED" w:rsidP="00B50950">
            <w:pPr>
              <w:jc w:val="center"/>
              <w:rPr>
                <w:color w:val="000000"/>
                <w:sz w:val="18"/>
                <w:szCs w:val="18"/>
              </w:rPr>
            </w:pPr>
            <w:r w:rsidRPr="004576ED">
              <w:rPr>
                <w:color w:val="000000"/>
                <w:sz w:val="18"/>
                <w:szCs w:val="18"/>
              </w:rPr>
              <w:t>3.1</w:t>
            </w:r>
          </w:p>
        </w:tc>
        <w:tc>
          <w:tcPr>
            <w:tcW w:w="157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54 643 234</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50 275 563</w:t>
            </w:r>
          </w:p>
        </w:tc>
        <w:tc>
          <w:tcPr>
            <w:tcW w:w="819"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92,0%</w:t>
            </w:r>
          </w:p>
        </w:tc>
        <w:tc>
          <w:tcPr>
            <w:tcW w:w="1531"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25 939 530</w:t>
            </w:r>
          </w:p>
        </w:tc>
        <w:tc>
          <w:tcPr>
            <w:tcW w:w="895"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47,5%</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24 909 164</w:t>
            </w:r>
          </w:p>
        </w:tc>
        <w:tc>
          <w:tcPr>
            <w:tcW w:w="74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45,6%</w:t>
            </w:r>
          </w:p>
        </w:tc>
      </w:tr>
      <w:tr w:rsidR="004576ED" w:rsidRPr="004576ED" w:rsidTr="00CA399B">
        <w:trPr>
          <w:trHeight w:val="300"/>
        </w:trPr>
        <w:tc>
          <w:tcPr>
            <w:tcW w:w="883" w:type="dxa"/>
            <w:shd w:val="clear" w:color="000000" w:fill="FFFFFF"/>
            <w:vAlign w:val="center"/>
            <w:hideMark/>
          </w:tcPr>
          <w:p w:rsidR="004576ED" w:rsidRPr="004576ED" w:rsidRDefault="004576ED" w:rsidP="00B50950">
            <w:pPr>
              <w:jc w:val="center"/>
              <w:rPr>
                <w:color w:val="000000"/>
                <w:sz w:val="18"/>
                <w:szCs w:val="18"/>
              </w:rPr>
            </w:pPr>
            <w:r w:rsidRPr="004576ED">
              <w:rPr>
                <w:color w:val="000000"/>
                <w:sz w:val="18"/>
                <w:szCs w:val="18"/>
              </w:rPr>
              <w:t>3.2</w:t>
            </w:r>
          </w:p>
        </w:tc>
        <w:tc>
          <w:tcPr>
            <w:tcW w:w="157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248 481 706</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234 739 988</w:t>
            </w:r>
          </w:p>
        </w:tc>
        <w:tc>
          <w:tcPr>
            <w:tcW w:w="819"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94,5%</w:t>
            </w:r>
          </w:p>
        </w:tc>
        <w:tc>
          <w:tcPr>
            <w:tcW w:w="1531"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185 141 766</w:t>
            </w:r>
          </w:p>
        </w:tc>
        <w:tc>
          <w:tcPr>
            <w:tcW w:w="895"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74,5%</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178 699 090</w:t>
            </w:r>
          </w:p>
        </w:tc>
        <w:tc>
          <w:tcPr>
            <w:tcW w:w="74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71,9%</w:t>
            </w:r>
          </w:p>
        </w:tc>
      </w:tr>
      <w:tr w:rsidR="004576ED" w:rsidRPr="004576ED" w:rsidTr="00CA399B">
        <w:trPr>
          <w:trHeight w:val="300"/>
        </w:trPr>
        <w:tc>
          <w:tcPr>
            <w:tcW w:w="883" w:type="dxa"/>
            <w:shd w:val="clear" w:color="000000" w:fill="FFFFFF"/>
            <w:vAlign w:val="center"/>
            <w:hideMark/>
          </w:tcPr>
          <w:p w:rsidR="004576ED" w:rsidRPr="004576ED" w:rsidRDefault="004576ED" w:rsidP="00B50950">
            <w:pPr>
              <w:jc w:val="center"/>
              <w:rPr>
                <w:color w:val="000000"/>
                <w:sz w:val="18"/>
                <w:szCs w:val="18"/>
              </w:rPr>
            </w:pPr>
            <w:r w:rsidRPr="004576ED">
              <w:rPr>
                <w:color w:val="000000"/>
                <w:sz w:val="18"/>
                <w:szCs w:val="18"/>
              </w:rPr>
              <w:t>3.3</w:t>
            </w:r>
          </w:p>
        </w:tc>
        <w:tc>
          <w:tcPr>
            <w:tcW w:w="157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40 206 551</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29 278 406</w:t>
            </w:r>
          </w:p>
        </w:tc>
        <w:tc>
          <w:tcPr>
            <w:tcW w:w="819"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72,8%</w:t>
            </w:r>
          </w:p>
        </w:tc>
        <w:tc>
          <w:tcPr>
            <w:tcW w:w="1531"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20 724 148</w:t>
            </w:r>
          </w:p>
        </w:tc>
        <w:tc>
          <w:tcPr>
            <w:tcW w:w="895"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51,5%</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20 724 148</w:t>
            </w:r>
          </w:p>
        </w:tc>
        <w:tc>
          <w:tcPr>
            <w:tcW w:w="74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51,5%</w:t>
            </w:r>
          </w:p>
        </w:tc>
      </w:tr>
      <w:tr w:rsidR="004576ED" w:rsidRPr="004576ED" w:rsidTr="00CA399B">
        <w:trPr>
          <w:trHeight w:val="324"/>
        </w:trPr>
        <w:tc>
          <w:tcPr>
            <w:tcW w:w="883" w:type="dxa"/>
            <w:shd w:val="clear" w:color="000000" w:fill="FFFFFF"/>
            <w:vAlign w:val="center"/>
            <w:hideMark/>
          </w:tcPr>
          <w:p w:rsidR="004576ED" w:rsidRPr="004576ED" w:rsidRDefault="004576ED" w:rsidP="00B50950">
            <w:pPr>
              <w:jc w:val="center"/>
              <w:rPr>
                <w:color w:val="000000"/>
                <w:sz w:val="18"/>
                <w:szCs w:val="18"/>
              </w:rPr>
            </w:pPr>
            <w:r w:rsidRPr="004576ED">
              <w:rPr>
                <w:color w:val="000000"/>
                <w:sz w:val="18"/>
                <w:szCs w:val="18"/>
              </w:rPr>
              <w:t>3.4</w:t>
            </w:r>
          </w:p>
        </w:tc>
        <w:tc>
          <w:tcPr>
            <w:tcW w:w="157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271 286 569</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272 739 157</w:t>
            </w:r>
          </w:p>
        </w:tc>
        <w:tc>
          <w:tcPr>
            <w:tcW w:w="819"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100,5%</w:t>
            </w:r>
          </w:p>
        </w:tc>
        <w:tc>
          <w:tcPr>
            <w:tcW w:w="1531"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100 241 681</w:t>
            </w:r>
          </w:p>
        </w:tc>
        <w:tc>
          <w:tcPr>
            <w:tcW w:w="895"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37,0%</w:t>
            </w:r>
          </w:p>
        </w:tc>
        <w:tc>
          <w:tcPr>
            <w:tcW w:w="1343"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100 236 623</w:t>
            </w:r>
          </w:p>
        </w:tc>
        <w:tc>
          <w:tcPr>
            <w:tcW w:w="748" w:type="dxa"/>
            <w:shd w:val="clear" w:color="000000" w:fill="FFFFFF"/>
            <w:noWrap/>
            <w:vAlign w:val="center"/>
            <w:hideMark/>
          </w:tcPr>
          <w:p w:rsidR="004576ED" w:rsidRPr="004576ED" w:rsidRDefault="004576ED" w:rsidP="00B50950">
            <w:pPr>
              <w:jc w:val="center"/>
              <w:rPr>
                <w:color w:val="000000"/>
                <w:sz w:val="18"/>
                <w:szCs w:val="18"/>
              </w:rPr>
            </w:pPr>
            <w:r w:rsidRPr="004576ED">
              <w:rPr>
                <w:color w:val="000000"/>
                <w:sz w:val="18"/>
                <w:szCs w:val="18"/>
              </w:rPr>
              <w:t>36,9%</w:t>
            </w:r>
          </w:p>
        </w:tc>
      </w:tr>
      <w:tr w:rsidR="004576ED" w:rsidRPr="004576ED" w:rsidTr="00CA399B">
        <w:trPr>
          <w:trHeight w:val="300"/>
        </w:trPr>
        <w:tc>
          <w:tcPr>
            <w:tcW w:w="883" w:type="dxa"/>
            <w:shd w:val="clear" w:color="000000" w:fill="D9D9D9"/>
            <w:vAlign w:val="center"/>
            <w:hideMark/>
          </w:tcPr>
          <w:p w:rsidR="004576ED" w:rsidRPr="004576ED" w:rsidRDefault="004576ED" w:rsidP="0004025B">
            <w:pPr>
              <w:jc w:val="center"/>
              <w:rPr>
                <w:b/>
                <w:bCs/>
                <w:color w:val="000000"/>
                <w:sz w:val="18"/>
                <w:szCs w:val="18"/>
              </w:rPr>
            </w:pPr>
            <w:r w:rsidRPr="004576ED">
              <w:rPr>
                <w:b/>
                <w:bCs/>
                <w:color w:val="000000"/>
                <w:sz w:val="18"/>
                <w:szCs w:val="18"/>
              </w:rPr>
              <w:t>PO 3</w:t>
            </w:r>
          </w:p>
        </w:tc>
        <w:tc>
          <w:tcPr>
            <w:tcW w:w="1578" w:type="dxa"/>
            <w:shd w:val="clear" w:color="000000" w:fill="D9D9D9"/>
            <w:noWrap/>
            <w:vAlign w:val="center"/>
            <w:hideMark/>
          </w:tcPr>
          <w:p w:rsidR="004576ED" w:rsidRPr="004576ED" w:rsidRDefault="004576ED" w:rsidP="0004025B">
            <w:pPr>
              <w:jc w:val="center"/>
              <w:rPr>
                <w:b/>
                <w:bCs/>
                <w:color w:val="000000"/>
                <w:sz w:val="18"/>
                <w:szCs w:val="18"/>
              </w:rPr>
            </w:pPr>
            <w:r w:rsidRPr="004576ED">
              <w:rPr>
                <w:b/>
                <w:bCs/>
                <w:color w:val="000000"/>
                <w:sz w:val="18"/>
                <w:szCs w:val="18"/>
              </w:rPr>
              <w:t>614 618 060</w:t>
            </w:r>
          </w:p>
        </w:tc>
        <w:tc>
          <w:tcPr>
            <w:tcW w:w="1343" w:type="dxa"/>
            <w:shd w:val="clear" w:color="000000" w:fill="D9D9D9"/>
            <w:noWrap/>
            <w:vAlign w:val="center"/>
            <w:hideMark/>
          </w:tcPr>
          <w:p w:rsidR="004576ED" w:rsidRPr="004576ED" w:rsidRDefault="004576ED" w:rsidP="0004025B">
            <w:pPr>
              <w:jc w:val="center"/>
              <w:rPr>
                <w:b/>
                <w:bCs/>
                <w:color w:val="000000"/>
                <w:sz w:val="18"/>
                <w:szCs w:val="18"/>
              </w:rPr>
            </w:pPr>
            <w:r w:rsidRPr="004576ED">
              <w:rPr>
                <w:b/>
                <w:bCs/>
                <w:color w:val="000000"/>
                <w:sz w:val="18"/>
                <w:szCs w:val="18"/>
              </w:rPr>
              <w:t>587 033 114</w:t>
            </w:r>
          </w:p>
        </w:tc>
        <w:tc>
          <w:tcPr>
            <w:tcW w:w="819" w:type="dxa"/>
            <w:shd w:val="clear" w:color="000000" w:fill="D9D9D9"/>
            <w:noWrap/>
            <w:vAlign w:val="center"/>
            <w:hideMark/>
          </w:tcPr>
          <w:p w:rsidR="004576ED" w:rsidRPr="004576ED" w:rsidRDefault="004576ED" w:rsidP="0004025B">
            <w:pPr>
              <w:jc w:val="center"/>
              <w:rPr>
                <w:b/>
                <w:bCs/>
                <w:color w:val="000000"/>
                <w:sz w:val="18"/>
                <w:szCs w:val="18"/>
              </w:rPr>
            </w:pPr>
            <w:r w:rsidRPr="004576ED">
              <w:rPr>
                <w:b/>
                <w:bCs/>
                <w:color w:val="000000"/>
                <w:sz w:val="18"/>
                <w:szCs w:val="18"/>
              </w:rPr>
              <w:t>95,5%</w:t>
            </w:r>
          </w:p>
        </w:tc>
        <w:tc>
          <w:tcPr>
            <w:tcW w:w="1531" w:type="dxa"/>
            <w:shd w:val="clear" w:color="000000" w:fill="D9D9D9"/>
            <w:noWrap/>
            <w:vAlign w:val="center"/>
            <w:hideMark/>
          </w:tcPr>
          <w:p w:rsidR="004576ED" w:rsidRPr="004576ED" w:rsidRDefault="004576ED" w:rsidP="0004025B">
            <w:pPr>
              <w:jc w:val="center"/>
              <w:rPr>
                <w:b/>
                <w:bCs/>
                <w:color w:val="000000"/>
                <w:sz w:val="18"/>
                <w:szCs w:val="18"/>
              </w:rPr>
            </w:pPr>
            <w:r w:rsidRPr="004576ED">
              <w:rPr>
                <w:b/>
                <w:bCs/>
                <w:color w:val="000000"/>
                <w:sz w:val="18"/>
                <w:szCs w:val="18"/>
              </w:rPr>
              <w:t>332 047 125</w:t>
            </w:r>
          </w:p>
        </w:tc>
        <w:tc>
          <w:tcPr>
            <w:tcW w:w="895" w:type="dxa"/>
            <w:shd w:val="clear" w:color="000000" w:fill="D9D9D9"/>
            <w:noWrap/>
            <w:vAlign w:val="center"/>
            <w:hideMark/>
          </w:tcPr>
          <w:p w:rsidR="004576ED" w:rsidRPr="004576ED" w:rsidRDefault="004576ED" w:rsidP="0004025B">
            <w:pPr>
              <w:jc w:val="center"/>
              <w:rPr>
                <w:b/>
                <w:bCs/>
                <w:color w:val="000000"/>
                <w:sz w:val="18"/>
                <w:szCs w:val="18"/>
              </w:rPr>
            </w:pPr>
            <w:r w:rsidRPr="004576ED">
              <w:rPr>
                <w:b/>
                <w:bCs/>
                <w:color w:val="000000"/>
                <w:sz w:val="18"/>
                <w:szCs w:val="18"/>
              </w:rPr>
              <w:t>54,0%</w:t>
            </w:r>
          </w:p>
        </w:tc>
        <w:tc>
          <w:tcPr>
            <w:tcW w:w="1343" w:type="dxa"/>
            <w:shd w:val="clear" w:color="000000" w:fill="D9D9D9"/>
            <w:noWrap/>
            <w:vAlign w:val="center"/>
            <w:hideMark/>
          </w:tcPr>
          <w:p w:rsidR="004576ED" w:rsidRPr="004576ED" w:rsidRDefault="004576ED" w:rsidP="0004025B">
            <w:pPr>
              <w:jc w:val="center"/>
              <w:rPr>
                <w:b/>
                <w:bCs/>
                <w:color w:val="000000"/>
                <w:sz w:val="18"/>
                <w:szCs w:val="18"/>
              </w:rPr>
            </w:pPr>
            <w:r w:rsidRPr="004576ED">
              <w:rPr>
                <w:b/>
                <w:bCs/>
                <w:color w:val="000000"/>
                <w:sz w:val="18"/>
                <w:szCs w:val="18"/>
              </w:rPr>
              <w:t>324 569 025</w:t>
            </w:r>
          </w:p>
        </w:tc>
        <w:tc>
          <w:tcPr>
            <w:tcW w:w="748" w:type="dxa"/>
            <w:shd w:val="clear" w:color="000000" w:fill="D9D9D9"/>
            <w:noWrap/>
            <w:vAlign w:val="center"/>
            <w:hideMark/>
          </w:tcPr>
          <w:p w:rsidR="004576ED" w:rsidRPr="004576ED" w:rsidRDefault="004576ED" w:rsidP="0004025B">
            <w:pPr>
              <w:jc w:val="center"/>
              <w:rPr>
                <w:b/>
                <w:bCs/>
                <w:color w:val="000000"/>
                <w:sz w:val="18"/>
                <w:szCs w:val="18"/>
              </w:rPr>
            </w:pPr>
            <w:r w:rsidRPr="004576ED">
              <w:rPr>
                <w:b/>
                <w:bCs/>
                <w:color w:val="000000"/>
                <w:sz w:val="18"/>
                <w:szCs w:val="18"/>
              </w:rPr>
              <w:t>52,8%</w:t>
            </w:r>
          </w:p>
        </w:tc>
      </w:tr>
    </w:tbl>
    <w:p w:rsidR="00A75862" w:rsidRPr="00D95A18" w:rsidRDefault="00A75862" w:rsidP="00D8282A">
      <w:pPr>
        <w:spacing w:before="60"/>
        <w:rPr>
          <w:i/>
          <w:sz w:val="18"/>
          <w:szCs w:val="18"/>
        </w:rPr>
      </w:pPr>
      <w:r w:rsidRPr="00D95A18">
        <w:rPr>
          <w:i/>
          <w:sz w:val="18"/>
          <w:szCs w:val="18"/>
        </w:rPr>
        <w:t xml:space="preserve">Zdroj: MSC2007 ke dni </w:t>
      </w:r>
      <w:r w:rsidR="00E037E5">
        <w:rPr>
          <w:i/>
          <w:sz w:val="18"/>
          <w:szCs w:val="18"/>
        </w:rPr>
        <w:t>31</w:t>
      </w:r>
      <w:r w:rsidR="00E037E5" w:rsidRPr="00D95A18">
        <w:rPr>
          <w:i/>
          <w:sz w:val="18"/>
          <w:szCs w:val="18"/>
        </w:rPr>
        <w:t>. 12. 2014</w:t>
      </w:r>
    </w:p>
    <w:p w:rsidR="00A75862" w:rsidRPr="00D95A18" w:rsidRDefault="00A75862" w:rsidP="00D8282A">
      <w:pPr>
        <w:rPr>
          <w:i/>
          <w:sz w:val="18"/>
          <w:szCs w:val="18"/>
        </w:rPr>
      </w:pPr>
      <w:r w:rsidRPr="00D95A18">
        <w:rPr>
          <w:i/>
          <w:sz w:val="18"/>
          <w:szCs w:val="18"/>
        </w:rPr>
        <w:t xml:space="preserve">Kurz CZK/EUR: </w:t>
      </w:r>
      <w:r w:rsidR="004576ED">
        <w:rPr>
          <w:i/>
          <w:sz w:val="18"/>
          <w:szCs w:val="18"/>
        </w:rPr>
        <w:t>27,728</w:t>
      </w:r>
    </w:p>
    <w:p w:rsidR="00A75862" w:rsidRPr="00D95A18" w:rsidRDefault="00A75862" w:rsidP="00D8282A">
      <w:pPr>
        <w:rPr>
          <w:i/>
          <w:sz w:val="18"/>
          <w:szCs w:val="18"/>
        </w:rPr>
      </w:pPr>
      <w:r w:rsidRPr="00D95A18">
        <w:rPr>
          <w:i/>
          <w:sz w:val="18"/>
          <w:szCs w:val="18"/>
        </w:rPr>
        <w:t xml:space="preserve">Zdroj financování: </w:t>
      </w:r>
      <w:r w:rsidR="00AD1506">
        <w:rPr>
          <w:i/>
          <w:sz w:val="18"/>
          <w:szCs w:val="18"/>
        </w:rPr>
        <w:t xml:space="preserve">podíl EU </w:t>
      </w:r>
    </w:p>
    <w:p w:rsidR="00A75862" w:rsidRDefault="00A75862" w:rsidP="004D5C36">
      <w:pPr>
        <w:spacing w:after="120"/>
        <w:jc w:val="both"/>
        <w:rPr>
          <w:sz w:val="22"/>
          <w:szCs w:val="22"/>
          <w:highlight w:val="lightGray"/>
        </w:rPr>
      </w:pPr>
    </w:p>
    <w:p w:rsidR="0056752C" w:rsidRDefault="0056752C" w:rsidP="0056752C">
      <w:pPr>
        <w:jc w:val="both"/>
        <w:rPr>
          <w:sz w:val="22"/>
          <w:szCs w:val="22"/>
          <w:u w:val="single"/>
        </w:rPr>
      </w:pPr>
      <w:r w:rsidRPr="002D519D">
        <w:rPr>
          <w:sz w:val="22"/>
          <w:szCs w:val="22"/>
          <w:u w:val="single"/>
        </w:rPr>
        <w:t>Statistika vyřazování projektů</w:t>
      </w:r>
    </w:p>
    <w:p w:rsidR="007A1D9C" w:rsidRPr="00AB18AA" w:rsidRDefault="007A1D9C" w:rsidP="007A1D9C">
      <w:pPr>
        <w:jc w:val="both"/>
        <w:rPr>
          <w:sz w:val="22"/>
          <w:szCs w:val="22"/>
        </w:rPr>
      </w:pPr>
      <w:r w:rsidRPr="00AB18AA">
        <w:rPr>
          <w:sz w:val="22"/>
          <w:szCs w:val="22"/>
        </w:rPr>
        <w:t xml:space="preserve">Od počátku vyhlášení výzev v oblasti intervence 3.1 bylo kumulativně vyřazeno </w:t>
      </w:r>
      <w:r>
        <w:rPr>
          <w:sz w:val="22"/>
          <w:szCs w:val="22"/>
        </w:rPr>
        <w:t>336</w:t>
      </w:r>
      <w:r w:rsidRPr="00AB18AA">
        <w:rPr>
          <w:sz w:val="22"/>
          <w:szCs w:val="22"/>
        </w:rPr>
        <w:t xml:space="preserve"> projektů z celkem 474 předložených projektových žádostí, což představuje </w:t>
      </w:r>
      <w:r>
        <w:rPr>
          <w:sz w:val="22"/>
          <w:szCs w:val="22"/>
        </w:rPr>
        <w:t xml:space="preserve">70,89 </w:t>
      </w:r>
      <w:r w:rsidRPr="00AB18AA">
        <w:rPr>
          <w:sz w:val="22"/>
          <w:szCs w:val="22"/>
        </w:rPr>
        <w:t xml:space="preserve">% z celkového počtu podaných žádostí. Nejčastějším důvodem vyřazení </w:t>
      </w:r>
      <w:r>
        <w:rPr>
          <w:sz w:val="22"/>
          <w:szCs w:val="22"/>
        </w:rPr>
        <w:t xml:space="preserve">projektových </w:t>
      </w:r>
      <w:r w:rsidRPr="00AB18AA">
        <w:rPr>
          <w:sz w:val="22"/>
          <w:szCs w:val="22"/>
        </w:rPr>
        <w:t>žádostí je nesplnění podmínek hodnocení projektu</w:t>
      </w:r>
      <w:r>
        <w:rPr>
          <w:sz w:val="22"/>
          <w:szCs w:val="22"/>
        </w:rPr>
        <w:t xml:space="preserve"> (stav </w:t>
      </w:r>
      <w:proofErr w:type="gramStart"/>
      <w:r>
        <w:rPr>
          <w:sz w:val="22"/>
          <w:szCs w:val="22"/>
        </w:rPr>
        <w:t>N.21</w:t>
      </w:r>
      <w:proofErr w:type="gramEnd"/>
      <w:r>
        <w:rPr>
          <w:sz w:val="22"/>
          <w:szCs w:val="22"/>
        </w:rPr>
        <w:t xml:space="preserve">) s podílem vyřazených žádostí ve vazbě k celkovému počtu podaných žádostí 40%. V roce 2014 došlo k výraznému navýšení počtu projektů ve stavu </w:t>
      </w:r>
      <w:proofErr w:type="gramStart"/>
      <w:r>
        <w:rPr>
          <w:sz w:val="22"/>
          <w:szCs w:val="22"/>
        </w:rPr>
        <w:t>N.5.</w:t>
      </w:r>
      <w:proofErr w:type="gramEnd"/>
      <w:r>
        <w:rPr>
          <w:sz w:val="22"/>
          <w:szCs w:val="22"/>
        </w:rPr>
        <w:t xml:space="preserve"> U celkem 21 projektů v roce 2014 v OI 3.1 příjemci odstoupili od realizace projektu. </w:t>
      </w:r>
    </w:p>
    <w:p w:rsidR="0056752C" w:rsidRDefault="0056752C" w:rsidP="0056752C">
      <w:pPr>
        <w:jc w:val="both"/>
        <w:rPr>
          <w:sz w:val="22"/>
          <w:szCs w:val="22"/>
        </w:rPr>
      </w:pPr>
    </w:p>
    <w:p w:rsidR="00663C7A" w:rsidRDefault="00663C7A" w:rsidP="00663C7A">
      <w:pPr>
        <w:jc w:val="both"/>
        <w:rPr>
          <w:b/>
        </w:rPr>
      </w:pPr>
    </w:p>
    <w:p w:rsidR="00EA1D37" w:rsidRDefault="00663C7A" w:rsidP="00E037E5">
      <w:pPr>
        <w:pStyle w:val="Tabulkanzev"/>
      </w:pPr>
      <w:bookmarkStart w:id="190" w:name="_Toc416431840"/>
      <w:r w:rsidRPr="00B52CF0">
        <w:t>Tabulka vyřazených projektů</w:t>
      </w:r>
      <w:r>
        <w:t xml:space="preserve"> v oblasti intervence 3.1</w:t>
      </w:r>
      <w:bookmarkEnd w:id="190"/>
    </w:p>
    <w:tbl>
      <w:tblPr>
        <w:tblW w:w="9100" w:type="dxa"/>
        <w:tblInd w:w="47" w:type="dxa"/>
        <w:tblCellMar>
          <w:left w:w="70" w:type="dxa"/>
          <w:right w:w="70" w:type="dxa"/>
        </w:tblCellMar>
        <w:tblLook w:val="04A0" w:firstRow="1" w:lastRow="0" w:firstColumn="1" w:lastColumn="0" w:noHBand="0" w:noVBand="1"/>
      </w:tblPr>
      <w:tblGrid>
        <w:gridCol w:w="4418"/>
        <w:gridCol w:w="1134"/>
        <w:gridCol w:w="1134"/>
        <w:gridCol w:w="1324"/>
        <w:gridCol w:w="1090"/>
      </w:tblGrid>
      <w:tr w:rsidR="00EA1D37" w:rsidRPr="00EA1D37" w:rsidTr="0083306C">
        <w:trPr>
          <w:trHeight w:val="330"/>
        </w:trPr>
        <w:tc>
          <w:tcPr>
            <w:tcW w:w="9100"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EA1D37" w:rsidRPr="00EA1D37" w:rsidRDefault="00EA1D37" w:rsidP="00EA1D37">
            <w:pPr>
              <w:jc w:val="center"/>
              <w:rPr>
                <w:b/>
                <w:bCs/>
                <w:color w:val="000000"/>
              </w:rPr>
            </w:pPr>
            <w:r w:rsidRPr="00EA1D37">
              <w:rPr>
                <w:b/>
                <w:bCs/>
                <w:color w:val="000000"/>
              </w:rPr>
              <w:t>Oblast podpory 3.1</w:t>
            </w:r>
          </w:p>
        </w:tc>
      </w:tr>
      <w:tr w:rsidR="00EA1D37" w:rsidRPr="00EA1D37" w:rsidTr="0083306C">
        <w:trPr>
          <w:trHeight w:val="1250"/>
        </w:trPr>
        <w:tc>
          <w:tcPr>
            <w:tcW w:w="4418"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EA1D37" w:rsidRPr="00EA1D37" w:rsidRDefault="00EA1D37" w:rsidP="00EA1D37">
            <w:pPr>
              <w:jc w:val="center"/>
              <w:rPr>
                <w:b/>
                <w:bCs/>
                <w:color w:val="000000"/>
                <w:sz w:val="16"/>
                <w:szCs w:val="16"/>
              </w:rPr>
            </w:pPr>
            <w:r w:rsidRPr="00EA1D37">
              <w:rPr>
                <w:b/>
                <w:bCs/>
                <w:color w:val="000000"/>
                <w:sz w:val="16"/>
                <w:szCs w:val="16"/>
              </w:rPr>
              <w:t>Stav projektů</w:t>
            </w:r>
          </w:p>
        </w:tc>
        <w:tc>
          <w:tcPr>
            <w:tcW w:w="1134" w:type="dxa"/>
            <w:tcBorders>
              <w:top w:val="nil"/>
              <w:left w:val="nil"/>
              <w:bottom w:val="single" w:sz="8" w:space="0" w:color="4F6228"/>
              <w:right w:val="single" w:sz="8" w:space="0" w:color="4F6228"/>
            </w:tcBorders>
            <w:shd w:val="clear" w:color="auto" w:fill="C2D69B" w:themeFill="accent3" w:themeFillTint="99"/>
            <w:vAlign w:val="center"/>
            <w:hideMark/>
          </w:tcPr>
          <w:p w:rsidR="00EA1D37" w:rsidRPr="00EA1D37" w:rsidRDefault="00EA1D37" w:rsidP="00EA1D37">
            <w:pPr>
              <w:jc w:val="center"/>
              <w:rPr>
                <w:b/>
                <w:bCs/>
                <w:color w:val="000000"/>
                <w:sz w:val="16"/>
                <w:szCs w:val="16"/>
              </w:rPr>
            </w:pPr>
            <w:r w:rsidRPr="00EA1D37">
              <w:rPr>
                <w:b/>
                <w:bCs/>
                <w:color w:val="000000"/>
                <w:sz w:val="16"/>
                <w:szCs w:val="16"/>
              </w:rPr>
              <w:t>Počet projektů vyřazených za oblast podpory</w:t>
            </w:r>
          </w:p>
        </w:tc>
        <w:tc>
          <w:tcPr>
            <w:tcW w:w="1134" w:type="dxa"/>
            <w:tcBorders>
              <w:top w:val="nil"/>
              <w:left w:val="nil"/>
              <w:bottom w:val="single" w:sz="8" w:space="0" w:color="4F6228"/>
              <w:right w:val="single" w:sz="8" w:space="0" w:color="4F6228"/>
            </w:tcBorders>
            <w:shd w:val="clear" w:color="auto" w:fill="C2D69B" w:themeFill="accent3" w:themeFillTint="99"/>
            <w:vAlign w:val="center"/>
            <w:hideMark/>
          </w:tcPr>
          <w:p w:rsidR="00EA1D37" w:rsidRPr="00EA1D37" w:rsidRDefault="00EA1D37" w:rsidP="00EA1D37">
            <w:pPr>
              <w:jc w:val="center"/>
              <w:rPr>
                <w:b/>
                <w:bCs/>
                <w:color w:val="000000"/>
                <w:sz w:val="16"/>
                <w:szCs w:val="16"/>
              </w:rPr>
            </w:pPr>
            <w:r w:rsidRPr="00EA1D37">
              <w:rPr>
                <w:b/>
                <w:bCs/>
                <w:color w:val="000000"/>
                <w:sz w:val="16"/>
                <w:szCs w:val="16"/>
              </w:rPr>
              <w:t>Podíl vyřazených projektů za oblast podpory</w:t>
            </w:r>
          </w:p>
        </w:tc>
        <w:tc>
          <w:tcPr>
            <w:tcW w:w="1324" w:type="dxa"/>
            <w:tcBorders>
              <w:top w:val="nil"/>
              <w:left w:val="nil"/>
              <w:bottom w:val="single" w:sz="8" w:space="0" w:color="4F6228"/>
              <w:right w:val="single" w:sz="8" w:space="0" w:color="4F6228"/>
            </w:tcBorders>
            <w:shd w:val="clear" w:color="auto" w:fill="C2D69B" w:themeFill="accent3" w:themeFillTint="99"/>
            <w:vAlign w:val="center"/>
            <w:hideMark/>
          </w:tcPr>
          <w:p w:rsidR="00EA1D37" w:rsidRPr="00EA1D37" w:rsidRDefault="00EA1D37" w:rsidP="00EA1D37">
            <w:pPr>
              <w:jc w:val="center"/>
              <w:rPr>
                <w:b/>
                <w:bCs/>
                <w:color w:val="000000"/>
                <w:sz w:val="16"/>
                <w:szCs w:val="16"/>
              </w:rPr>
            </w:pPr>
            <w:r w:rsidRPr="00EA1D37">
              <w:rPr>
                <w:b/>
                <w:bCs/>
                <w:color w:val="000000"/>
                <w:sz w:val="16"/>
                <w:szCs w:val="16"/>
              </w:rPr>
              <w:t>Srovnávací hodnota podílu vyřazených projektů za celý program</w:t>
            </w:r>
          </w:p>
        </w:tc>
        <w:tc>
          <w:tcPr>
            <w:tcW w:w="1090" w:type="dxa"/>
            <w:tcBorders>
              <w:top w:val="nil"/>
              <w:left w:val="nil"/>
              <w:bottom w:val="single" w:sz="8" w:space="0" w:color="4F6228"/>
              <w:right w:val="double" w:sz="6" w:space="0" w:color="4F6228"/>
            </w:tcBorders>
            <w:shd w:val="clear" w:color="auto" w:fill="C2D69B" w:themeFill="accent3" w:themeFillTint="99"/>
            <w:vAlign w:val="center"/>
            <w:hideMark/>
          </w:tcPr>
          <w:p w:rsidR="00EA1D37" w:rsidRPr="00EA1D37" w:rsidRDefault="00EA1D37" w:rsidP="00EA1D37">
            <w:pPr>
              <w:jc w:val="center"/>
              <w:rPr>
                <w:b/>
                <w:bCs/>
                <w:color w:val="000000"/>
                <w:sz w:val="16"/>
                <w:szCs w:val="16"/>
              </w:rPr>
            </w:pPr>
            <w:r w:rsidRPr="00EA1D37">
              <w:rPr>
                <w:b/>
                <w:bCs/>
                <w:color w:val="000000"/>
                <w:sz w:val="16"/>
                <w:szCs w:val="16"/>
              </w:rPr>
              <w:t>Počet vyřazených projektů za rok 2014</w:t>
            </w:r>
          </w:p>
        </w:tc>
      </w:tr>
      <w:tr w:rsidR="00EA1D37" w:rsidRPr="00EA1D37" w:rsidTr="0083306C">
        <w:trPr>
          <w:trHeight w:val="25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N1.1 Projektová žádost nesplnila alespoň jedno kritérium přijatelnosti</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16</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3,38%</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1,59%</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 </w:t>
            </w:r>
          </w:p>
        </w:tc>
      </w:tr>
      <w:tr w:rsidR="00EA1D37" w:rsidRPr="00EA1D37"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N1.2 Projektová žádost nesplnila formální náležitosti</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13</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2,74%</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0,75%</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 </w:t>
            </w:r>
          </w:p>
        </w:tc>
      </w:tr>
      <w:tr w:rsidR="00EA1D37" w:rsidRPr="00EA1D37" w:rsidTr="0083306C">
        <w:trPr>
          <w:trHeight w:val="465"/>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N2.3 Projekt nedoporučen k financování výběrovou komisí</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11</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2,32%</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0,41%</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11</w:t>
            </w:r>
          </w:p>
        </w:tc>
      </w:tr>
      <w:tr w:rsidR="00EA1D37" w:rsidRPr="00EA1D37"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N2.1 Projekt nesplnil podmínky hodnocení</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190</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40,08%</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3,07%</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10</w:t>
            </w:r>
          </w:p>
        </w:tc>
      </w:tr>
      <w:tr w:rsidR="00EA1D37" w:rsidRPr="00EA1D37" w:rsidTr="0083306C">
        <w:trPr>
          <w:trHeight w:val="465"/>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N2.2 Odeslán dopis o vyřazení projektové žádosti na základě ex-ante kontroly</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7</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1,48%</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0,30%</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w:t>
            </w:r>
          </w:p>
        </w:tc>
      </w:tr>
      <w:tr w:rsidR="00EA1D37" w:rsidRPr="00EA1D37" w:rsidTr="0010129A">
        <w:trPr>
          <w:trHeight w:val="337"/>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N2.3 Projekt nedoporučen k financování výběrovou komisí</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24</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5,06%</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0,47%</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8</w:t>
            </w:r>
          </w:p>
        </w:tc>
      </w:tr>
      <w:tr w:rsidR="00EA1D37" w:rsidRPr="00EA1D37" w:rsidTr="0010129A">
        <w:trPr>
          <w:trHeight w:val="465"/>
        </w:trPr>
        <w:tc>
          <w:tcPr>
            <w:tcW w:w="4418" w:type="dxa"/>
            <w:tcBorders>
              <w:top w:val="single" w:sz="8" w:space="0" w:color="4F6228"/>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lastRenderedPageBreak/>
              <w:t>N4.1 Vydání rozhodnutí o poskytnutí dotace/stanovení výdajů zamítnuto</w:t>
            </w:r>
          </w:p>
        </w:tc>
        <w:tc>
          <w:tcPr>
            <w:tcW w:w="1134" w:type="dxa"/>
            <w:tcBorders>
              <w:top w:val="single" w:sz="8" w:space="0" w:color="4F6228"/>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w:t>
            </w:r>
          </w:p>
        </w:tc>
        <w:tc>
          <w:tcPr>
            <w:tcW w:w="1134" w:type="dxa"/>
            <w:tcBorders>
              <w:top w:val="single" w:sz="8" w:space="0" w:color="4F6228"/>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0,21%</w:t>
            </w:r>
          </w:p>
        </w:tc>
        <w:tc>
          <w:tcPr>
            <w:tcW w:w="1324" w:type="dxa"/>
            <w:tcBorders>
              <w:top w:val="single" w:sz="8" w:space="0" w:color="4F6228"/>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0,03%</w:t>
            </w:r>
          </w:p>
        </w:tc>
        <w:tc>
          <w:tcPr>
            <w:tcW w:w="1090" w:type="dxa"/>
            <w:tcBorders>
              <w:top w:val="single" w:sz="8" w:space="0" w:color="4F6228"/>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 </w:t>
            </w:r>
          </w:p>
        </w:tc>
      </w:tr>
      <w:tr w:rsidR="00EA1D37" w:rsidRPr="00EA1D37"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N5 Projektová žádost stažena žadatelem</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59</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12,45%</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3,43%</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10</w:t>
            </w:r>
          </w:p>
        </w:tc>
      </w:tr>
      <w:tr w:rsidR="00EA1D37" w:rsidRPr="00EA1D37"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N7 Projekt nedokončen/stažen</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15</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3,16%</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1,92%</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11</w:t>
            </w:r>
          </w:p>
        </w:tc>
      </w:tr>
      <w:tr w:rsidR="00EA1D37" w:rsidRPr="00EA1D37"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EA1D37" w:rsidRDefault="00EA1D37" w:rsidP="00EA1D37">
            <w:pPr>
              <w:rPr>
                <w:i/>
                <w:iCs/>
                <w:color w:val="000000"/>
                <w:sz w:val="16"/>
                <w:szCs w:val="16"/>
              </w:rPr>
            </w:pPr>
            <w:r w:rsidRPr="00EA1D37">
              <w:rPr>
                <w:i/>
                <w:iCs/>
                <w:color w:val="000000"/>
                <w:sz w:val="16"/>
                <w:szCs w:val="16"/>
              </w:rPr>
              <w:t>N8 Smlouva ukončena ze strany ŘO/ZS</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 </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0,00%</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0,07%</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EA1D37" w:rsidRDefault="00EA1D37" w:rsidP="00EA1D37">
            <w:pPr>
              <w:jc w:val="center"/>
              <w:rPr>
                <w:color w:val="000000"/>
              </w:rPr>
            </w:pPr>
            <w:r w:rsidRPr="00EA1D37">
              <w:rPr>
                <w:color w:val="000000"/>
              </w:rPr>
              <w:t> </w:t>
            </w:r>
          </w:p>
        </w:tc>
      </w:tr>
      <w:tr w:rsidR="00EA1D37" w:rsidRPr="00EA1D37" w:rsidTr="0083306C">
        <w:trPr>
          <w:trHeight w:val="335"/>
        </w:trPr>
        <w:tc>
          <w:tcPr>
            <w:tcW w:w="4418"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EA1D37" w:rsidRPr="00EA1D37" w:rsidRDefault="00EA1D37" w:rsidP="00EA1D37">
            <w:pPr>
              <w:rPr>
                <w:b/>
                <w:bCs/>
                <w:i/>
                <w:iCs/>
                <w:color w:val="000000"/>
              </w:rPr>
            </w:pPr>
            <w:r w:rsidRPr="00EA1D37">
              <w:rPr>
                <w:b/>
                <w:bCs/>
                <w:i/>
                <w:iCs/>
                <w:color w:val="000000"/>
              </w:rPr>
              <w:t>Celkem</w:t>
            </w:r>
          </w:p>
        </w:tc>
        <w:tc>
          <w:tcPr>
            <w:tcW w:w="1134" w:type="dxa"/>
            <w:tcBorders>
              <w:top w:val="nil"/>
              <w:left w:val="nil"/>
              <w:bottom w:val="double" w:sz="6" w:space="0" w:color="4F6228"/>
              <w:right w:val="single" w:sz="8" w:space="0" w:color="4F6228"/>
            </w:tcBorders>
            <w:shd w:val="clear" w:color="auto" w:fill="C2D69B" w:themeFill="accent3" w:themeFillTint="99"/>
            <w:noWrap/>
            <w:vAlign w:val="center"/>
            <w:hideMark/>
          </w:tcPr>
          <w:p w:rsidR="00EA1D37" w:rsidRPr="00EA1D37" w:rsidRDefault="00EA1D37" w:rsidP="00EA1D37">
            <w:pPr>
              <w:jc w:val="center"/>
              <w:rPr>
                <w:b/>
                <w:bCs/>
                <w:color w:val="000000"/>
              </w:rPr>
            </w:pPr>
            <w:r w:rsidRPr="00EA1D37">
              <w:rPr>
                <w:b/>
                <w:bCs/>
                <w:color w:val="000000"/>
              </w:rPr>
              <w:t>336</w:t>
            </w:r>
          </w:p>
        </w:tc>
        <w:tc>
          <w:tcPr>
            <w:tcW w:w="1134" w:type="dxa"/>
            <w:tcBorders>
              <w:top w:val="nil"/>
              <w:left w:val="nil"/>
              <w:bottom w:val="double" w:sz="6" w:space="0" w:color="4F6228"/>
              <w:right w:val="single" w:sz="8" w:space="0" w:color="4F6228"/>
            </w:tcBorders>
            <w:shd w:val="clear" w:color="auto" w:fill="C2D69B" w:themeFill="accent3" w:themeFillTint="99"/>
            <w:noWrap/>
            <w:vAlign w:val="center"/>
            <w:hideMark/>
          </w:tcPr>
          <w:p w:rsidR="00EA1D37" w:rsidRPr="00EA1D37" w:rsidRDefault="00EA1D37" w:rsidP="00EA1D37">
            <w:pPr>
              <w:jc w:val="center"/>
              <w:rPr>
                <w:b/>
                <w:bCs/>
                <w:color w:val="000000"/>
              </w:rPr>
            </w:pPr>
            <w:r w:rsidRPr="00EA1D37">
              <w:rPr>
                <w:b/>
                <w:bCs/>
                <w:color w:val="000000"/>
              </w:rPr>
              <w:t>70,89%</w:t>
            </w:r>
          </w:p>
        </w:tc>
        <w:tc>
          <w:tcPr>
            <w:tcW w:w="1324" w:type="dxa"/>
            <w:tcBorders>
              <w:top w:val="nil"/>
              <w:left w:val="nil"/>
              <w:bottom w:val="double" w:sz="6" w:space="0" w:color="4F6228"/>
              <w:right w:val="single" w:sz="8" w:space="0" w:color="4F6228"/>
            </w:tcBorders>
            <w:shd w:val="clear" w:color="auto" w:fill="C2D69B" w:themeFill="accent3" w:themeFillTint="99"/>
            <w:noWrap/>
            <w:vAlign w:val="center"/>
            <w:hideMark/>
          </w:tcPr>
          <w:p w:rsidR="00EA1D37" w:rsidRPr="00EA1D37" w:rsidRDefault="00EA1D37" w:rsidP="00EA1D37">
            <w:pPr>
              <w:jc w:val="center"/>
              <w:rPr>
                <w:b/>
                <w:bCs/>
                <w:color w:val="000000"/>
              </w:rPr>
            </w:pPr>
            <w:r w:rsidRPr="00EA1D37">
              <w:rPr>
                <w:b/>
                <w:bCs/>
                <w:color w:val="000000"/>
              </w:rPr>
              <w:t>12,05%</w:t>
            </w:r>
          </w:p>
        </w:tc>
        <w:tc>
          <w:tcPr>
            <w:tcW w:w="1090" w:type="dxa"/>
            <w:tcBorders>
              <w:top w:val="nil"/>
              <w:left w:val="nil"/>
              <w:bottom w:val="double" w:sz="6" w:space="0" w:color="4F6228"/>
              <w:right w:val="double" w:sz="6" w:space="0" w:color="4F6228"/>
            </w:tcBorders>
            <w:shd w:val="clear" w:color="auto" w:fill="C2D69B" w:themeFill="accent3" w:themeFillTint="99"/>
            <w:noWrap/>
            <w:vAlign w:val="center"/>
            <w:hideMark/>
          </w:tcPr>
          <w:p w:rsidR="00EA1D37" w:rsidRPr="00EA1D37" w:rsidRDefault="00EA1D37" w:rsidP="00EA1D37">
            <w:pPr>
              <w:jc w:val="center"/>
              <w:rPr>
                <w:b/>
                <w:bCs/>
                <w:color w:val="000000"/>
              </w:rPr>
            </w:pPr>
            <w:r w:rsidRPr="00EA1D37">
              <w:rPr>
                <w:b/>
                <w:bCs/>
                <w:color w:val="000000"/>
              </w:rPr>
              <w:t>51</w:t>
            </w:r>
          </w:p>
        </w:tc>
      </w:tr>
    </w:tbl>
    <w:p w:rsidR="00E6542F" w:rsidRDefault="00E6542F" w:rsidP="00E6542F">
      <w:pPr>
        <w:rPr>
          <w:i/>
          <w:color w:val="000000"/>
          <w:sz w:val="18"/>
          <w:szCs w:val="18"/>
        </w:rPr>
      </w:pPr>
      <w:r w:rsidRPr="0001374B">
        <w:rPr>
          <w:i/>
          <w:color w:val="000000"/>
          <w:sz w:val="18"/>
          <w:szCs w:val="18"/>
        </w:rPr>
        <w:t xml:space="preserve">Zdroj: IS </w:t>
      </w:r>
      <w:r w:rsidR="00EA1D37">
        <w:rPr>
          <w:i/>
          <w:color w:val="000000"/>
          <w:sz w:val="18"/>
          <w:szCs w:val="18"/>
        </w:rPr>
        <w:t xml:space="preserve">Monit7+ IOP k </w:t>
      </w:r>
      <w:r w:rsidR="00B43DE6">
        <w:rPr>
          <w:i/>
          <w:color w:val="000000"/>
          <w:sz w:val="18"/>
          <w:szCs w:val="18"/>
        </w:rPr>
        <w:t>2. 1. 2015</w:t>
      </w:r>
    </w:p>
    <w:p w:rsidR="00663C7A" w:rsidRDefault="00663C7A" w:rsidP="00663C7A">
      <w:pPr>
        <w:jc w:val="both"/>
        <w:rPr>
          <w:sz w:val="22"/>
          <w:szCs w:val="22"/>
        </w:rPr>
      </w:pPr>
    </w:p>
    <w:p w:rsidR="00663C7A" w:rsidRDefault="0056752C" w:rsidP="004665BE">
      <w:pPr>
        <w:spacing w:after="120"/>
        <w:jc w:val="both"/>
        <w:rPr>
          <w:sz w:val="22"/>
          <w:szCs w:val="22"/>
        </w:rPr>
      </w:pPr>
      <w:r w:rsidRPr="00555962">
        <w:rPr>
          <w:sz w:val="22"/>
          <w:szCs w:val="22"/>
        </w:rPr>
        <w:t>V </w:t>
      </w:r>
      <w:r w:rsidRPr="00555962">
        <w:rPr>
          <w:b/>
          <w:sz w:val="22"/>
          <w:szCs w:val="22"/>
        </w:rPr>
        <w:t>oblasti intervence 3.2</w:t>
      </w:r>
      <w:r w:rsidRPr="00555962">
        <w:rPr>
          <w:sz w:val="22"/>
          <w:szCs w:val="22"/>
        </w:rPr>
        <w:t xml:space="preserve"> </w:t>
      </w:r>
      <w:r w:rsidR="004665BE" w:rsidRPr="004665BE">
        <w:rPr>
          <w:sz w:val="22"/>
          <w:szCs w:val="22"/>
        </w:rPr>
        <w:t xml:space="preserve">činí míra vyřazených projektů 20,08 % (50 projektů). V roce 2014 bylo dáno do negativního stavu N5 resp. N7 projekt nedokončen/stažen celkem 5 projektů. Důvodem odstoupení od realizace byly u projektů problémy v realizační fázi, převážně v oblasti výběrových řízení, které neumožnily zrealizovat projekt dle původních parametrů. Jeden příjemce odstoupil před vydáním právního aktu. V roce 2014 nedošlo k žádnému vyřazení projektu v hodnotícím a výběrovém procesu. </w:t>
      </w:r>
    </w:p>
    <w:p w:rsidR="0056752C" w:rsidRDefault="0056752C" w:rsidP="004D5C36">
      <w:pPr>
        <w:jc w:val="both"/>
        <w:rPr>
          <w:sz w:val="22"/>
          <w:szCs w:val="22"/>
        </w:rPr>
      </w:pPr>
    </w:p>
    <w:p w:rsidR="0056752C" w:rsidRDefault="0056752C" w:rsidP="00E037E5">
      <w:pPr>
        <w:pStyle w:val="Tabulkanzev"/>
      </w:pPr>
      <w:bookmarkStart w:id="191" w:name="_Toc416431841"/>
      <w:r w:rsidRPr="00B52CF0">
        <w:t>Tabulka vyřazených projektů</w:t>
      </w:r>
      <w:r>
        <w:t xml:space="preserve"> v oblasti intervence 3.2</w:t>
      </w:r>
      <w:bookmarkEnd w:id="191"/>
    </w:p>
    <w:tbl>
      <w:tblPr>
        <w:tblW w:w="9024" w:type="dxa"/>
        <w:tblInd w:w="47" w:type="dxa"/>
        <w:tblCellMar>
          <w:left w:w="70" w:type="dxa"/>
          <w:right w:w="70" w:type="dxa"/>
        </w:tblCellMar>
        <w:tblLook w:val="04A0" w:firstRow="1" w:lastRow="0" w:firstColumn="1" w:lastColumn="0" w:noHBand="0" w:noVBand="1"/>
      </w:tblPr>
      <w:tblGrid>
        <w:gridCol w:w="4613"/>
        <w:gridCol w:w="1080"/>
        <w:gridCol w:w="1170"/>
        <w:gridCol w:w="1080"/>
        <w:gridCol w:w="1081"/>
      </w:tblGrid>
      <w:tr w:rsidR="00C81F01" w:rsidRPr="00C81F01" w:rsidTr="00C81F01">
        <w:trPr>
          <w:trHeight w:val="331"/>
        </w:trPr>
        <w:tc>
          <w:tcPr>
            <w:tcW w:w="9024"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C81F01" w:rsidRPr="00C81F01" w:rsidRDefault="00C81F01" w:rsidP="00C81F01">
            <w:pPr>
              <w:jc w:val="center"/>
              <w:rPr>
                <w:b/>
                <w:bCs/>
                <w:color w:val="000000"/>
              </w:rPr>
            </w:pPr>
            <w:r w:rsidRPr="00C81F01">
              <w:rPr>
                <w:b/>
                <w:bCs/>
                <w:color w:val="000000"/>
              </w:rPr>
              <w:t>Oblast podpory 3.2</w:t>
            </w:r>
          </w:p>
        </w:tc>
      </w:tr>
      <w:tr w:rsidR="00C81F01" w:rsidRPr="00C81F01" w:rsidTr="00C81F01">
        <w:trPr>
          <w:trHeight w:val="1492"/>
        </w:trPr>
        <w:tc>
          <w:tcPr>
            <w:tcW w:w="4613"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C81F01" w:rsidRPr="00C81F01" w:rsidRDefault="00C81F01" w:rsidP="00C81F01">
            <w:pPr>
              <w:jc w:val="center"/>
              <w:rPr>
                <w:b/>
                <w:bCs/>
                <w:color w:val="000000"/>
                <w:sz w:val="16"/>
                <w:szCs w:val="16"/>
              </w:rPr>
            </w:pPr>
            <w:r w:rsidRPr="00C81F01">
              <w:rPr>
                <w:b/>
                <w:bCs/>
                <w:color w:val="000000"/>
                <w:sz w:val="16"/>
                <w:szCs w:val="16"/>
              </w:rPr>
              <w:t>Stav projektů</w:t>
            </w:r>
          </w:p>
        </w:tc>
        <w:tc>
          <w:tcPr>
            <w:tcW w:w="1080" w:type="dxa"/>
            <w:tcBorders>
              <w:top w:val="nil"/>
              <w:left w:val="nil"/>
              <w:bottom w:val="single" w:sz="8" w:space="0" w:color="4F6228"/>
              <w:right w:val="single" w:sz="8" w:space="0" w:color="4F6228"/>
            </w:tcBorders>
            <w:shd w:val="clear" w:color="auto" w:fill="C2D69B" w:themeFill="accent3" w:themeFillTint="99"/>
            <w:vAlign w:val="center"/>
            <w:hideMark/>
          </w:tcPr>
          <w:p w:rsidR="00C81F01" w:rsidRPr="00C81F01" w:rsidRDefault="00C81F01" w:rsidP="00C81F01">
            <w:pPr>
              <w:jc w:val="center"/>
              <w:rPr>
                <w:b/>
                <w:bCs/>
                <w:color w:val="000000"/>
                <w:sz w:val="16"/>
                <w:szCs w:val="16"/>
              </w:rPr>
            </w:pPr>
            <w:r w:rsidRPr="00C81F01">
              <w:rPr>
                <w:b/>
                <w:bCs/>
                <w:color w:val="000000"/>
                <w:sz w:val="16"/>
                <w:szCs w:val="16"/>
              </w:rPr>
              <w:t>Počet projektů vyřazených za oblast podpory</w:t>
            </w:r>
          </w:p>
        </w:tc>
        <w:tc>
          <w:tcPr>
            <w:tcW w:w="1170" w:type="dxa"/>
            <w:tcBorders>
              <w:top w:val="nil"/>
              <w:left w:val="nil"/>
              <w:bottom w:val="single" w:sz="8" w:space="0" w:color="4F6228"/>
              <w:right w:val="single" w:sz="8" w:space="0" w:color="4F6228"/>
            </w:tcBorders>
            <w:shd w:val="clear" w:color="auto" w:fill="C2D69B" w:themeFill="accent3" w:themeFillTint="99"/>
            <w:vAlign w:val="center"/>
            <w:hideMark/>
          </w:tcPr>
          <w:p w:rsidR="00C81F01" w:rsidRPr="00C81F01" w:rsidRDefault="00C81F01" w:rsidP="00C81F01">
            <w:pPr>
              <w:jc w:val="center"/>
              <w:rPr>
                <w:b/>
                <w:bCs/>
                <w:color w:val="000000"/>
                <w:sz w:val="16"/>
                <w:szCs w:val="16"/>
              </w:rPr>
            </w:pPr>
            <w:r w:rsidRPr="00C81F01">
              <w:rPr>
                <w:b/>
                <w:bCs/>
                <w:color w:val="000000"/>
                <w:sz w:val="16"/>
                <w:szCs w:val="16"/>
              </w:rPr>
              <w:t>Podíl vyřazených projektů za oblast podpory</w:t>
            </w:r>
          </w:p>
        </w:tc>
        <w:tc>
          <w:tcPr>
            <w:tcW w:w="1080" w:type="dxa"/>
            <w:tcBorders>
              <w:top w:val="nil"/>
              <w:left w:val="nil"/>
              <w:bottom w:val="single" w:sz="8" w:space="0" w:color="4F6228"/>
              <w:right w:val="single" w:sz="8" w:space="0" w:color="4F6228"/>
            </w:tcBorders>
            <w:shd w:val="clear" w:color="auto" w:fill="C2D69B" w:themeFill="accent3" w:themeFillTint="99"/>
            <w:vAlign w:val="center"/>
            <w:hideMark/>
          </w:tcPr>
          <w:p w:rsidR="00C81F01" w:rsidRPr="00C81F01" w:rsidRDefault="00C81F01" w:rsidP="00C81F01">
            <w:pPr>
              <w:jc w:val="center"/>
              <w:rPr>
                <w:b/>
                <w:bCs/>
                <w:color w:val="000000"/>
                <w:sz w:val="16"/>
                <w:szCs w:val="16"/>
              </w:rPr>
            </w:pPr>
            <w:r w:rsidRPr="00C81F01">
              <w:rPr>
                <w:b/>
                <w:bCs/>
                <w:color w:val="000000"/>
                <w:sz w:val="16"/>
                <w:szCs w:val="16"/>
              </w:rPr>
              <w:t>Srovnávací hodnota podílu vyřazených projektů za celý program</w:t>
            </w:r>
          </w:p>
        </w:tc>
        <w:tc>
          <w:tcPr>
            <w:tcW w:w="1080" w:type="dxa"/>
            <w:tcBorders>
              <w:top w:val="nil"/>
              <w:left w:val="nil"/>
              <w:bottom w:val="single" w:sz="8" w:space="0" w:color="4F6228"/>
              <w:right w:val="double" w:sz="6" w:space="0" w:color="4F6228"/>
            </w:tcBorders>
            <w:shd w:val="clear" w:color="auto" w:fill="C2D69B" w:themeFill="accent3" w:themeFillTint="99"/>
            <w:vAlign w:val="center"/>
            <w:hideMark/>
          </w:tcPr>
          <w:p w:rsidR="00C81F01" w:rsidRPr="00C81F01" w:rsidRDefault="00C81F01" w:rsidP="00C81F01">
            <w:pPr>
              <w:jc w:val="center"/>
              <w:rPr>
                <w:b/>
                <w:bCs/>
                <w:color w:val="000000"/>
                <w:sz w:val="16"/>
                <w:szCs w:val="16"/>
              </w:rPr>
            </w:pPr>
            <w:r w:rsidRPr="00C81F01">
              <w:rPr>
                <w:b/>
                <w:bCs/>
                <w:color w:val="000000"/>
                <w:sz w:val="16"/>
                <w:szCs w:val="16"/>
              </w:rPr>
              <w:t>Počet vyřazených projektů za rok 2014</w:t>
            </w:r>
          </w:p>
        </w:tc>
      </w:tr>
      <w:tr w:rsidR="00C81F01" w:rsidRPr="00C81F01" w:rsidTr="00C81F01">
        <w:trPr>
          <w:trHeight w:val="467"/>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N1.1 Projektová žádost nesplnila alespoň jedno kritérium přijatelnosti</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2</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0,80%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1,59%</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N1.2 Projektová žádost nesplnila formální náležitosti</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2</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0,80%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0,75%</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CC742C">
        <w:trPr>
          <w:trHeight w:val="320"/>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N2.3 Projekt nedoporučen k financování výběrovou komisí</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0,00%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0,41%</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N2.1 Projekt nesplnil podmínky hodnocení</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16</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6,43%</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3,07%</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CC742C">
        <w:trPr>
          <w:trHeight w:val="34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N2.2 Odeslán dopis o vyřazení projektové žádosti na základě ex-ante kontroly</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0,00%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0,30%</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CC742C">
        <w:trPr>
          <w:trHeight w:val="238"/>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N2.3 Projekt nedoporučen k financování výběrovou komisí</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13</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5,22%</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0,47%</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C81F01">
        <w:trPr>
          <w:trHeight w:val="467"/>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N4.1 Vydání rozhodnutí o poskytnutí dotace/stanovení výdajů zamítnuto</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0,40%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0,03%</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N5 Projektová žádost stažena žadatelem</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3</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1,20%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3,43%</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w:t>
            </w:r>
          </w:p>
        </w:tc>
      </w:tr>
      <w:tr w:rsidR="00C81F01" w:rsidRPr="00C81F0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N7 Projekt nedokončen/stažen</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13</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5,22%</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1,92%</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4</w:t>
            </w:r>
          </w:p>
        </w:tc>
      </w:tr>
      <w:tr w:rsidR="00C81F01" w:rsidRPr="00C81F0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C81F01" w:rsidRDefault="00C81F01" w:rsidP="00C81F01">
            <w:pPr>
              <w:rPr>
                <w:i/>
                <w:iCs/>
                <w:color w:val="000000"/>
                <w:sz w:val="16"/>
                <w:szCs w:val="16"/>
              </w:rPr>
            </w:pPr>
            <w:r w:rsidRPr="00C81F01">
              <w:rPr>
                <w:i/>
                <w:iCs/>
                <w:color w:val="000000"/>
                <w:sz w:val="16"/>
                <w:szCs w:val="16"/>
              </w:rPr>
              <w:t>N8 Smlouva ukončena ze strany ŘO/ZS</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0,00%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0,07%</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C81F01" w:rsidRDefault="00C81F01" w:rsidP="00C81F01">
            <w:pPr>
              <w:jc w:val="center"/>
              <w:rPr>
                <w:color w:val="000000"/>
              </w:rPr>
            </w:pPr>
            <w:r w:rsidRPr="00C81F01">
              <w:rPr>
                <w:color w:val="000000"/>
              </w:rPr>
              <w:t> </w:t>
            </w:r>
          </w:p>
        </w:tc>
      </w:tr>
      <w:tr w:rsidR="00C81F01" w:rsidRPr="00C81F01" w:rsidTr="00E9660A">
        <w:trPr>
          <w:trHeight w:val="328"/>
        </w:trPr>
        <w:tc>
          <w:tcPr>
            <w:tcW w:w="4613"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C81F01" w:rsidRPr="00C81F01" w:rsidRDefault="00C81F01" w:rsidP="00C81F01">
            <w:pPr>
              <w:rPr>
                <w:b/>
                <w:bCs/>
                <w:i/>
                <w:iCs/>
                <w:color w:val="000000"/>
              </w:rPr>
            </w:pPr>
            <w:r w:rsidRPr="00C81F01">
              <w:rPr>
                <w:b/>
                <w:bCs/>
                <w:i/>
                <w:iCs/>
                <w:color w:val="000000"/>
              </w:rPr>
              <w:t>Celkem</w:t>
            </w:r>
          </w:p>
        </w:tc>
        <w:tc>
          <w:tcPr>
            <w:tcW w:w="1080" w:type="dxa"/>
            <w:tcBorders>
              <w:top w:val="nil"/>
              <w:left w:val="nil"/>
              <w:bottom w:val="double" w:sz="6" w:space="0" w:color="4F6228"/>
              <w:right w:val="single" w:sz="8" w:space="0" w:color="4F6228"/>
            </w:tcBorders>
            <w:shd w:val="clear" w:color="auto" w:fill="C2D69B" w:themeFill="accent3" w:themeFillTint="99"/>
            <w:noWrap/>
            <w:vAlign w:val="center"/>
            <w:hideMark/>
          </w:tcPr>
          <w:p w:rsidR="00C81F01" w:rsidRPr="00C81F01" w:rsidRDefault="00C81F01" w:rsidP="00C81F01">
            <w:pPr>
              <w:jc w:val="center"/>
              <w:rPr>
                <w:b/>
                <w:bCs/>
                <w:color w:val="000000"/>
              </w:rPr>
            </w:pPr>
            <w:r w:rsidRPr="00C81F01">
              <w:rPr>
                <w:b/>
                <w:bCs/>
                <w:color w:val="000000"/>
              </w:rPr>
              <w:t>50</w:t>
            </w:r>
          </w:p>
        </w:tc>
        <w:tc>
          <w:tcPr>
            <w:tcW w:w="1170" w:type="dxa"/>
            <w:tcBorders>
              <w:top w:val="nil"/>
              <w:left w:val="nil"/>
              <w:bottom w:val="double" w:sz="6" w:space="0" w:color="4F6228"/>
              <w:right w:val="single" w:sz="8" w:space="0" w:color="4F6228"/>
            </w:tcBorders>
            <w:shd w:val="clear" w:color="auto" w:fill="C2D69B" w:themeFill="accent3" w:themeFillTint="99"/>
            <w:noWrap/>
            <w:vAlign w:val="center"/>
            <w:hideMark/>
          </w:tcPr>
          <w:p w:rsidR="00C81F01" w:rsidRPr="00C81F01" w:rsidRDefault="00C81F01" w:rsidP="00C81F01">
            <w:pPr>
              <w:jc w:val="center"/>
              <w:rPr>
                <w:b/>
                <w:bCs/>
                <w:color w:val="000000"/>
              </w:rPr>
            </w:pPr>
            <w:r w:rsidRPr="00C81F01">
              <w:rPr>
                <w:b/>
                <w:bCs/>
                <w:color w:val="000000"/>
              </w:rPr>
              <w:t>20,08%</w:t>
            </w:r>
          </w:p>
        </w:tc>
        <w:tc>
          <w:tcPr>
            <w:tcW w:w="1080" w:type="dxa"/>
            <w:tcBorders>
              <w:top w:val="nil"/>
              <w:left w:val="nil"/>
              <w:bottom w:val="double" w:sz="6" w:space="0" w:color="4F6228"/>
              <w:right w:val="single" w:sz="8" w:space="0" w:color="4F6228"/>
            </w:tcBorders>
            <w:shd w:val="clear" w:color="auto" w:fill="C2D69B" w:themeFill="accent3" w:themeFillTint="99"/>
            <w:noWrap/>
            <w:vAlign w:val="center"/>
            <w:hideMark/>
          </w:tcPr>
          <w:p w:rsidR="00C81F01" w:rsidRPr="00C81F01" w:rsidRDefault="00C81F01" w:rsidP="00C81F01">
            <w:pPr>
              <w:jc w:val="center"/>
              <w:rPr>
                <w:b/>
                <w:bCs/>
                <w:color w:val="000000"/>
              </w:rPr>
            </w:pPr>
            <w:r w:rsidRPr="00C81F01">
              <w:rPr>
                <w:b/>
                <w:bCs/>
                <w:color w:val="000000"/>
              </w:rPr>
              <w:t>12,05%</w:t>
            </w:r>
          </w:p>
        </w:tc>
        <w:tc>
          <w:tcPr>
            <w:tcW w:w="1080" w:type="dxa"/>
            <w:tcBorders>
              <w:top w:val="nil"/>
              <w:left w:val="nil"/>
              <w:bottom w:val="double" w:sz="6" w:space="0" w:color="4F6228"/>
              <w:right w:val="double" w:sz="6" w:space="0" w:color="4F6228"/>
            </w:tcBorders>
            <w:shd w:val="clear" w:color="auto" w:fill="C2D69B" w:themeFill="accent3" w:themeFillTint="99"/>
            <w:noWrap/>
            <w:vAlign w:val="center"/>
            <w:hideMark/>
          </w:tcPr>
          <w:p w:rsidR="00C81F01" w:rsidRPr="00C81F01" w:rsidRDefault="00C81F01" w:rsidP="00C81F01">
            <w:pPr>
              <w:jc w:val="center"/>
              <w:rPr>
                <w:b/>
                <w:bCs/>
                <w:color w:val="000000"/>
              </w:rPr>
            </w:pPr>
            <w:r w:rsidRPr="00C81F01">
              <w:rPr>
                <w:b/>
                <w:bCs/>
                <w:color w:val="000000"/>
              </w:rPr>
              <w:t>5</w:t>
            </w:r>
          </w:p>
        </w:tc>
      </w:tr>
    </w:tbl>
    <w:p w:rsidR="0056752C" w:rsidRDefault="00C81F01" w:rsidP="0056752C">
      <w:pPr>
        <w:rPr>
          <w:i/>
          <w:color w:val="000000"/>
          <w:sz w:val="18"/>
          <w:szCs w:val="18"/>
        </w:rPr>
      </w:pPr>
      <w:r>
        <w:rPr>
          <w:i/>
          <w:color w:val="000000"/>
          <w:sz w:val="18"/>
          <w:szCs w:val="18"/>
        </w:rPr>
        <w:t xml:space="preserve">Zdroj: IS Monit7+ IOP k </w:t>
      </w:r>
      <w:r w:rsidR="00E037E5">
        <w:rPr>
          <w:i/>
          <w:color w:val="000000"/>
          <w:sz w:val="18"/>
          <w:szCs w:val="18"/>
        </w:rPr>
        <w:t>2. 1. 2015</w:t>
      </w:r>
    </w:p>
    <w:p w:rsidR="00E75338" w:rsidRDefault="00E75338" w:rsidP="0056752C">
      <w:pPr>
        <w:rPr>
          <w:i/>
          <w:color w:val="000000"/>
          <w:sz w:val="18"/>
          <w:szCs w:val="18"/>
        </w:rPr>
      </w:pPr>
    </w:p>
    <w:p w:rsidR="00957F7D" w:rsidRDefault="00957F7D" w:rsidP="0056752C">
      <w:pPr>
        <w:rPr>
          <w:i/>
          <w:color w:val="000000"/>
          <w:sz w:val="18"/>
          <w:szCs w:val="18"/>
        </w:rPr>
      </w:pPr>
    </w:p>
    <w:p w:rsidR="00E75338" w:rsidRDefault="00E75338" w:rsidP="0056752C">
      <w:pPr>
        <w:rPr>
          <w:i/>
          <w:color w:val="000000"/>
          <w:sz w:val="18"/>
          <w:szCs w:val="18"/>
        </w:rPr>
      </w:pPr>
    </w:p>
    <w:p w:rsidR="008B1131" w:rsidRDefault="00E75338" w:rsidP="008B1131">
      <w:pPr>
        <w:spacing w:after="120"/>
        <w:jc w:val="both"/>
        <w:rPr>
          <w:sz w:val="22"/>
          <w:szCs w:val="22"/>
        </w:rPr>
      </w:pPr>
      <w:r w:rsidRPr="00555962">
        <w:rPr>
          <w:sz w:val="22"/>
          <w:szCs w:val="22"/>
        </w:rPr>
        <w:t>V </w:t>
      </w:r>
      <w:r w:rsidRPr="00555962">
        <w:rPr>
          <w:b/>
          <w:sz w:val="22"/>
          <w:szCs w:val="22"/>
        </w:rPr>
        <w:t>oblasti intervence 3.3</w:t>
      </w:r>
      <w:r w:rsidRPr="00555962">
        <w:rPr>
          <w:sz w:val="22"/>
          <w:szCs w:val="22"/>
        </w:rPr>
        <w:t xml:space="preserve"> </w:t>
      </w:r>
      <w:r w:rsidR="007C61FF">
        <w:rPr>
          <w:sz w:val="22"/>
          <w:szCs w:val="22"/>
        </w:rPr>
        <w:t>bylo od počátku vyhlášení výzev vyřazeno 12 projektových žádostí z  29 předložených. Z 29 podaných projektových žádostí pouze 1 projekt neuspěl při kontrole přijatelnosti, 6 projektových žádostí bylo vyřazeno na základě nesplnění podmínek hodnocení projektu. 3 projekty byly nedokončeny/staženy žadatelem, což činí 10,34 % z celkového počtu žádostí. V roce 2014</w:t>
      </w:r>
      <w:r w:rsidR="007C61FF" w:rsidRPr="00CD3494">
        <w:rPr>
          <w:sz w:val="22"/>
          <w:szCs w:val="22"/>
        </w:rPr>
        <w:t xml:space="preserve"> </w:t>
      </w:r>
      <w:r w:rsidR="007C61FF">
        <w:rPr>
          <w:sz w:val="22"/>
          <w:szCs w:val="22"/>
        </w:rPr>
        <w:t>byl vyřazen 1</w:t>
      </w:r>
      <w:r w:rsidR="007C61FF" w:rsidRPr="00CD3494">
        <w:rPr>
          <w:sz w:val="22"/>
          <w:szCs w:val="22"/>
        </w:rPr>
        <w:t xml:space="preserve"> projekt</w:t>
      </w:r>
      <w:r w:rsidR="007C61FF">
        <w:rPr>
          <w:sz w:val="22"/>
          <w:szCs w:val="22"/>
        </w:rPr>
        <w:t xml:space="preserve">, a to konkrétně v OI 3.3 a) </w:t>
      </w:r>
      <w:r w:rsidR="007C61FF" w:rsidRPr="004C5B98">
        <w:rPr>
          <w:sz w:val="22"/>
          <w:szCs w:val="22"/>
        </w:rPr>
        <w:t xml:space="preserve">„ÚP ČR Liberec – výstavba, nákup, rekonstrukce administrativní </w:t>
      </w:r>
      <w:r w:rsidR="007C61FF">
        <w:rPr>
          <w:sz w:val="22"/>
          <w:szCs w:val="22"/>
        </w:rPr>
        <w:t>budovy“.</w:t>
      </w:r>
    </w:p>
    <w:p w:rsidR="00131423" w:rsidRDefault="00131423" w:rsidP="008B1131">
      <w:pPr>
        <w:spacing w:after="120"/>
        <w:jc w:val="both"/>
        <w:rPr>
          <w:sz w:val="22"/>
          <w:szCs w:val="22"/>
        </w:rPr>
      </w:pPr>
    </w:p>
    <w:p w:rsidR="00E037E5" w:rsidRDefault="00E037E5" w:rsidP="008B1131">
      <w:pPr>
        <w:spacing w:after="120"/>
        <w:jc w:val="both"/>
        <w:rPr>
          <w:sz w:val="22"/>
          <w:szCs w:val="22"/>
        </w:rPr>
      </w:pPr>
    </w:p>
    <w:p w:rsidR="00B83CB9" w:rsidRDefault="00B83CB9" w:rsidP="008B1131">
      <w:pPr>
        <w:spacing w:after="120"/>
        <w:jc w:val="both"/>
        <w:rPr>
          <w:sz w:val="22"/>
          <w:szCs w:val="22"/>
        </w:rPr>
      </w:pPr>
    </w:p>
    <w:p w:rsidR="00957F7D" w:rsidRDefault="00957F7D" w:rsidP="00E75338">
      <w:pPr>
        <w:jc w:val="both"/>
        <w:rPr>
          <w:sz w:val="22"/>
          <w:szCs w:val="22"/>
        </w:rPr>
      </w:pPr>
    </w:p>
    <w:p w:rsidR="00E75338" w:rsidRDefault="00E75338" w:rsidP="00E037E5">
      <w:pPr>
        <w:pStyle w:val="Tabulkanzev"/>
      </w:pPr>
      <w:bookmarkStart w:id="192" w:name="_Toc416431842"/>
      <w:r w:rsidRPr="00B52CF0">
        <w:lastRenderedPageBreak/>
        <w:t>Tabulka vyřazených projektů</w:t>
      </w:r>
      <w:r>
        <w:t xml:space="preserve"> v oblasti intervence 3.3</w:t>
      </w:r>
      <w:bookmarkEnd w:id="192"/>
    </w:p>
    <w:tbl>
      <w:tblPr>
        <w:tblW w:w="9070" w:type="dxa"/>
        <w:tblInd w:w="47" w:type="dxa"/>
        <w:tblCellMar>
          <w:left w:w="70" w:type="dxa"/>
          <w:right w:w="70" w:type="dxa"/>
        </w:tblCellMar>
        <w:tblLook w:val="04A0" w:firstRow="1" w:lastRow="0" w:firstColumn="1" w:lastColumn="0" w:noHBand="0" w:noVBand="1"/>
      </w:tblPr>
      <w:tblGrid>
        <w:gridCol w:w="4636"/>
        <w:gridCol w:w="1086"/>
        <w:gridCol w:w="1176"/>
        <w:gridCol w:w="1086"/>
        <w:gridCol w:w="1086"/>
      </w:tblGrid>
      <w:tr w:rsidR="008B1131" w:rsidRPr="008B1131" w:rsidTr="008B1131">
        <w:trPr>
          <w:trHeight w:val="327"/>
        </w:trPr>
        <w:tc>
          <w:tcPr>
            <w:tcW w:w="9069" w:type="dxa"/>
            <w:gridSpan w:val="5"/>
            <w:tcBorders>
              <w:top w:val="double" w:sz="6" w:space="0" w:color="4F6228"/>
              <w:left w:val="double" w:sz="6" w:space="0" w:color="4F6228"/>
              <w:bottom w:val="single" w:sz="8" w:space="0" w:color="4F6228"/>
              <w:right w:val="double" w:sz="6" w:space="0" w:color="4F6228"/>
            </w:tcBorders>
            <w:shd w:val="clear" w:color="000000" w:fill="C4D79B"/>
            <w:noWrap/>
            <w:vAlign w:val="center"/>
            <w:hideMark/>
          </w:tcPr>
          <w:p w:rsidR="008B1131" w:rsidRPr="008B1131" w:rsidRDefault="008B1131" w:rsidP="008B1131">
            <w:pPr>
              <w:jc w:val="center"/>
              <w:rPr>
                <w:b/>
                <w:bCs/>
                <w:color w:val="000000"/>
              </w:rPr>
            </w:pPr>
            <w:r w:rsidRPr="008B1131">
              <w:rPr>
                <w:b/>
                <w:bCs/>
                <w:color w:val="000000"/>
              </w:rPr>
              <w:t>Oblast podpory 3.3</w:t>
            </w:r>
          </w:p>
        </w:tc>
      </w:tr>
      <w:tr w:rsidR="008B1131" w:rsidRPr="008B1131" w:rsidTr="00E9660A">
        <w:trPr>
          <w:trHeight w:val="1121"/>
        </w:trPr>
        <w:tc>
          <w:tcPr>
            <w:tcW w:w="4636" w:type="dxa"/>
            <w:tcBorders>
              <w:top w:val="nil"/>
              <w:left w:val="double" w:sz="6" w:space="0" w:color="4F6228"/>
              <w:bottom w:val="single" w:sz="8" w:space="0" w:color="4F6228"/>
              <w:right w:val="single" w:sz="8" w:space="0" w:color="4F6228"/>
            </w:tcBorders>
            <w:shd w:val="clear" w:color="000000" w:fill="C4D79B"/>
            <w:noWrap/>
            <w:vAlign w:val="center"/>
            <w:hideMark/>
          </w:tcPr>
          <w:p w:rsidR="008B1131" w:rsidRPr="00264B2D" w:rsidRDefault="008B1131" w:rsidP="008B1131">
            <w:pPr>
              <w:jc w:val="center"/>
              <w:rPr>
                <w:b/>
                <w:bCs/>
                <w:color w:val="000000"/>
                <w:sz w:val="16"/>
                <w:szCs w:val="16"/>
              </w:rPr>
            </w:pPr>
            <w:r w:rsidRPr="00264B2D">
              <w:rPr>
                <w:b/>
                <w:bCs/>
                <w:color w:val="000000"/>
                <w:sz w:val="16"/>
                <w:szCs w:val="16"/>
              </w:rPr>
              <w:t>Stav projektů</w:t>
            </w:r>
          </w:p>
        </w:tc>
        <w:tc>
          <w:tcPr>
            <w:tcW w:w="1086" w:type="dxa"/>
            <w:tcBorders>
              <w:top w:val="nil"/>
              <w:left w:val="nil"/>
              <w:bottom w:val="single" w:sz="8" w:space="0" w:color="4F6228"/>
              <w:right w:val="single" w:sz="8" w:space="0" w:color="4F6228"/>
            </w:tcBorders>
            <w:shd w:val="clear" w:color="000000" w:fill="C4D79B"/>
            <w:vAlign w:val="center"/>
            <w:hideMark/>
          </w:tcPr>
          <w:p w:rsidR="008B1131" w:rsidRPr="00264B2D" w:rsidRDefault="008B1131" w:rsidP="008B1131">
            <w:pPr>
              <w:jc w:val="center"/>
              <w:rPr>
                <w:b/>
                <w:bCs/>
                <w:color w:val="000000"/>
                <w:sz w:val="16"/>
                <w:szCs w:val="16"/>
              </w:rPr>
            </w:pPr>
            <w:r w:rsidRPr="00264B2D">
              <w:rPr>
                <w:b/>
                <w:bCs/>
                <w:color w:val="000000"/>
                <w:sz w:val="16"/>
                <w:szCs w:val="16"/>
              </w:rPr>
              <w:t>Počet projektů vyřazených za oblast podpory</w:t>
            </w:r>
          </w:p>
        </w:tc>
        <w:tc>
          <w:tcPr>
            <w:tcW w:w="1176" w:type="dxa"/>
            <w:tcBorders>
              <w:top w:val="nil"/>
              <w:left w:val="nil"/>
              <w:bottom w:val="single" w:sz="8" w:space="0" w:color="4F6228"/>
              <w:right w:val="single" w:sz="8" w:space="0" w:color="4F6228"/>
            </w:tcBorders>
            <w:shd w:val="clear" w:color="000000" w:fill="C4D79B"/>
            <w:vAlign w:val="center"/>
            <w:hideMark/>
          </w:tcPr>
          <w:p w:rsidR="008B1131" w:rsidRPr="00264B2D" w:rsidRDefault="008B1131" w:rsidP="008B1131">
            <w:pPr>
              <w:jc w:val="center"/>
              <w:rPr>
                <w:b/>
                <w:bCs/>
                <w:color w:val="000000"/>
                <w:sz w:val="16"/>
                <w:szCs w:val="16"/>
              </w:rPr>
            </w:pPr>
            <w:r w:rsidRPr="00264B2D">
              <w:rPr>
                <w:b/>
                <w:bCs/>
                <w:color w:val="000000"/>
                <w:sz w:val="16"/>
                <w:szCs w:val="16"/>
              </w:rPr>
              <w:t>Podíl vyřazených projektů za oblast podpory</w:t>
            </w:r>
          </w:p>
        </w:tc>
        <w:tc>
          <w:tcPr>
            <w:tcW w:w="1086" w:type="dxa"/>
            <w:tcBorders>
              <w:top w:val="nil"/>
              <w:left w:val="nil"/>
              <w:bottom w:val="single" w:sz="8" w:space="0" w:color="4F6228"/>
              <w:right w:val="single" w:sz="8" w:space="0" w:color="4F6228"/>
            </w:tcBorders>
            <w:shd w:val="clear" w:color="000000" w:fill="C4D79B"/>
            <w:vAlign w:val="center"/>
            <w:hideMark/>
          </w:tcPr>
          <w:p w:rsidR="008B1131" w:rsidRPr="00264B2D" w:rsidRDefault="008B1131" w:rsidP="008B1131">
            <w:pPr>
              <w:jc w:val="center"/>
              <w:rPr>
                <w:b/>
                <w:bCs/>
                <w:color w:val="000000"/>
                <w:sz w:val="16"/>
                <w:szCs w:val="16"/>
              </w:rPr>
            </w:pPr>
            <w:r w:rsidRPr="00264B2D">
              <w:rPr>
                <w:b/>
                <w:bCs/>
                <w:color w:val="000000"/>
                <w:sz w:val="16"/>
                <w:szCs w:val="16"/>
              </w:rPr>
              <w:t>Srovnávací hodnota podílu vyřazených projektů za celý program</w:t>
            </w:r>
          </w:p>
        </w:tc>
        <w:tc>
          <w:tcPr>
            <w:tcW w:w="1086" w:type="dxa"/>
            <w:tcBorders>
              <w:top w:val="nil"/>
              <w:left w:val="nil"/>
              <w:bottom w:val="single" w:sz="8" w:space="0" w:color="4F6228"/>
              <w:right w:val="double" w:sz="6" w:space="0" w:color="4F6228"/>
            </w:tcBorders>
            <w:shd w:val="clear" w:color="000000" w:fill="C4D79B"/>
            <w:vAlign w:val="center"/>
            <w:hideMark/>
          </w:tcPr>
          <w:p w:rsidR="008B1131" w:rsidRPr="00264B2D" w:rsidRDefault="008B1131" w:rsidP="008B1131">
            <w:pPr>
              <w:jc w:val="center"/>
              <w:rPr>
                <w:b/>
                <w:bCs/>
                <w:color w:val="000000"/>
                <w:sz w:val="16"/>
                <w:szCs w:val="16"/>
              </w:rPr>
            </w:pPr>
            <w:r w:rsidRPr="00264B2D">
              <w:rPr>
                <w:b/>
                <w:bCs/>
                <w:color w:val="000000"/>
                <w:sz w:val="16"/>
                <w:szCs w:val="16"/>
              </w:rPr>
              <w:t>Počet vyřazených projektů za rok 2014</w:t>
            </w:r>
          </w:p>
        </w:tc>
      </w:tr>
      <w:tr w:rsidR="008B1131" w:rsidRPr="008B1131" w:rsidTr="008B1131">
        <w:trPr>
          <w:trHeight w:val="461"/>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N1.1 Projektová žádost nesplnila alespoň jedno kritérium přijatelnosti</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1</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3,45%</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1,59%</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N1.2 Projektová žádost nesplnila formální náležitosti</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0,75%</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CC742C">
        <w:trPr>
          <w:trHeight w:val="298"/>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N2.3 Projekt nedoporučen k financování výběrovou komisí</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0,41%</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N2.1 Projekt nesplnil podmínky hodnocení</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6</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20,69%</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3,07%</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8B1131">
        <w:trPr>
          <w:trHeight w:val="461"/>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N2.2 Odeslán dopis o vyřazení projektové žádosti na základě ex-ante kontroly</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0,30%</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CC742C">
        <w:trPr>
          <w:trHeight w:val="288"/>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N2.3 Projekt nedoporučen k financování výběrovou komisí</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0,47%</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8B1131">
        <w:trPr>
          <w:trHeight w:val="461"/>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N4.1 Vydání rozhodnutí o poskytnutí dotace/stanovení výdajů zamítnuto</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0,03%</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N5 Projektová žádost stažena žadatelem</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2</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6,90%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3,43%</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1</w:t>
            </w:r>
          </w:p>
        </w:tc>
      </w:tr>
      <w:tr w:rsidR="008B1131" w:rsidRPr="008B113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N7 Projekt nedokončen/stažen</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3</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10,34%</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1,92%</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1</w:t>
            </w:r>
          </w:p>
        </w:tc>
      </w:tr>
      <w:tr w:rsidR="008B1131" w:rsidRPr="008B113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N8 Smlouva ukončena ze strany ŘO/ZS</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0,07%</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E9660A" w:rsidRDefault="008B1131" w:rsidP="008B1131">
            <w:pPr>
              <w:jc w:val="center"/>
              <w:rPr>
                <w:color w:val="000000"/>
              </w:rPr>
            </w:pPr>
            <w:r w:rsidRPr="00E9660A">
              <w:rPr>
                <w:color w:val="000000"/>
              </w:rPr>
              <w:t> </w:t>
            </w:r>
          </w:p>
        </w:tc>
      </w:tr>
      <w:tr w:rsidR="008B1131" w:rsidRPr="008B1131" w:rsidTr="00E9660A">
        <w:trPr>
          <w:trHeight w:val="354"/>
        </w:trPr>
        <w:tc>
          <w:tcPr>
            <w:tcW w:w="4636" w:type="dxa"/>
            <w:tcBorders>
              <w:top w:val="nil"/>
              <w:left w:val="double" w:sz="6" w:space="0" w:color="4F6228"/>
              <w:bottom w:val="double" w:sz="6" w:space="0" w:color="4F6228"/>
              <w:right w:val="single" w:sz="8" w:space="0" w:color="4F6228"/>
            </w:tcBorders>
            <w:shd w:val="clear" w:color="000000" w:fill="C4D79B"/>
            <w:vAlign w:val="center"/>
            <w:hideMark/>
          </w:tcPr>
          <w:p w:rsidR="008B1131" w:rsidRPr="00E9660A" w:rsidRDefault="008B1131" w:rsidP="008B1131">
            <w:pPr>
              <w:rPr>
                <w:b/>
                <w:bCs/>
                <w:i/>
                <w:iCs/>
                <w:color w:val="000000"/>
              </w:rPr>
            </w:pPr>
            <w:r w:rsidRPr="00E9660A">
              <w:rPr>
                <w:b/>
                <w:bCs/>
                <w:i/>
                <w:iCs/>
                <w:color w:val="000000"/>
              </w:rPr>
              <w:t>Celkem</w:t>
            </w:r>
          </w:p>
        </w:tc>
        <w:tc>
          <w:tcPr>
            <w:tcW w:w="1086" w:type="dxa"/>
            <w:tcBorders>
              <w:top w:val="nil"/>
              <w:left w:val="nil"/>
              <w:bottom w:val="double" w:sz="6" w:space="0" w:color="4F6228"/>
              <w:right w:val="single" w:sz="8" w:space="0" w:color="4F6228"/>
            </w:tcBorders>
            <w:shd w:val="clear" w:color="000000" w:fill="C4D79B"/>
            <w:noWrap/>
            <w:vAlign w:val="center"/>
            <w:hideMark/>
          </w:tcPr>
          <w:p w:rsidR="008B1131" w:rsidRPr="00E9660A" w:rsidRDefault="008B1131" w:rsidP="008B1131">
            <w:pPr>
              <w:jc w:val="center"/>
              <w:rPr>
                <w:b/>
                <w:bCs/>
                <w:color w:val="000000"/>
              </w:rPr>
            </w:pPr>
            <w:r w:rsidRPr="00E9660A">
              <w:rPr>
                <w:b/>
                <w:bCs/>
                <w:color w:val="000000"/>
              </w:rPr>
              <w:t>12</w:t>
            </w:r>
          </w:p>
        </w:tc>
        <w:tc>
          <w:tcPr>
            <w:tcW w:w="1176" w:type="dxa"/>
            <w:tcBorders>
              <w:top w:val="nil"/>
              <w:left w:val="nil"/>
              <w:bottom w:val="double" w:sz="6" w:space="0" w:color="4F6228"/>
              <w:right w:val="single" w:sz="8" w:space="0" w:color="4F6228"/>
            </w:tcBorders>
            <w:shd w:val="clear" w:color="000000" w:fill="C4D79B"/>
            <w:noWrap/>
            <w:vAlign w:val="center"/>
            <w:hideMark/>
          </w:tcPr>
          <w:p w:rsidR="008B1131" w:rsidRPr="00E9660A" w:rsidRDefault="008B1131" w:rsidP="008B1131">
            <w:pPr>
              <w:jc w:val="center"/>
              <w:rPr>
                <w:b/>
                <w:bCs/>
                <w:color w:val="000000"/>
              </w:rPr>
            </w:pPr>
            <w:r w:rsidRPr="00E9660A">
              <w:rPr>
                <w:b/>
                <w:bCs/>
                <w:color w:val="000000"/>
              </w:rPr>
              <w:t>41,38%</w:t>
            </w:r>
          </w:p>
        </w:tc>
        <w:tc>
          <w:tcPr>
            <w:tcW w:w="1086" w:type="dxa"/>
            <w:tcBorders>
              <w:top w:val="nil"/>
              <w:left w:val="nil"/>
              <w:bottom w:val="double" w:sz="6" w:space="0" w:color="4F6228"/>
              <w:right w:val="single" w:sz="8" w:space="0" w:color="4F6228"/>
            </w:tcBorders>
            <w:shd w:val="clear" w:color="000000" w:fill="C4D79B"/>
            <w:noWrap/>
            <w:vAlign w:val="center"/>
            <w:hideMark/>
          </w:tcPr>
          <w:p w:rsidR="008B1131" w:rsidRPr="00E9660A" w:rsidRDefault="008B1131" w:rsidP="008B1131">
            <w:pPr>
              <w:jc w:val="center"/>
              <w:rPr>
                <w:b/>
                <w:bCs/>
                <w:color w:val="000000"/>
              </w:rPr>
            </w:pPr>
            <w:r w:rsidRPr="00E9660A">
              <w:rPr>
                <w:b/>
                <w:bCs/>
                <w:color w:val="000000"/>
              </w:rPr>
              <w:t>12,05%</w:t>
            </w:r>
          </w:p>
        </w:tc>
        <w:tc>
          <w:tcPr>
            <w:tcW w:w="1086" w:type="dxa"/>
            <w:tcBorders>
              <w:top w:val="nil"/>
              <w:left w:val="nil"/>
              <w:bottom w:val="double" w:sz="6" w:space="0" w:color="4F6228"/>
              <w:right w:val="double" w:sz="6" w:space="0" w:color="4F6228"/>
            </w:tcBorders>
            <w:shd w:val="clear" w:color="000000" w:fill="C4D79B"/>
            <w:noWrap/>
            <w:vAlign w:val="center"/>
            <w:hideMark/>
          </w:tcPr>
          <w:p w:rsidR="008B1131" w:rsidRPr="00E9660A" w:rsidRDefault="008B1131" w:rsidP="008B1131">
            <w:pPr>
              <w:jc w:val="center"/>
              <w:rPr>
                <w:b/>
                <w:bCs/>
                <w:color w:val="000000"/>
              </w:rPr>
            </w:pPr>
            <w:r w:rsidRPr="00E9660A">
              <w:rPr>
                <w:b/>
                <w:bCs/>
                <w:color w:val="000000"/>
              </w:rPr>
              <w:t>2</w:t>
            </w:r>
          </w:p>
        </w:tc>
      </w:tr>
    </w:tbl>
    <w:p w:rsidR="00990313" w:rsidRDefault="00E75338" w:rsidP="00990313">
      <w:pPr>
        <w:rPr>
          <w:rFonts w:ascii="Calibri" w:hAnsi="Calibri" w:cs="Calibri"/>
          <w:color w:val="000000"/>
        </w:rPr>
      </w:pPr>
      <w:r w:rsidRPr="00B13F65">
        <w:rPr>
          <w:i/>
          <w:sz w:val="18"/>
          <w:szCs w:val="18"/>
        </w:rPr>
        <w:t xml:space="preserve"> </w:t>
      </w:r>
      <w:r w:rsidR="00990313" w:rsidRPr="0001374B">
        <w:rPr>
          <w:i/>
          <w:color w:val="000000"/>
          <w:sz w:val="18"/>
          <w:szCs w:val="18"/>
        </w:rPr>
        <w:t xml:space="preserve">Zdroj: IS Monit7+ IOP k </w:t>
      </w:r>
      <w:r w:rsidR="00E037E5" w:rsidRPr="0001374B">
        <w:rPr>
          <w:i/>
          <w:color w:val="000000"/>
          <w:sz w:val="18"/>
          <w:szCs w:val="18"/>
        </w:rPr>
        <w:t>2. 1. 2015</w:t>
      </w:r>
    </w:p>
    <w:p w:rsidR="0010129A" w:rsidRDefault="0010129A" w:rsidP="005F21AD">
      <w:pPr>
        <w:jc w:val="both"/>
        <w:rPr>
          <w:sz w:val="22"/>
          <w:szCs w:val="22"/>
        </w:rPr>
      </w:pPr>
    </w:p>
    <w:p w:rsidR="005F21AD" w:rsidRDefault="005F21AD" w:rsidP="005F21AD">
      <w:pPr>
        <w:jc w:val="both"/>
        <w:rPr>
          <w:sz w:val="22"/>
          <w:szCs w:val="22"/>
        </w:rPr>
      </w:pPr>
      <w:r>
        <w:rPr>
          <w:sz w:val="22"/>
          <w:szCs w:val="22"/>
        </w:rPr>
        <w:t>V oblasti intervence 3.4 je dlouhodobě nízké procento vyřazovaných projektů. Od počátku programovacího období byly 3 projektové žádost</w:t>
      </w:r>
      <w:r w:rsidR="000B4531">
        <w:rPr>
          <w:sz w:val="22"/>
          <w:szCs w:val="22"/>
        </w:rPr>
        <w:t>i staženy žadatelem. V roce 201</w:t>
      </w:r>
      <w:r w:rsidR="00F11F86">
        <w:rPr>
          <w:sz w:val="22"/>
          <w:szCs w:val="22"/>
        </w:rPr>
        <w:t>4</w:t>
      </w:r>
      <w:r>
        <w:rPr>
          <w:sz w:val="22"/>
          <w:szCs w:val="22"/>
        </w:rPr>
        <w:t xml:space="preserve"> nebyl žádný projekt vyřazen.</w:t>
      </w:r>
    </w:p>
    <w:p w:rsidR="005F21AD" w:rsidRPr="005D26DA" w:rsidRDefault="005F21AD" w:rsidP="00E037E5">
      <w:pPr>
        <w:pStyle w:val="Tabulkanzev"/>
        <w:numPr>
          <w:ilvl w:val="0"/>
          <w:numId w:val="0"/>
        </w:numPr>
        <w:jc w:val="left"/>
      </w:pPr>
    </w:p>
    <w:p w:rsidR="005F21AD" w:rsidRDefault="005F21AD" w:rsidP="00E037E5">
      <w:pPr>
        <w:pStyle w:val="Tabulkanzev"/>
      </w:pPr>
      <w:bookmarkStart w:id="193" w:name="_Toc416431843"/>
      <w:r w:rsidRPr="00B52CF0">
        <w:t>Tabulka vyřazených projektů</w:t>
      </w:r>
      <w:r>
        <w:t xml:space="preserve"> v oblasti intervence 3.4</w:t>
      </w:r>
      <w:bookmarkEnd w:id="193"/>
    </w:p>
    <w:tbl>
      <w:tblPr>
        <w:tblW w:w="8889" w:type="dxa"/>
        <w:tblInd w:w="47" w:type="dxa"/>
        <w:tblCellMar>
          <w:left w:w="70" w:type="dxa"/>
          <w:right w:w="70" w:type="dxa"/>
        </w:tblCellMar>
        <w:tblLook w:val="04A0" w:firstRow="1" w:lastRow="0" w:firstColumn="1" w:lastColumn="0" w:noHBand="0" w:noVBand="1"/>
      </w:tblPr>
      <w:tblGrid>
        <w:gridCol w:w="4544"/>
        <w:gridCol w:w="1064"/>
        <w:gridCol w:w="1153"/>
        <w:gridCol w:w="1064"/>
        <w:gridCol w:w="1064"/>
      </w:tblGrid>
      <w:tr w:rsidR="008B1131" w:rsidRPr="008B1131" w:rsidTr="008B1131">
        <w:trPr>
          <w:trHeight w:val="332"/>
        </w:trPr>
        <w:tc>
          <w:tcPr>
            <w:tcW w:w="8889" w:type="dxa"/>
            <w:gridSpan w:val="5"/>
            <w:tcBorders>
              <w:top w:val="double" w:sz="6" w:space="0" w:color="4F6228"/>
              <w:left w:val="double" w:sz="6" w:space="0" w:color="4F6228"/>
              <w:bottom w:val="single" w:sz="8" w:space="0" w:color="4F6228"/>
              <w:right w:val="double" w:sz="6" w:space="0" w:color="4F6228"/>
            </w:tcBorders>
            <w:shd w:val="clear" w:color="000000" w:fill="C4D79B"/>
            <w:noWrap/>
            <w:vAlign w:val="center"/>
            <w:hideMark/>
          </w:tcPr>
          <w:p w:rsidR="008B1131" w:rsidRPr="008B1131" w:rsidRDefault="008B1131" w:rsidP="008B1131">
            <w:pPr>
              <w:jc w:val="center"/>
              <w:rPr>
                <w:b/>
                <w:bCs/>
                <w:color w:val="000000"/>
              </w:rPr>
            </w:pPr>
            <w:r w:rsidRPr="008B1131">
              <w:rPr>
                <w:b/>
                <w:bCs/>
                <w:color w:val="000000"/>
              </w:rPr>
              <w:t>Oblast podpory 3.4</w:t>
            </w:r>
          </w:p>
        </w:tc>
      </w:tr>
      <w:tr w:rsidR="008B1131" w:rsidRPr="008B1131" w:rsidTr="00C1306C">
        <w:trPr>
          <w:trHeight w:val="1257"/>
        </w:trPr>
        <w:tc>
          <w:tcPr>
            <w:tcW w:w="4544" w:type="dxa"/>
            <w:tcBorders>
              <w:top w:val="nil"/>
              <w:left w:val="double" w:sz="6" w:space="0" w:color="4F6228"/>
              <w:bottom w:val="single" w:sz="8" w:space="0" w:color="4F6228"/>
              <w:right w:val="single" w:sz="8" w:space="0" w:color="4F6228"/>
            </w:tcBorders>
            <w:shd w:val="clear" w:color="000000" w:fill="C4D79B"/>
            <w:noWrap/>
            <w:vAlign w:val="center"/>
            <w:hideMark/>
          </w:tcPr>
          <w:p w:rsidR="008B1131" w:rsidRPr="0010129A" w:rsidRDefault="008B1131" w:rsidP="008B1131">
            <w:pPr>
              <w:jc w:val="center"/>
              <w:rPr>
                <w:b/>
                <w:bCs/>
                <w:color w:val="000000"/>
                <w:sz w:val="18"/>
                <w:szCs w:val="18"/>
              </w:rPr>
            </w:pPr>
            <w:r w:rsidRPr="0010129A">
              <w:rPr>
                <w:b/>
                <w:bCs/>
                <w:color w:val="000000"/>
                <w:sz w:val="18"/>
                <w:szCs w:val="18"/>
              </w:rPr>
              <w:t>Stav projektů</w:t>
            </w:r>
          </w:p>
        </w:tc>
        <w:tc>
          <w:tcPr>
            <w:tcW w:w="1064" w:type="dxa"/>
            <w:tcBorders>
              <w:top w:val="nil"/>
              <w:left w:val="nil"/>
              <w:bottom w:val="single" w:sz="8" w:space="0" w:color="4F6228"/>
              <w:right w:val="single" w:sz="8" w:space="0" w:color="4F6228"/>
            </w:tcBorders>
            <w:shd w:val="clear" w:color="000000" w:fill="C4D79B"/>
            <w:vAlign w:val="center"/>
            <w:hideMark/>
          </w:tcPr>
          <w:p w:rsidR="008B1131" w:rsidRPr="0010129A" w:rsidRDefault="008B1131" w:rsidP="008B1131">
            <w:pPr>
              <w:jc w:val="center"/>
              <w:rPr>
                <w:b/>
                <w:bCs/>
                <w:color w:val="000000"/>
                <w:sz w:val="18"/>
                <w:szCs w:val="18"/>
              </w:rPr>
            </w:pPr>
            <w:r w:rsidRPr="0010129A">
              <w:rPr>
                <w:b/>
                <w:bCs/>
                <w:color w:val="000000"/>
                <w:sz w:val="18"/>
                <w:szCs w:val="18"/>
              </w:rPr>
              <w:t>Počet projektů vyřazených za oblast podpory</w:t>
            </w:r>
          </w:p>
        </w:tc>
        <w:tc>
          <w:tcPr>
            <w:tcW w:w="1153" w:type="dxa"/>
            <w:tcBorders>
              <w:top w:val="nil"/>
              <w:left w:val="nil"/>
              <w:bottom w:val="single" w:sz="8" w:space="0" w:color="4F6228"/>
              <w:right w:val="single" w:sz="8" w:space="0" w:color="4F6228"/>
            </w:tcBorders>
            <w:shd w:val="clear" w:color="000000" w:fill="C4D79B"/>
            <w:vAlign w:val="center"/>
            <w:hideMark/>
          </w:tcPr>
          <w:p w:rsidR="008B1131" w:rsidRPr="0010129A" w:rsidRDefault="008B1131" w:rsidP="008B1131">
            <w:pPr>
              <w:jc w:val="center"/>
              <w:rPr>
                <w:b/>
                <w:bCs/>
                <w:color w:val="000000"/>
                <w:sz w:val="18"/>
                <w:szCs w:val="18"/>
              </w:rPr>
            </w:pPr>
            <w:r w:rsidRPr="0010129A">
              <w:rPr>
                <w:b/>
                <w:bCs/>
                <w:color w:val="000000"/>
                <w:sz w:val="18"/>
                <w:szCs w:val="18"/>
              </w:rPr>
              <w:t>Podíl vyřazených projektů za oblast podpory</w:t>
            </w:r>
          </w:p>
        </w:tc>
        <w:tc>
          <w:tcPr>
            <w:tcW w:w="1064" w:type="dxa"/>
            <w:tcBorders>
              <w:top w:val="nil"/>
              <w:left w:val="nil"/>
              <w:bottom w:val="single" w:sz="8" w:space="0" w:color="4F6228"/>
              <w:right w:val="single" w:sz="8" w:space="0" w:color="4F6228"/>
            </w:tcBorders>
            <w:shd w:val="clear" w:color="000000" w:fill="C4D79B"/>
            <w:vAlign w:val="center"/>
            <w:hideMark/>
          </w:tcPr>
          <w:p w:rsidR="008B1131" w:rsidRPr="0010129A" w:rsidRDefault="008B1131" w:rsidP="008B1131">
            <w:pPr>
              <w:jc w:val="center"/>
              <w:rPr>
                <w:b/>
                <w:bCs/>
                <w:color w:val="000000"/>
                <w:sz w:val="18"/>
                <w:szCs w:val="18"/>
              </w:rPr>
            </w:pPr>
            <w:r w:rsidRPr="0010129A">
              <w:rPr>
                <w:b/>
                <w:bCs/>
                <w:color w:val="000000"/>
                <w:sz w:val="18"/>
                <w:szCs w:val="18"/>
              </w:rPr>
              <w:t>Srovnávací hodnota podílu vyřazených projektů za celý program</w:t>
            </w:r>
          </w:p>
        </w:tc>
        <w:tc>
          <w:tcPr>
            <w:tcW w:w="1064" w:type="dxa"/>
            <w:tcBorders>
              <w:top w:val="nil"/>
              <w:left w:val="nil"/>
              <w:bottom w:val="single" w:sz="8" w:space="0" w:color="4F6228"/>
              <w:right w:val="double" w:sz="6" w:space="0" w:color="4F6228"/>
            </w:tcBorders>
            <w:shd w:val="clear" w:color="000000" w:fill="C4D79B"/>
            <w:vAlign w:val="center"/>
            <w:hideMark/>
          </w:tcPr>
          <w:p w:rsidR="008B1131" w:rsidRPr="0010129A" w:rsidRDefault="008B1131" w:rsidP="008B1131">
            <w:pPr>
              <w:jc w:val="center"/>
              <w:rPr>
                <w:b/>
                <w:bCs/>
                <w:color w:val="000000"/>
                <w:sz w:val="18"/>
                <w:szCs w:val="18"/>
              </w:rPr>
            </w:pPr>
            <w:r w:rsidRPr="0010129A">
              <w:rPr>
                <w:b/>
                <w:bCs/>
                <w:color w:val="000000"/>
                <w:sz w:val="18"/>
                <w:szCs w:val="18"/>
              </w:rPr>
              <w:t>Počet vyřazených projektů za rok 2014</w:t>
            </w:r>
          </w:p>
        </w:tc>
      </w:tr>
      <w:tr w:rsidR="008B1131" w:rsidRPr="008B1131" w:rsidTr="008B1131">
        <w:trPr>
          <w:trHeight w:val="468"/>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N1.1 Projektová žádost nesplnila alespoň jedno kritérium přijatelnosti</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1,59%</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8B1131">
        <w:trPr>
          <w:trHeight w:val="317"/>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N1.2 Projektová žádost nesplnila formální náležitosti</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0,75%</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C1306C">
        <w:trPr>
          <w:trHeight w:val="293"/>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N2.3 Projekt nedoporučen k financování výběrovou komisí</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0,41%</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8B1131">
        <w:trPr>
          <w:trHeight w:val="317"/>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N2.1 Projekt nesplnil podmínky hodnocení</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3,07%</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8B1131">
        <w:trPr>
          <w:trHeight w:val="468"/>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N2.2 Odeslán dopis o vyřazení projektové žádosti na základě ex-ante kontroly</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0,30%</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C1306C">
        <w:trPr>
          <w:trHeight w:val="398"/>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N2.3 Projekt nedoporučen k financování výběrovou komisí</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0,47%</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8B1131">
        <w:trPr>
          <w:trHeight w:val="468"/>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N4.1 Vydání rozhodnutí o poskytnutí dotace/stanovení výdajů zamítnuto</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0,03%</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8B1131">
        <w:trPr>
          <w:trHeight w:val="317"/>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N5 Projektová žádost stažena žadatelem</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3</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1,89%</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3,43%</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10129A">
        <w:trPr>
          <w:trHeight w:val="317"/>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N7 Projekt nedokončen/stažen</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1,92%</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10129A">
        <w:trPr>
          <w:trHeight w:val="317"/>
        </w:trPr>
        <w:tc>
          <w:tcPr>
            <w:tcW w:w="4544" w:type="dxa"/>
            <w:tcBorders>
              <w:top w:val="single" w:sz="8" w:space="0" w:color="4F6228"/>
              <w:left w:val="double" w:sz="6" w:space="0" w:color="4F6228"/>
              <w:bottom w:val="single" w:sz="8" w:space="0" w:color="4F6228"/>
              <w:right w:val="single" w:sz="8" w:space="0" w:color="4F6228"/>
            </w:tcBorders>
            <w:shd w:val="clear" w:color="auto" w:fill="auto"/>
            <w:vAlign w:val="center"/>
            <w:hideMark/>
          </w:tcPr>
          <w:p w:rsidR="008B1131" w:rsidRPr="008B1131" w:rsidRDefault="008B1131" w:rsidP="008B1131">
            <w:pPr>
              <w:rPr>
                <w:i/>
                <w:iCs/>
                <w:color w:val="000000"/>
                <w:sz w:val="16"/>
                <w:szCs w:val="16"/>
              </w:rPr>
            </w:pPr>
            <w:r w:rsidRPr="008B1131">
              <w:rPr>
                <w:i/>
                <w:iCs/>
                <w:color w:val="000000"/>
                <w:sz w:val="16"/>
                <w:szCs w:val="16"/>
              </w:rPr>
              <w:t>N8 Smlouva ukončena ze strany ŘO/ZS</w:t>
            </w:r>
          </w:p>
        </w:tc>
        <w:tc>
          <w:tcPr>
            <w:tcW w:w="1064" w:type="dxa"/>
            <w:tcBorders>
              <w:top w:val="single" w:sz="8" w:space="0" w:color="4F6228"/>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 </w:t>
            </w:r>
          </w:p>
        </w:tc>
        <w:tc>
          <w:tcPr>
            <w:tcW w:w="1153" w:type="dxa"/>
            <w:tcBorders>
              <w:top w:val="single" w:sz="8" w:space="0" w:color="4F6228"/>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0,00%</w:t>
            </w:r>
          </w:p>
        </w:tc>
        <w:tc>
          <w:tcPr>
            <w:tcW w:w="1064" w:type="dxa"/>
            <w:tcBorders>
              <w:top w:val="single" w:sz="8" w:space="0" w:color="4F6228"/>
              <w:left w:val="nil"/>
              <w:bottom w:val="single" w:sz="8" w:space="0" w:color="4F6228"/>
              <w:right w:val="single" w:sz="8"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0,07%</w:t>
            </w:r>
          </w:p>
        </w:tc>
        <w:tc>
          <w:tcPr>
            <w:tcW w:w="1064" w:type="dxa"/>
            <w:tcBorders>
              <w:top w:val="single" w:sz="8" w:space="0" w:color="4F6228"/>
              <w:left w:val="nil"/>
              <w:bottom w:val="single" w:sz="8" w:space="0" w:color="4F6228"/>
              <w:right w:val="double" w:sz="6" w:space="0" w:color="4F6228"/>
            </w:tcBorders>
            <w:shd w:val="clear" w:color="auto" w:fill="auto"/>
            <w:noWrap/>
            <w:vAlign w:val="center"/>
            <w:hideMark/>
          </w:tcPr>
          <w:p w:rsidR="008B1131" w:rsidRPr="008B1131" w:rsidRDefault="008B1131" w:rsidP="008B1131">
            <w:pPr>
              <w:jc w:val="center"/>
              <w:rPr>
                <w:color w:val="000000"/>
              </w:rPr>
            </w:pPr>
            <w:r w:rsidRPr="008B1131">
              <w:rPr>
                <w:color w:val="000000"/>
              </w:rPr>
              <w:t>0</w:t>
            </w:r>
          </w:p>
        </w:tc>
      </w:tr>
      <w:tr w:rsidR="008B1131" w:rsidRPr="008B1131" w:rsidTr="00C1306C">
        <w:trPr>
          <w:trHeight w:val="273"/>
        </w:trPr>
        <w:tc>
          <w:tcPr>
            <w:tcW w:w="4544" w:type="dxa"/>
            <w:tcBorders>
              <w:top w:val="nil"/>
              <w:left w:val="double" w:sz="6" w:space="0" w:color="4F6228"/>
              <w:bottom w:val="double" w:sz="6" w:space="0" w:color="4F6228"/>
              <w:right w:val="single" w:sz="8" w:space="0" w:color="4F6228"/>
            </w:tcBorders>
            <w:shd w:val="clear" w:color="000000" w:fill="C4D79B"/>
            <w:vAlign w:val="center"/>
            <w:hideMark/>
          </w:tcPr>
          <w:p w:rsidR="008B1131" w:rsidRPr="008B1131" w:rsidRDefault="008B1131" w:rsidP="008B1131">
            <w:pPr>
              <w:rPr>
                <w:b/>
                <w:bCs/>
                <w:i/>
                <w:iCs/>
                <w:color w:val="000000"/>
                <w:sz w:val="16"/>
                <w:szCs w:val="16"/>
              </w:rPr>
            </w:pPr>
            <w:r w:rsidRPr="008B1131">
              <w:rPr>
                <w:b/>
                <w:bCs/>
                <w:i/>
                <w:iCs/>
                <w:color w:val="000000"/>
                <w:sz w:val="16"/>
                <w:szCs w:val="16"/>
              </w:rPr>
              <w:t>Celkem</w:t>
            </w:r>
          </w:p>
        </w:tc>
        <w:tc>
          <w:tcPr>
            <w:tcW w:w="1064" w:type="dxa"/>
            <w:tcBorders>
              <w:top w:val="nil"/>
              <w:left w:val="nil"/>
              <w:bottom w:val="double" w:sz="6" w:space="0" w:color="4F6228"/>
              <w:right w:val="single" w:sz="8" w:space="0" w:color="4F6228"/>
            </w:tcBorders>
            <w:shd w:val="clear" w:color="000000" w:fill="C4D79B"/>
            <w:noWrap/>
            <w:vAlign w:val="center"/>
            <w:hideMark/>
          </w:tcPr>
          <w:p w:rsidR="008B1131" w:rsidRPr="008B1131" w:rsidRDefault="008B1131" w:rsidP="008B1131">
            <w:pPr>
              <w:jc w:val="center"/>
              <w:rPr>
                <w:b/>
                <w:bCs/>
                <w:color w:val="000000"/>
              </w:rPr>
            </w:pPr>
            <w:r w:rsidRPr="008B1131">
              <w:rPr>
                <w:b/>
                <w:bCs/>
                <w:color w:val="000000"/>
              </w:rPr>
              <w:t>3</w:t>
            </w:r>
          </w:p>
        </w:tc>
        <w:tc>
          <w:tcPr>
            <w:tcW w:w="1153" w:type="dxa"/>
            <w:tcBorders>
              <w:top w:val="nil"/>
              <w:left w:val="nil"/>
              <w:bottom w:val="double" w:sz="6" w:space="0" w:color="4F6228"/>
              <w:right w:val="single" w:sz="8" w:space="0" w:color="4F6228"/>
            </w:tcBorders>
            <w:shd w:val="clear" w:color="000000" w:fill="C4D79B"/>
            <w:noWrap/>
            <w:vAlign w:val="center"/>
            <w:hideMark/>
          </w:tcPr>
          <w:p w:rsidR="008B1131" w:rsidRPr="008B1131" w:rsidRDefault="008B1131" w:rsidP="008B1131">
            <w:pPr>
              <w:jc w:val="center"/>
              <w:rPr>
                <w:b/>
                <w:bCs/>
                <w:color w:val="000000"/>
              </w:rPr>
            </w:pPr>
            <w:r w:rsidRPr="008B1131">
              <w:rPr>
                <w:b/>
                <w:bCs/>
                <w:color w:val="000000"/>
              </w:rPr>
              <w:t>1,89%</w:t>
            </w:r>
          </w:p>
        </w:tc>
        <w:tc>
          <w:tcPr>
            <w:tcW w:w="1064" w:type="dxa"/>
            <w:tcBorders>
              <w:top w:val="nil"/>
              <w:left w:val="nil"/>
              <w:bottom w:val="double" w:sz="6" w:space="0" w:color="4F6228"/>
              <w:right w:val="single" w:sz="8" w:space="0" w:color="4F6228"/>
            </w:tcBorders>
            <w:shd w:val="clear" w:color="000000" w:fill="C4D79B"/>
            <w:noWrap/>
            <w:vAlign w:val="center"/>
            <w:hideMark/>
          </w:tcPr>
          <w:p w:rsidR="008B1131" w:rsidRPr="008B1131" w:rsidRDefault="008B1131" w:rsidP="008B1131">
            <w:pPr>
              <w:jc w:val="center"/>
              <w:rPr>
                <w:b/>
                <w:bCs/>
                <w:color w:val="000000"/>
              </w:rPr>
            </w:pPr>
            <w:r w:rsidRPr="008B1131">
              <w:rPr>
                <w:b/>
                <w:bCs/>
                <w:color w:val="000000"/>
              </w:rPr>
              <w:t>12,05%</w:t>
            </w:r>
          </w:p>
        </w:tc>
        <w:tc>
          <w:tcPr>
            <w:tcW w:w="1064" w:type="dxa"/>
            <w:tcBorders>
              <w:top w:val="nil"/>
              <w:left w:val="nil"/>
              <w:bottom w:val="double" w:sz="6" w:space="0" w:color="4F6228"/>
              <w:right w:val="double" w:sz="6" w:space="0" w:color="4F6228"/>
            </w:tcBorders>
            <w:shd w:val="clear" w:color="000000" w:fill="C4D79B"/>
            <w:noWrap/>
            <w:vAlign w:val="center"/>
            <w:hideMark/>
          </w:tcPr>
          <w:p w:rsidR="008B1131" w:rsidRPr="008B1131" w:rsidRDefault="008B1131" w:rsidP="008B1131">
            <w:pPr>
              <w:jc w:val="center"/>
              <w:rPr>
                <w:b/>
                <w:bCs/>
                <w:color w:val="000000"/>
              </w:rPr>
            </w:pPr>
            <w:r w:rsidRPr="008B1131">
              <w:rPr>
                <w:b/>
                <w:bCs/>
                <w:color w:val="000000"/>
              </w:rPr>
              <w:t>0</w:t>
            </w:r>
          </w:p>
        </w:tc>
      </w:tr>
    </w:tbl>
    <w:p w:rsidR="00205F90" w:rsidRPr="002B492C" w:rsidRDefault="005F21AD" w:rsidP="002B492C">
      <w:pPr>
        <w:spacing w:before="60" w:after="120"/>
        <w:jc w:val="both"/>
        <w:rPr>
          <w:i/>
          <w:sz w:val="18"/>
          <w:szCs w:val="18"/>
        </w:rPr>
      </w:pPr>
      <w:r w:rsidRPr="00B13F65">
        <w:rPr>
          <w:i/>
          <w:sz w:val="18"/>
          <w:szCs w:val="18"/>
        </w:rPr>
        <w:t>Zdroj:</w:t>
      </w:r>
      <w:r w:rsidRPr="00B13F65">
        <w:rPr>
          <w:bCs/>
          <w:i/>
          <w:sz w:val="18"/>
          <w:szCs w:val="18"/>
        </w:rPr>
        <w:t xml:space="preserve"> IS Monit7+ k</w:t>
      </w:r>
      <w:r>
        <w:rPr>
          <w:bCs/>
          <w:i/>
          <w:sz w:val="18"/>
          <w:szCs w:val="18"/>
        </w:rPr>
        <w:t xml:space="preserve"> </w:t>
      </w:r>
      <w:r w:rsidR="00E037E5">
        <w:rPr>
          <w:bCs/>
          <w:i/>
          <w:sz w:val="18"/>
          <w:szCs w:val="18"/>
        </w:rPr>
        <w:t>2</w:t>
      </w:r>
      <w:r w:rsidR="00E037E5" w:rsidRPr="00B13F65">
        <w:rPr>
          <w:bCs/>
          <w:i/>
          <w:sz w:val="18"/>
          <w:szCs w:val="18"/>
        </w:rPr>
        <w:t>. 1. 2015</w:t>
      </w:r>
    </w:p>
    <w:p w:rsidR="00A75862" w:rsidRPr="002422B3" w:rsidRDefault="00A75862" w:rsidP="00F4148F">
      <w:pPr>
        <w:jc w:val="both"/>
        <w:rPr>
          <w:b/>
          <w:sz w:val="22"/>
          <w:szCs w:val="22"/>
        </w:rPr>
      </w:pPr>
      <w:r w:rsidRPr="00BD1C23">
        <w:rPr>
          <w:b/>
          <w:sz w:val="22"/>
          <w:szCs w:val="22"/>
        </w:rPr>
        <w:lastRenderedPageBreak/>
        <w:t>Naplňování horizontálních témat</w:t>
      </w:r>
    </w:p>
    <w:p w:rsidR="00A75862" w:rsidRDefault="00A75862" w:rsidP="00F4148F">
      <w:pPr>
        <w:jc w:val="both"/>
        <w:rPr>
          <w:sz w:val="22"/>
          <w:szCs w:val="22"/>
        </w:rPr>
      </w:pPr>
    </w:p>
    <w:p w:rsidR="00A75862" w:rsidRDefault="00A75862" w:rsidP="00F4148F">
      <w:pPr>
        <w:jc w:val="both"/>
        <w:rPr>
          <w:sz w:val="22"/>
          <w:szCs w:val="22"/>
          <w:u w:val="single"/>
        </w:rPr>
      </w:pPr>
      <w:r w:rsidRPr="002422B3">
        <w:rPr>
          <w:sz w:val="22"/>
          <w:szCs w:val="22"/>
          <w:u w:val="single"/>
        </w:rPr>
        <w:t>Rovné příležitosti</w:t>
      </w:r>
    </w:p>
    <w:p w:rsidR="00A75862" w:rsidRDefault="00A75862" w:rsidP="0049055A">
      <w:pPr>
        <w:jc w:val="both"/>
        <w:rPr>
          <w:sz w:val="22"/>
          <w:szCs w:val="22"/>
        </w:rPr>
      </w:pPr>
      <w:r w:rsidRPr="00E002DD">
        <w:rPr>
          <w:sz w:val="22"/>
          <w:szCs w:val="22"/>
        </w:rPr>
        <w:t>V priorit</w:t>
      </w:r>
      <w:r w:rsidR="007E430E" w:rsidRPr="00E002DD">
        <w:rPr>
          <w:sz w:val="22"/>
          <w:szCs w:val="22"/>
        </w:rPr>
        <w:t>ní ose 3 bylo do konce roku 2014</w:t>
      </w:r>
      <w:r w:rsidRPr="00E002DD">
        <w:rPr>
          <w:sz w:val="22"/>
          <w:szCs w:val="22"/>
        </w:rPr>
        <w:t xml:space="preserve"> schváleno </w:t>
      </w:r>
      <w:r w:rsidR="00E43B21" w:rsidRPr="00E002DD">
        <w:rPr>
          <w:sz w:val="22"/>
          <w:szCs w:val="22"/>
        </w:rPr>
        <w:t>2</w:t>
      </w:r>
      <w:r w:rsidR="00E002DD" w:rsidRPr="00E002DD">
        <w:rPr>
          <w:sz w:val="22"/>
          <w:szCs w:val="22"/>
        </w:rPr>
        <w:t>65</w:t>
      </w:r>
      <w:r w:rsidRPr="00E002DD">
        <w:rPr>
          <w:sz w:val="22"/>
          <w:szCs w:val="22"/>
        </w:rPr>
        <w:t xml:space="preserve"> </w:t>
      </w:r>
      <w:r w:rsidR="00E002DD" w:rsidRPr="00E002DD">
        <w:rPr>
          <w:sz w:val="22"/>
          <w:szCs w:val="22"/>
        </w:rPr>
        <w:t xml:space="preserve">projektů, které mají </w:t>
      </w:r>
      <w:r w:rsidRPr="00E002DD">
        <w:rPr>
          <w:sz w:val="22"/>
          <w:szCs w:val="22"/>
        </w:rPr>
        <w:t xml:space="preserve">neutrální vliv na rovné příležitosti, </w:t>
      </w:r>
      <w:r w:rsidR="00E002DD" w:rsidRPr="00E002DD">
        <w:rPr>
          <w:sz w:val="22"/>
          <w:szCs w:val="22"/>
        </w:rPr>
        <w:t>162</w:t>
      </w:r>
      <w:r w:rsidRPr="00E002DD">
        <w:rPr>
          <w:sz w:val="22"/>
          <w:szCs w:val="22"/>
        </w:rPr>
        <w:t xml:space="preserve"> </w:t>
      </w:r>
      <w:r w:rsidR="00E002DD" w:rsidRPr="00E002DD">
        <w:rPr>
          <w:sz w:val="22"/>
          <w:szCs w:val="22"/>
        </w:rPr>
        <w:t xml:space="preserve">projektů s </w:t>
      </w:r>
      <w:r w:rsidRPr="00E002DD">
        <w:rPr>
          <w:sz w:val="22"/>
          <w:szCs w:val="22"/>
        </w:rPr>
        <w:t>pozitivní</w:t>
      </w:r>
      <w:r w:rsidR="00E002DD" w:rsidRPr="00E002DD">
        <w:rPr>
          <w:sz w:val="22"/>
          <w:szCs w:val="22"/>
        </w:rPr>
        <w:t>m</w:t>
      </w:r>
      <w:r w:rsidRPr="00E002DD">
        <w:rPr>
          <w:sz w:val="22"/>
          <w:szCs w:val="22"/>
        </w:rPr>
        <w:t xml:space="preserve"> vliv</w:t>
      </w:r>
      <w:r w:rsidR="00E002DD" w:rsidRPr="00E002DD">
        <w:rPr>
          <w:sz w:val="22"/>
          <w:szCs w:val="22"/>
        </w:rPr>
        <w:t xml:space="preserve">em na rovné příležitosti </w:t>
      </w:r>
      <w:r w:rsidRPr="00E002DD">
        <w:rPr>
          <w:sz w:val="22"/>
          <w:szCs w:val="22"/>
        </w:rPr>
        <w:t xml:space="preserve">a zbývajících </w:t>
      </w:r>
      <w:r w:rsidR="00E002DD" w:rsidRPr="00E002DD">
        <w:rPr>
          <w:sz w:val="22"/>
          <w:szCs w:val="22"/>
        </w:rPr>
        <w:t>56</w:t>
      </w:r>
      <w:r w:rsidR="00704931" w:rsidRPr="00E002DD">
        <w:rPr>
          <w:sz w:val="22"/>
          <w:szCs w:val="22"/>
        </w:rPr>
        <w:t xml:space="preserve"> </w:t>
      </w:r>
      <w:r w:rsidRPr="00E002DD">
        <w:rPr>
          <w:sz w:val="22"/>
          <w:szCs w:val="22"/>
        </w:rPr>
        <w:t>projektových žádostí by mělo být cíleně zaměřeno na rovné příležitosti.</w:t>
      </w:r>
    </w:p>
    <w:p w:rsidR="00A75862" w:rsidRDefault="00A75862" w:rsidP="00F4148F">
      <w:pPr>
        <w:jc w:val="both"/>
        <w:rPr>
          <w:sz w:val="22"/>
          <w:szCs w:val="22"/>
          <w:u w:val="single"/>
        </w:rPr>
      </w:pPr>
    </w:p>
    <w:p w:rsidR="00A75862" w:rsidRPr="00550214" w:rsidRDefault="00A75862" w:rsidP="00DC07ED">
      <w:pPr>
        <w:pStyle w:val="Tabulkanzev"/>
      </w:pPr>
      <w:bookmarkStart w:id="194" w:name="_Toc416431844"/>
      <w:r w:rsidRPr="009026D3">
        <w:t>Rovné příležitosti</w:t>
      </w:r>
      <w:r w:rsidR="0074146D">
        <w:t xml:space="preserve"> v prioritní ose 3</w:t>
      </w:r>
      <w:bookmarkEnd w:id="194"/>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F4148F" w:rsidTr="008045A8">
        <w:trPr>
          <w:trHeight w:val="270"/>
        </w:trPr>
        <w:tc>
          <w:tcPr>
            <w:tcW w:w="5260" w:type="dxa"/>
            <w:shd w:val="clear" w:color="auto" w:fill="C2D69B" w:themeFill="accent3" w:themeFillTint="99"/>
            <w:vAlign w:val="center"/>
          </w:tcPr>
          <w:p w:rsidR="00A75862" w:rsidRPr="008045A8" w:rsidRDefault="00A75862">
            <w:pPr>
              <w:jc w:val="center"/>
              <w:rPr>
                <w:b/>
                <w:bCs/>
                <w:sz w:val="18"/>
                <w:szCs w:val="18"/>
              </w:rPr>
            </w:pPr>
            <w:r w:rsidRPr="008045A8">
              <w:rPr>
                <w:b/>
                <w:bCs/>
                <w:sz w:val="18"/>
                <w:szCs w:val="18"/>
              </w:rPr>
              <w:t>Sledování horizontálních témat</w:t>
            </w:r>
          </w:p>
        </w:tc>
        <w:tc>
          <w:tcPr>
            <w:tcW w:w="1920" w:type="dxa"/>
            <w:shd w:val="clear" w:color="auto" w:fill="C2D69B" w:themeFill="accent3" w:themeFillTint="99"/>
            <w:vAlign w:val="center"/>
          </w:tcPr>
          <w:p w:rsidR="00A75862" w:rsidRPr="008045A8" w:rsidRDefault="00A75862">
            <w:pPr>
              <w:jc w:val="center"/>
              <w:rPr>
                <w:b/>
                <w:bCs/>
                <w:sz w:val="18"/>
                <w:szCs w:val="18"/>
              </w:rPr>
            </w:pPr>
            <w:r w:rsidRPr="008045A8">
              <w:rPr>
                <w:b/>
                <w:bCs/>
                <w:sz w:val="18"/>
                <w:szCs w:val="18"/>
              </w:rPr>
              <w:t>Měrná jednotka</w:t>
            </w:r>
          </w:p>
        </w:tc>
        <w:tc>
          <w:tcPr>
            <w:tcW w:w="1860" w:type="dxa"/>
            <w:shd w:val="clear" w:color="auto" w:fill="C2D69B" w:themeFill="accent3" w:themeFillTint="99"/>
            <w:vAlign w:val="center"/>
          </w:tcPr>
          <w:p w:rsidR="00A75862" w:rsidRPr="008045A8" w:rsidRDefault="00A75862">
            <w:pPr>
              <w:jc w:val="center"/>
              <w:rPr>
                <w:b/>
                <w:bCs/>
                <w:sz w:val="18"/>
                <w:szCs w:val="18"/>
              </w:rPr>
            </w:pPr>
            <w:r w:rsidRPr="008045A8">
              <w:rPr>
                <w:b/>
                <w:bCs/>
                <w:sz w:val="18"/>
                <w:szCs w:val="18"/>
              </w:rPr>
              <w:t>Počet projektů</w:t>
            </w:r>
          </w:p>
        </w:tc>
      </w:tr>
      <w:tr w:rsidR="00564F78" w:rsidRPr="00F4148F" w:rsidTr="00077810">
        <w:trPr>
          <w:trHeight w:val="284"/>
        </w:trPr>
        <w:tc>
          <w:tcPr>
            <w:tcW w:w="5260" w:type="dxa"/>
            <w:noWrap/>
            <w:vAlign w:val="center"/>
          </w:tcPr>
          <w:p w:rsidR="00564F78" w:rsidRPr="008045A8" w:rsidRDefault="00564F78" w:rsidP="00BB3362">
            <w:pPr>
              <w:rPr>
                <w:sz w:val="18"/>
                <w:szCs w:val="18"/>
              </w:rPr>
            </w:pPr>
            <w:r w:rsidRPr="008045A8">
              <w:rPr>
                <w:sz w:val="18"/>
                <w:szCs w:val="18"/>
              </w:rPr>
              <w:t xml:space="preserve">Počet projektů </w:t>
            </w:r>
            <w:r w:rsidRPr="008045A8">
              <w:rPr>
                <w:b/>
                <w:sz w:val="18"/>
                <w:szCs w:val="18"/>
              </w:rPr>
              <w:t>cíleně zaměřených na rovné příležitosti</w:t>
            </w:r>
          </w:p>
        </w:tc>
        <w:tc>
          <w:tcPr>
            <w:tcW w:w="1920" w:type="dxa"/>
            <w:noWrap/>
            <w:vAlign w:val="center"/>
          </w:tcPr>
          <w:p w:rsidR="00564F78" w:rsidRPr="008045A8" w:rsidRDefault="00564F78" w:rsidP="004C19BE">
            <w:pPr>
              <w:jc w:val="center"/>
              <w:rPr>
                <w:sz w:val="18"/>
                <w:szCs w:val="18"/>
              </w:rPr>
            </w:pPr>
            <w:r w:rsidRPr="008045A8">
              <w:rPr>
                <w:sz w:val="18"/>
                <w:szCs w:val="18"/>
              </w:rPr>
              <w:t>Počet projektů</w:t>
            </w:r>
          </w:p>
        </w:tc>
        <w:tc>
          <w:tcPr>
            <w:tcW w:w="1860" w:type="dxa"/>
            <w:noWrap/>
            <w:vAlign w:val="center"/>
          </w:tcPr>
          <w:p w:rsidR="00564F78" w:rsidRPr="008045A8" w:rsidRDefault="003247E9" w:rsidP="004C19BE">
            <w:pPr>
              <w:jc w:val="center"/>
              <w:rPr>
                <w:sz w:val="18"/>
                <w:szCs w:val="18"/>
              </w:rPr>
            </w:pPr>
            <w:r w:rsidRPr="008045A8">
              <w:rPr>
                <w:sz w:val="18"/>
                <w:szCs w:val="18"/>
              </w:rPr>
              <w:t>56</w:t>
            </w:r>
          </w:p>
        </w:tc>
      </w:tr>
      <w:tr w:rsidR="00564F78" w:rsidRPr="00F4148F" w:rsidTr="00077810">
        <w:trPr>
          <w:trHeight w:val="284"/>
        </w:trPr>
        <w:tc>
          <w:tcPr>
            <w:tcW w:w="5260" w:type="dxa"/>
            <w:noWrap/>
            <w:vAlign w:val="center"/>
          </w:tcPr>
          <w:p w:rsidR="00564F78" w:rsidRPr="008045A8" w:rsidRDefault="00564F78" w:rsidP="00BB3362">
            <w:pPr>
              <w:rPr>
                <w:sz w:val="18"/>
                <w:szCs w:val="18"/>
              </w:rPr>
            </w:pPr>
            <w:r w:rsidRPr="008045A8">
              <w:rPr>
                <w:sz w:val="18"/>
                <w:szCs w:val="18"/>
              </w:rPr>
              <w:t>Počet projektů</w:t>
            </w:r>
            <w:r w:rsidRPr="008045A8">
              <w:rPr>
                <w:b/>
                <w:sz w:val="18"/>
                <w:szCs w:val="18"/>
              </w:rPr>
              <w:t xml:space="preserve"> s pozitivním vlivem na rovné příležitosti</w:t>
            </w:r>
          </w:p>
        </w:tc>
        <w:tc>
          <w:tcPr>
            <w:tcW w:w="1920" w:type="dxa"/>
            <w:noWrap/>
            <w:vAlign w:val="center"/>
          </w:tcPr>
          <w:p w:rsidR="00564F78" w:rsidRPr="008045A8" w:rsidRDefault="00564F78" w:rsidP="004C19BE">
            <w:pPr>
              <w:jc w:val="center"/>
              <w:rPr>
                <w:sz w:val="18"/>
                <w:szCs w:val="18"/>
              </w:rPr>
            </w:pPr>
            <w:r w:rsidRPr="008045A8">
              <w:rPr>
                <w:sz w:val="18"/>
                <w:szCs w:val="18"/>
              </w:rPr>
              <w:t>Počet projektů</w:t>
            </w:r>
          </w:p>
        </w:tc>
        <w:tc>
          <w:tcPr>
            <w:tcW w:w="1860" w:type="dxa"/>
            <w:noWrap/>
            <w:vAlign w:val="center"/>
          </w:tcPr>
          <w:p w:rsidR="00564F78" w:rsidRPr="008045A8" w:rsidRDefault="003247E9" w:rsidP="004C19BE">
            <w:pPr>
              <w:jc w:val="center"/>
              <w:rPr>
                <w:sz w:val="18"/>
                <w:szCs w:val="18"/>
              </w:rPr>
            </w:pPr>
            <w:r w:rsidRPr="008045A8">
              <w:rPr>
                <w:sz w:val="18"/>
                <w:szCs w:val="18"/>
              </w:rPr>
              <w:t>162</w:t>
            </w:r>
          </w:p>
        </w:tc>
      </w:tr>
      <w:tr w:rsidR="00564F78" w:rsidRPr="00F4148F" w:rsidTr="00077810">
        <w:trPr>
          <w:trHeight w:val="284"/>
        </w:trPr>
        <w:tc>
          <w:tcPr>
            <w:tcW w:w="5260" w:type="dxa"/>
            <w:noWrap/>
            <w:vAlign w:val="center"/>
          </w:tcPr>
          <w:p w:rsidR="00564F78" w:rsidRPr="008045A8" w:rsidRDefault="00564F78" w:rsidP="00BB3362">
            <w:pPr>
              <w:rPr>
                <w:sz w:val="18"/>
                <w:szCs w:val="18"/>
              </w:rPr>
            </w:pPr>
            <w:r w:rsidRPr="008045A8">
              <w:rPr>
                <w:sz w:val="18"/>
                <w:szCs w:val="18"/>
              </w:rPr>
              <w:t xml:space="preserve">Počet projektů </w:t>
            </w:r>
            <w:r w:rsidRPr="008045A8">
              <w:rPr>
                <w:b/>
                <w:sz w:val="18"/>
                <w:szCs w:val="18"/>
              </w:rPr>
              <w:t>s neutrálním vlivem na rovné příležitosti</w:t>
            </w:r>
          </w:p>
        </w:tc>
        <w:tc>
          <w:tcPr>
            <w:tcW w:w="1920" w:type="dxa"/>
            <w:noWrap/>
            <w:vAlign w:val="center"/>
          </w:tcPr>
          <w:p w:rsidR="00564F78" w:rsidRPr="008045A8" w:rsidRDefault="00564F78" w:rsidP="004C19BE">
            <w:pPr>
              <w:jc w:val="center"/>
              <w:rPr>
                <w:sz w:val="18"/>
                <w:szCs w:val="18"/>
              </w:rPr>
            </w:pPr>
            <w:r w:rsidRPr="008045A8">
              <w:rPr>
                <w:sz w:val="18"/>
                <w:szCs w:val="18"/>
              </w:rPr>
              <w:t>Počet projektů</w:t>
            </w:r>
          </w:p>
        </w:tc>
        <w:tc>
          <w:tcPr>
            <w:tcW w:w="1860" w:type="dxa"/>
            <w:noWrap/>
            <w:vAlign w:val="center"/>
          </w:tcPr>
          <w:p w:rsidR="00564F78" w:rsidRPr="008045A8" w:rsidRDefault="003247E9" w:rsidP="004C19BE">
            <w:pPr>
              <w:jc w:val="center"/>
              <w:rPr>
                <w:sz w:val="18"/>
                <w:szCs w:val="18"/>
              </w:rPr>
            </w:pPr>
            <w:r w:rsidRPr="008045A8">
              <w:rPr>
                <w:sz w:val="18"/>
                <w:szCs w:val="18"/>
              </w:rPr>
              <w:t>265</w:t>
            </w:r>
          </w:p>
        </w:tc>
      </w:tr>
    </w:tbl>
    <w:p w:rsidR="00A75862" w:rsidRDefault="00A75862" w:rsidP="007738E2">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B43DE6">
        <w:rPr>
          <w:i/>
          <w:sz w:val="18"/>
          <w:szCs w:val="18"/>
        </w:rPr>
        <w:t>2</w:t>
      </w:r>
      <w:r w:rsidR="00B43DE6" w:rsidRPr="00C02CF8">
        <w:rPr>
          <w:i/>
          <w:sz w:val="18"/>
          <w:szCs w:val="18"/>
        </w:rPr>
        <w:t>. 1. 2015</w:t>
      </w:r>
    </w:p>
    <w:p w:rsidR="00A75862" w:rsidRDefault="00A75862" w:rsidP="00F4148F">
      <w:pPr>
        <w:jc w:val="both"/>
        <w:rPr>
          <w:sz w:val="22"/>
          <w:szCs w:val="22"/>
          <w:u w:val="single"/>
        </w:rPr>
      </w:pPr>
    </w:p>
    <w:p w:rsidR="00A75862" w:rsidRDefault="00A75862" w:rsidP="0049055A">
      <w:pPr>
        <w:tabs>
          <w:tab w:val="left" w:pos="2043"/>
        </w:tabs>
        <w:rPr>
          <w:sz w:val="22"/>
          <w:szCs w:val="22"/>
          <w:u w:val="single"/>
        </w:rPr>
      </w:pPr>
      <w:r w:rsidRPr="002422B3">
        <w:rPr>
          <w:sz w:val="22"/>
          <w:szCs w:val="22"/>
          <w:u w:val="single"/>
        </w:rPr>
        <w:t>Udržitelný rozvoj</w:t>
      </w:r>
    </w:p>
    <w:p w:rsidR="00DF2021" w:rsidRDefault="00A75862" w:rsidP="00661742">
      <w:pPr>
        <w:jc w:val="both"/>
        <w:rPr>
          <w:sz w:val="22"/>
          <w:szCs w:val="22"/>
          <w:u w:val="single"/>
        </w:rPr>
      </w:pPr>
      <w:r w:rsidRPr="00661742">
        <w:rPr>
          <w:sz w:val="22"/>
          <w:szCs w:val="22"/>
        </w:rPr>
        <w:t>Největší počet projektů schválených v pr</w:t>
      </w:r>
      <w:r w:rsidR="00661742" w:rsidRPr="00661742">
        <w:rPr>
          <w:sz w:val="22"/>
          <w:szCs w:val="22"/>
        </w:rPr>
        <w:t>ioritní ose 3 do konce roku 2014 by měl</w:t>
      </w:r>
      <w:r w:rsidRPr="00661742">
        <w:rPr>
          <w:sz w:val="22"/>
          <w:szCs w:val="22"/>
        </w:rPr>
        <w:t xml:space="preserve"> být ekologicky neutrálních (</w:t>
      </w:r>
      <w:r w:rsidR="00E43B21" w:rsidRPr="00661742">
        <w:rPr>
          <w:sz w:val="22"/>
          <w:szCs w:val="22"/>
        </w:rPr>
        <w:t>404</w:t>
      </w:r>
      <w:r w:rsidRPr="00661742">
        <w:rPr>
          <w:sz w:val="22"/>
          <w:szCs w:val="22"/>
        </w:rPr>
        <w:t xml:space="preserve">), </w:t>
      </w:r>
      <w:r w:rsidR="00661742" w:rsidRPr="00661742">
        <w:rPr>
          <w:sz w:val="22"/>
          <w:szCs w:val="22"/>
        </w:rPr>
        <w:t>77</w:t>
      </w:r>
      <w:r w:rsidRPr="00661742">
        <w:rPr>
          <w:sz w:val="22"/>
          <w:szCs w:val="22"/>
        </w:rPr>
        <w:t xml:space="preserve"> s pozitivním dopadem na životní prostředí, </w:t>
      </w:r>
      <w:r w:rsidR="00E43B21" w:rsidRPr="00661742">
        <w:rPr>
          <w:sz w:val="22"/>
          <w:szCs w:val="22"/>
        </w:rPr>
        <w:t>2</w:t>
      </w:r>
      <w:r w:rsidR="00661742" w:rsidRPr="00661742">
        <w:rPr>
          <w:sz w:val="22"/>
          <w:szCs w:val="22"/>
        </w:rPr>
        <w:t>0</w:t>
      </w:r>
      <w:r w:rsidRPr="00661742">
        <w:rPr>
          <w:sz w:val="22"/>
          <w:szCs w:val="22"/>
        </w:rPr>
        <w:t xml:space="preserve"> projektových žádostí deklaruje zlepšení ovzduší, </w:t>
      </w:r>
      <w:r w:rsidR="00661742" w:rsidRPr="00661742">
        <w:rPr>
          <w:sz w:val="22"/>
          <w:szCs w:val="22"/>
        </w:rPr>
        <w:t>17</w:t>
      </w:r>
      <w:r w:rsidRPr="00661742">
        <w:rPr>
          <w:sz w:val="22"/>
          <w:szCs w:val="22"/>
        </w:rPr>
        <w:t xml:space="preserve"> projektových žádostí se zavazuje zlepšit informovanost obyvatel o ochraně životního prostředí, </w:t>
      </w:r>
      <w:r w:rsidR="00661742" w:rsidRPr="00661742">
        <w:rPr>
          <w:sz w:val="22"/>
          <w:szCs w:val="22"/>
        </w:rPr>
        <w:t>13</w:t>
      </w:r>
      <w:r w:rsidRPr="00661742">
        <w:rPr>
          <w:sz w:val="22"/>
          <w:szCs w:val="22"/>
        </w:rPr>
        <w:t xml:space="preserve"> projektů využije alternativní zdroje, </w:t>
      </w:r>
      <w:r w:rsidR="00661742" w:rsidRPr="00661742">
        <w:rPr>
          <w:sz w:val="22"/>
          <w:szCs w:val="22"/>
        </w:rPr>
        <w:t>4</w:t>
      </w:r>
      <w:r w:rsidRPr="00661742">
        <w:rPr>
          <w:sz w:val="22"/>
          <w:szCs w:val="22"/>
        </w:rPr>
        <w:t xml:space="preserve"> zlepší kvalitu vod a </w:t>
      </w:r>
      <w:r w:rsidR="00661742" w:rsidRPr="00661742">
        <w:rPr>
          <w:sz w:val="22"/>
          <w:szCs w:val="22"/>
        </w:rPr>
        <w:t>2</w:t>
      </w:r>
      <w:r w:rsidRPr="00661742">
        <w:rPr>
          <w:sz w:val="22"/>
          <w:szCs w:val="22"/>
        </w:rPr>
        <w:t xml:space="preserve"> zvýší rozlohu sídelní vegetace.</w:t>
      </w:r>
      <w:r>
        <w:rPr>
          <w:sz w:val="22"/>
          <w:szCs w:val="22"/>
        </w:rPr>
        <w:t xml:space="preserve">  </w:t>
      </w:r>
    </w:p>
    <w:p w:rsidR="00007E45" w:rsidRDefault="00007E45" w:rsidP="00F4148F">
      <w:pPr>
        <w:rPr>
          <w:sz w:val="22"/>
          <w:szCs w:val="22"/>
          <w:u w:val="single"/>
        </w:rPr>
      </w:pPr>
    </w:p>
    <w:p w:rsidR="00007E45" w:rsidRPr="009026D3" w:rsidRDefault="00007E45" w:rsidP="00DC07ED">
      <w:pPr>
        <w:pStyle w:val="Tabulkanzev"/>
      </w:pPr>
      <w:bookmarkStart w:id="195" w:name="_Toc416431845"/>
      <w:r w:rsidRPr="009026D3">
        <w:t>Udržitelný rozvoj</w:t>
      </w:r>
      <w:r w:rsidR="0074146D">
        <w:t xml:space="preserve"> v prioritní ose 3</w:t>
      </w:r>
      <w:bookmarkEnd w:id="195"/>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F4148F" w:rsidTr="00A03D06">
        <w:trPr>
          <w:trHeight w:val="270"/>
        </w:trPr>
        <w:tc>
          <w:tcPr>
            <w:tcW w:w="5260" w:type="dxa"/>
            <w:shd w:val="clear" w:color="auto" w:fill="C2D69B" w:themeFill="accent3" w:themeFillTint="99"/>
            <w:vAlign w:val="center"/>
          </w:tcPr>
          <w:p w:rsidR="00A75862" w:rsidRPr="00A03D06" w:rsidRDefault="00A75862">
            <w:pPr>
              <w:jc w:val="center"/>
              <w:rPr>
                <w:b/>
                <w:bCs/>
                <w:sz w:val="18"/>
                <w:szCs w:val="18"/>
              </w:rPr>
            </w:pPr>
            <w:r w:rsidRPr="00A03D06">
              <w:rPr>
                <w:b/>
                <w:bCs/>
                <w:sz w:val="18"/>
                <w:szCs w:val="18"/>
              </w:rPr>
              <w:t>Sledování horizontálních témat</w:t>
            </w:r>
          </w:p>
        </w:tc>
        <w:tc>
          <w:tcPr>
            <w:tcW w:w="1920" w:type="dxa"/>
            <w:shd w:val="clear" w:color="auto" w:fill="C2D69B" w:themeFill="accent3" w:themeFillTint="99"/>
            <w:vAlign w:val="center"/>
          </w:tcPr>
          <w:p w:rsidR="00A75862" w:rsidRPr="00A03D06" w:rsidRDefault="00A75862">
            <w:pPr>
              <w:jc w:val="center"/>
              <w:rPr>
                <w:b/>
                <w:bCs/>
                <w:sz w:val="18"/>
                <w:szCs w:val="18"/>
              </w:rPr>
            </w:pPr>
            <w:r w:rsidRPr="00A03D06">
              <w:rPr>
                <w:b/>
                <w:bCs/>
                <w:sz w:val="18"/>
                <w:szCs w:val="18"/>
              </w:rPr>
              <w:t>Měrná jednotka</w:t>
            </w:r>
          </w:p>
        </w:tc>
        <w:tc>
          <w:tcPr>
            <w:tcW w:w="1860" w:type="dxa"/>
            <w:shd w:val="clear" w:color="auto" w:fill="C2D69B" w:themeFill="accent3" w:themeFillTint="99"/>
            <w:vAlign w:val="center"/>
          </w:tcPr>
          <w:p w:rsidR="00A75862" w:rsidRPr="00A03D06" w:rsidRDefault="00A75862">
            <w:pPr>
              <w:jc w:val="center"/>
              <w:rPr>
                <w:b/>
                <w:bCs/>
                <w:sz w:val="18"/>
                <w:szCs w:val="18"/>
              </w:rPr>
            </w:pPr>
            <w:r w:rsidRPr="00A03D06">
              <w:rPr>
                <w:b/>
                <w:bCs/>
                <w:sz w:val="18"/>
                <w:szCs w:val="18"/>
              </w:rPr>
              <w:t>Počet projektů</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Projekt je soustředěn hlavně</w:t>
            </w:r>
            <w:r w:rsidRPr="006C5247">
              <w:rPr>
                <w:b/>
                <w:sz w:val="18"/>
                <w:szCs w:val="18"/>
              </w:rPr>
              <w:t xml:space="preserve"> na životní prostředí</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564F78" w:rsidP="004C0191">
            <w:pPr>
              <w:jc w:val="center"/>
              <w:rPr>
                <w:sz w:val="18"/>
                <w:szCs w:val="18"/>
              </w:rPr>
            </w:pPr>
            <w:r w:rsidRPr="006C5247">
              <w:rPr>
                <w:sz w:val="18"/>
                <w:szCs w:val="18"/>
              </w:rPr>
              <w:t>0</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 xml:space="preserve">Projekt </w:t>
            </w:r>
            <w:r w:rsidRPr="006C5247">
              <w:rPr>
                <w:b/>
                <w:sz w:val="18"/>
                <w:szCs w:val="18"/>
              </w:rPr>
              <w:t xml:space="preserve">má pozitivní dopad </w:t>
            </w:r>
            <w:r w:rsidRPr="006C5247">
              <w:rPr>
                <w:sz w:val="18"/>
                <w:szCs w:val="18"/>
              </w:rPr>
              <w:t>na životní prostředí</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0F1130" w:rsidP="004C0191">
            <w:pPr>
              <w:jc w:val="center"/>
              <w:rPr>
                <w:sz w:val="18"/>
                <w:szCs w:val="18"/>
              </w:rPr>
            </w:pPr>
            <w:r w:rsidRPr="006C5247">
              <w:rPr>
                <w:sz w:val="18"/>
                <w:szCs w:val="18"/>
              </w:rPr>
              <w:t>77</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 xml:space="preserve">Projekt je ekologicky </w:t>
            </w:r>
            <w:r w:rsidRPr="006C5247">
              <w:rPr>
                <w:b/>
                <w:sz w:val="18"/>
                <w:szCs w:val="18"/>
              </w:rPr>
              <w:t>neutrální</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0F1130" w:rsidP="004C0191">
            <w:pPr>
              <w:jc w:val="center"/>
              <w:rPr>
                <w:sz w:val="18"/>
                <w:szCs w:val="18"/>
              </w:rPr>
            </w:pPr>
            <w:r w:rsidRPr="006C5247">
              <w:rPr>
                <w:sz w:val="18"/>
                <w:szCs w:val="18"/>
              </w:rPr>
              <w:t>404</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 xml:space="preserve">Projekt vyžaduje </w:t>
            </w:r>
            <w:r w:rsidRPr="006C5247">
              <w:rPr>
                <w:b/>
                <w:sz w:val="18"/>
                <w:szCs w:val="18"/>
              </w:rPr>
              <w:t>posouzení vlivu na životní prostředí</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996065" w:rsidP="004C0191">
            <w:pPr>
              <w:jc w:val="center"/>
              <w:rPr>
                <w:sz w:val="18"/>
                <w:szCs w:val="18"/>
              </w:rPr>
            </w:pPr>
            <w:r w:rsidRPr="006C5247">
              <w:rPr>
                <w:sz w:val="18"/>
                <w:szCs w:val="18"/>
              </w:rPr>
              <w:t>0</w:t>
            </w:r>
          </w:p>
        </w:tc>
      </w:tr>
      <w:tr w:rsidR="00564F78" w:rsidRPr="00F4148F" w:rsidTr="00077810">
        <w:trPr>
          <w:trHeight w:val="284"/>
        </w:trPr>
        <w:tc>
          <w:tcPr>
            <w:tcW w:w="5260" w:type="dxa"/>
            <w:noWrap/>
            <w:vAlign w:val="center"/>
          </w:tcPr>
          <w:p w:rsidR="00564F78" w:rsidRPr="006C5247" w:rsidRDefault="00564F78" w:rsidP="00383963">
            <w:pPr>
              <w:rPr>
                <w:sz w:val="18"/>
                <w:szCs w:val="18"/>
              </w:rPr>
            </w:pPr>
            <w:r w:rsidRPr="006C5247">
              <w:rPr>
                <w:sz w:val="18"/>
                <w:szCs w:val="18"/>
              </w:rPr>
              <w:t xml:space="preserve">Projekt přispěje </w:t>
            </w:r>
            <w:r w:rsidRPr="006C5247">
              <w:rPr>
                <w:b/>
                <w:sz w:val="18"/>
                <w:szCs w:val="18"/>
              </w:rPr>
              <w:t>ke zlepšení ovzduší</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996065" w:rsidP="004C0191">
            <w:pPr>
              <w:jc w:val="center"/>
              <w:rPr>
                <w:sz w:val="18"/>
                <w:szCs w:val="18"/>
              </w:rPr>
            </w:pPr>
            <w:r w:rsidRPr="006C5247">
              <w:rPr>
                <w:sz w:val="18"/>
                <w:szCs w:val="18"/>
              </w:rPr>
              <w:t>20</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 xml:space="preserve">Projekt přispěje </w:t>
            </w:r>
            <w:r w:rsidRPr="006C5247">
              <w:rPr>
                <w:b/>
                <w:sz w:val="18"/>
                <w:szCs w:val="18"/>
              </w:rPr>
              <w:t>ke zlepšení kvality vod</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7576BE" w:rsidP="004C0191">
            <w:pPr>
              <w:jc w:val="center"/>
              <w:rPr>
                <w:sz w:val="18"/>
                <w:szCs w:val="18"/>
              </w:rPr>
            </w:pPr>
            <w:r w:rsidRPr="006C5247">
              <w:rPr>
                <w:sz w:val="18"/>
                <w:szCs w:val="18"/>
              </w:rPr>
              <w:t>4</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 xml:space="preserve">Projekt využije </w:t>
            </w:r>
            <w:r w:rsidRPr="006C5247">
              <w:rPr>
                <w:b/>
                <w:sz w:val="18"/>
                <w:szCs w:val="18"/>
              </w:rPr>
              <w:t>alternativní zdroje</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7576BE" w:rsidP="004C0191">
            <w:pPr>
              <w:jc w:val="center"/>
              <w:rPr>
                <w:sz w:val="18"/>
                <w:szCs w:val="18"/>
              </w:rPr>
            </w:pPr>
            <w:r w:rsidRPr="006C5247">
              <w:rPr>
                <w:sz w:val="18"/>
                <w:szCs w:val="18"/>
              </w:rPr>
              <w:t>13</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 xml:space="preserve">Projekt zajistí </w:t>
            </w:r>
            <w:r w:rsidRPr="006C5247">
              <w:rPr>
                <w:b/>
                <w:sz w:val="18"/>
                <w:szCs w:val="18"/>
              </w:rPr>
              <w:t>zvýšení rozlohy sídelní vegetace</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7576BE" w:rsidP="004C0191">
            <w:pPr>
              <w:jc w:val="center"/>
              <w:rPr>
                <w:sz w:val="18"/>
                <w:szCs w:val="18"/>
              </w:rPr>
            </w:pPr>
            <w:r w:rsidRPr="006C5247">
              <w:rPr>
                <w:sz w:val="18"/>
                <w:szCs w:val="18"/>
              </w:rPr>
              <w:t>2</w:t>
            </w:r>
          </w:p>
        </w:tc>
      </w:tr>
      <w:tr w:rsidR="00564F78" w:rsidRPr="00F4148F" w:rsidTr="00077810">
        <w:trPr>
          <w:trHeight w:val="284"/>
        </w:trPr>
        <w:tc>
          <w:tcPr>
            <w:tcW w:w="5260" w:type="dxa"/>
            <w:noWrap/>
            <w:vAlign w:val="center"/>
          </w:tcPr>
          <w:p w:rsidR="00564F78" w:rsidRPr="006C5247" w:rsidRDefault="00564F78" w:rsidP="004C0191">
            <w:pPr>
              <w:rPr>
                <w:sz w:val="18"/>
                <w:szCs w:val="18"/>
              </w:rPr>
            </w:pPr>
            <w:r w:rsidRPr="006C5247">
              <w:rPr>
                <w:sz w:val="18"/>
                <w:szCs w:val="18"/>
              </w:rPr>
              <w:t xml:space="preserve">Projekt zlepší </w:t>
            </w:r>
            <w:r w:rsidRPr="006C5247">
              <w:rPr>
                <w:b/>
                <w:sz w:val="18"/>
                <w:szCs w:val="18"/>
              </w:rPr>
              <w:t>informovanost obyvatel o ochraně životního prostředí</w:t>
            </w:r>
          </w:p>
        </w:tc>
        <w:tc>
          <w:tcPr>
            <w:tcW w:w="1920" w:type="dxa"/>
            <w:noWrap/>
            <w:vAlign w:val="center"/>
          </w:tcPr>
          <w:p w:rsidR="00564F78" w:rsidRPr="006C5247" w:rsidRDefault="00564F78" w:rsidP="004C0191">
            <w:pPr>
              <w:jc w:val="center"/>
              <w:rPr>
                <w:sz w:val="18"/>
                <w:szCs w:val="18"/>
              </w:rPr>
            </w:pPr>
            <w:r w:rsidRPr="006C5247">
              <w:rPr>
                <w:sz w:val="18"/>
                <w:szCs w:val="18"/>
              </w:rPr>
              <w:t>Počet projektů</w:t>
            </w:r>
          </w:p>
        </w:tc>
        <w:tc>
          <w:tcPr>
            <w:tcW w:w="1860" w:type="dxa"/>
            <w:noWrap/>
            <w:vAlign w:val="center"/>
          </w:tcPr>
          <w:p w:rsidR="00564F78" w:rsidRPr="006C5247" w:rsidRDefault="007576BE" w:rsidP="004C0191">
            <w:pPr>
              <w:jc w:val="center"/>
              <w:rPr>
                <w:sz w:val="18"/>
                <w:szCs w:val="18"/>
              </w:rPr>
            </w:pPr>
            <w:r w:rsidRPr="006C5247">
              <w:rPr>
                <w:sz w:val="18"/>
                <w:szCs w:val="18"/>
              </w:rPr>
              <w:t>17</w:t>
            </w:r>
          </w:p>
        </w:tc>
      </w:tr>
    </w:tbl>
    <w:p w:rsidR="00A75862" w:rsidRDefault="00A75862" w:rsidP="007738E2">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DC07ED">
        <w:rPr>
          <w:i/>
          <w:sz w:val="18"/>
          <w:szCs w:val="18"/>
        </w:rPr>
        <w:t>2</w:t>
      </w:r>
      <w:r w:rsidR="00DC07ED" w:rsidRPr="00C02CF8">
        <w:rPr>
          <w:i/>
          <w:sz w:val="18"/>
          <w:szCs w:val="18"/>
        </w:rPr>
        <w:t>. 1. 2015</w:t>
      </w:r>
    </w:p>
    <w:p w:rsidR="00A75862" w:rsidRDefault="00A75862" w:rsidP="00184E0A">
      <w:pPr>
        <w:jc w:val="both"/>
      </w:pPr>
    </w:p>
    <w:p w:rsidR="00A75862" w:rsidRPr="008C4750" w:rsidRDefault="003E516A" w:rsidP="000F2A6C">
      <w:pPr>
        <w:pStyle w:val="Nadpis3"/>
      </w:pPr>
      <w:bookmarkStart w:id="196" w:name="_Toc382407707"/>
      <w:bookmarkStart w:id="197" w:name="_Toc383084710"/>
      <w:bookmarkStart w:id="198" w:name="_Toc417024879"/>
      <w:r>
        <w:t xml:space="preserve">3.3.2 </w:t>
      </w:r>
      <w:r w:rsidR="00A75862" w:rsidRPr="008C4750">
        <w:t>Závažné problémy, které se objevily, a přijatá opatření k jejich odstranění</w:t>
      </w:r>
      <w:bookmarkEnd w:id="196"/>
      <w:bookmarkEnd w:id="197"/>
      <w:bookmarkEnd w:id="198"/>
    </w:p>
    <w:p w:rsidR="00A75862" w:rsidRDefault="00A75862" w:rsidP="00C0537F"/>
    <w:p w:rsidR="00420153" w:rsidRDefault="00A75862" w:rsidP="003D6239">
      <w:pPr>
        <w:jc w:val="both"/>
        <w:rPr>
          <w:rStyle w:val="slovnik"/>
          <w:b/>
          <w:sz w:val="22"/>
          <w:szCs w:val="22"/>
        </w:rPr>
      </w:pPr>
      <w:r>
        <w:rPr>
          <w:rStyle w:val="slovnik"/>
          <w:b/>
          <w:sz w:val="22"/>
          <w:szCs w:val="22"/>
        </w:rPr>
        <w:t>O</w:t>
      </w:r>
      <w:r w:rsidRPr="00DF0769">
        <w:rPr>
          <w:rStyle w:val="slovnik"/>
          <w:b/>
          <w:sz w:val="22"/>
          <w:szCs w:val="22"/>
        </w:rPr>
        <w:t>blast intervence 3.</w:t>
      </w:r>
      <w:r>
        <w:rPr>
          <w:rStyle w:val="slovnik"/>
          <w:b/>
          <w:sz w:val="22"/>
          <w:szCs w:val="22"/>
        </w:rPr>
        <w:t>1</w:t>
      </w:r>
    </w:p>
    <w:p w:rsidR="003D6239" w:rsidRDefault="003D6239" w:rsidP="003D6239">
      <w:pPr>
        <w:ind w:left="1429" w:hanging="1429"/>
        <w:jc w:val="both"/>
        <w:rPr>
          <w:sz w:val="22"/>
          <w:szCs w:val="22"/>
        </w:rPr>
      </w:pPr>
    </w:p>
    <w:p w:rsidR="003D6239" w:rsidRDefault="003D6239" w:rsidP="003D6239">
      <w:pPr>
        <w:spacing w:after="120"/>
        <w:jc w:val="both"/>
        <w:rPr>
          <w:b/>
          <w:sz w:val="22"/>
          <w:szCs w:val="22"/>
        </w:rPr>
      </w:pPr>
      <w:r>
        <w:rPr>
          <w:b/>
          <w:sz w:val="22"/>
          <w:szCs w:val="22"/>
        </w:rPr>
        <w:t>Riziko nenaplnění pravidla n+2a ztráty alokace IOP</w:t>
      </w:r>
    </w:p>
    <w:p w:rsidR="003D6239" w:rsidRPr="0010129A" w:rsidRDefault="007A1D9C" w:rsidP="0010129A">
      <w:pPr>
        <w:spacing w:before="120"/>
        <w:jc w:val="both"/>
        <w:rPr>
          <w:sz w:val="22"/>
          <w:szCs w:val="22"/>
        </w:rPr>
      </w:pPr>
      <w:r w:rsidRPr="0016466C">
        <w:rPr>
          <w:sz w:val="22"/>
          <w:szCs w:val="22"/>
        </w:rPr>
        <w:t xml:space="preserve">S ohledem na dosavadní vývoj implementace IOP byly v roce 2014 indikovány v OI 3.1 problémy při naplňování pravidla n+2. Hlavními důvody </w:t>
      </w:r>
      <w:r>
        <w:rPr>
          <w:sz w:val="22"/>
          <w:szCs w:val="22"/>
        </w:rPr>
        <w:t>byly</w:t>
      </w:r>
      <w:r w:rsidRPr="0016466C">
        <w:rPr>
          <w:sz w:val="22"/>
          <w:szCs w:val="22"/>
        </w:rPr>
        <w:t xml:space="preserve"> zejména posuny v harmonogramech realizovaných projektů, které souvis</w:t>
      </w:r>
      <w:r>
        <w:rPr>
          <w:sz w:val="22"/>
          <w:szCs w:val="22"/>
        </w:rPr>
        <w:t>ely</w:t>
      </w:r>
      <w:r w:rsidRPr="0016466C">
        <w:rPr>
          <w:sz w:val="22"/>
          <w:szCs w:val="22"/>
        </w:rPr>
        <w:t xml:space="preserve"> s prodloužením délky stavebních prací, vyř</w:t>
      </w:r>
      <w:r>
        <w:rPr>
          <w:sz w:val="22"/>
          <w:szCs w:val="22"/>
        </w:rPr>
        <w:t>i</w:t>
      </w:r>
      <w:r w:rsidRPr="0016466C">
        <w:rPr>
          <w:sz w:val="22"/>
          <w:szCs w:val="22"/>
        </w:rPr>
        <w:t>z</w:t>
      </w:r>
      <w:r>
        <w:rPr>
          <w:sz w:val="22"/>
          <w:szCs w:val="22"/>
        </w:rPr>
        <w:t>ováním</w:t>
      </w:r>
      <w:r w:rsidRPr="0016466C">
        <w:rPr>
          <w:sz w:val="22"/>
          <w:szCs w:val="22"/>
        </w:rPr>
        <w:t xml:space="preserve"> stavebního povolení, </w:t>
      </w:r>
      <w:r>
        <w:rPr>
          <w:sz w:val="22"/>
          <w:szCs w:val="22"/>
        </w:rPr>
        <w:t>celkovým časovým skluzem</w:t>
      </w:r>
      <w:r w:rsidRPr="0016466C">
        <w:rPr>
          <w:sz w:val="22"/>
          <w:szCs w:val="22"/>
        </w:rPr>
        <w:t xml:space="preserve">, apod. </w:t>
      </w:r>
      <w:r>
        <w:rPr>
          <w:sz w:val="22"/>
          <w:szCs w:val="22"/>
        </w:rPr>
        <w:t xml:space="preserve">S ohledem na tato rizika MPSV realizovalo celou řadu opatření </w:t>
      </w:r>
      <w:r w:rsidR="00DA1251">
        <w:rPr>
          <w:sz w:val="22"/>
          <w:szCs w:val="22"/>
        </w:rPr>
        <w:br/>
      </w:r>
      <w:r>
        <w:rPr>
          <w:sz w:val="22"/>
          <w:szCs w:val="22"/>
        </w:rPr>
        <w:t>a díky nim</w:t>
      </w:r>
      <w:r w:rsidRPr="0016466C">
        <w:rPr>
          <w:sz w:val="22"/>
          <w:szCs w:val="22"/>
        </w:rPr>
        <w:t xml:space="preserve"> </w:t>
      </w:r>
      <w:r>
        <w:rPr>
          <w:sz w:val="22"/>
          <w:szCs w:val="22"/>
        </w:rPr>
        <w:t xml:space="preserve">se </w:t>
      </w:r>
      <w:r w:rsidRPr="0016466C">
        <w:rPr>
          <w:sz w:val="22"/>
          <w:szCs w:val="22"/>
        </w:rPr>
        <w:t>v roce 2014 podařilo v OI 3.1 pře</w:t>
      </w:r>
      <w:r>
        <w:rPr>
          <w:sz w:val="22"/>
          <w:szCs w:val="22"/>
        </w:rPr>
        <w:t>kroč</w:t>
      </w:r>
      <w:r w:rsidRPr="0016466C">
        <w:rPr>
          <w:sz w:val="22"/>
          <w:szCs w:val="22"/>
        </w:rPr>
        <w:t xml:space="preserve">it </w:t>
      </w:r>
      <w:r>
        <w:rPr>
          <w:sz w:val="22"/>
          <w:szCs w:val="22"/>
        </w:rPr>
        <w:t xml:space="preserve">limit pro </w:t>
      </w:r>
      <w:r w:rsidRPr="0016466C">
        <w:rPr>
          <w:sz w:val="22"/>
          <w:szCs w:val="22"/>
        </w:rPr>
        <w:t>n+2 o 132 mil. Kč</w:t>
      </w:r>
      <w:r>
        <w:rPr>
          <w:sz w:val="22"/>
          <w:szCs w:val="22"/>
        </w:rPr>
        <w:t>.</w:t>
      </w:r>
      <w:r w:rsidRPr="0016466C">
        <w:rPr>
          <w:sz w:val="22"/>
          <w:szCs w:val="22"/>
        </w:rPr>
        <w:t xml:space="preserve"> </w:t>
      </w:r>
    </w:p>
    <w:p w:rsidR="00131423" w:rsidRDefault="00131423" w:rsidP="003D6239">
      <w:pPr>
        <w:jc w:val="both"/>
        <w:rPr>
          <w:b/>
          <w:sz w:val="22"/>
          <w:szCs w:val="22"/>
        </w:rPr>
      </w:pPr>
    </w:p>
    <w:p w:rsidR="003D6239" w:rsidRPr="00985142" w:rsidRDefault="003D6239" w:rsidP="003D6239">
      <w:pPr>
        <w:jc w:val="both"/>
        <w:rPr>
          <w:b/>
          <w:sz w:val="22"/>
          <w:szCs w:val="22"/>
        </w:rPr>
      </w:pPr>
      <w:r>
        <w:rPr>
          <w:b/>
          <w:sz w:val="22"/>
          <w:szCs w:val="22"/>
        </w:rPr>
        <w:t>Přijatá</w:t>
      </w:r>
      <w:r w:rsidRPr="00985142">
        <w:rPr>
          <w:b/>
          <w:sz w:val="22"/>
          <w:szCs w:val="22"/>
        </w:rPr>
        <w:t xml:space="preserve"> opatření</w:t>
      </w:r>
    </w:p>
    <w:p w:rsidR="002B492C" w:rsidRDefault="007A1D9C" w:rsidP="007A1D9C">
      <w:pPr>
        <w:spacing w:before="120"/>
        <w:contextualSpacing/>
        <w:jc w:val="both"/>
        <w:rPr>
          <w:sz w:val="22"/>
          <w:szCs w:val="22"/>
        </w:rPr>
      </w:pPr>
      <w:r w:rsidRPr="00616B95">
        <w:rPr>
          <w:sz w:val="22"/>
          <w:szCs w:val="22"/>
        </w:rPr>
        <w:t xml:space="preserve">ZS MPSV posuzoval předkládaná oznámení o změně, které </w:t>
      </w:r>
      <w:r>
        <w:rPr>
          <w:sz w:val="22"/>
          <w:szCs w:val="22"/>
        </w:rPr>
        <w:t xml:space="preserve">měla </w:t>
      </w:r>
      <w:r w:rsidRPr="00616B95">
        <w:rPr>
          <w:sz w:val="22"/>
          <w:szCs w:val="22"/>
        </w:rPr>
        <w:t>za důsledek přesun finančních prostředků z roku 2014 do roku 2015</w:t>
      </w:r>
      <w:r>
        <w:rPr>
          <w:sz w:val="22"/>
          <w:szCs w:val="22"/>
        </w:rPr>
        <w:t>, a realizoval</w:t>
      </w:r>
      <w:r w:rsidRPr="00606B06">
        <w:rPr>
          <w:sz w:val="22"/>
          <w:szCs w:val="22"/>
        </w:rPr>
        <w:t xml:space="preserve"> kroky k tomu, aby byl</w:t>
      </w:r>
      <w:r>
        <w:rPr>
          <w:sz w:val="22"/>
          <w:szCs w:val="22"/>
        </w:rPr>
        <w:t xml:space="preserve">o vyčerpáno maximum </w:t>
      </w:r>
      <w:r w:rsidRPr="00606B06">
        <w:rPr>
          <w:sz w:val="22"/>
          <w:szCs w:val="22"/>
        </w:rPr>
        <w:t>finanční</w:t>
      </w:r>
      <w:r>
        <w:rPr>
          <w:sz w:val="22"/>
          <w:szCs w:val="22"/>
        </w:rPr>
        <w:t>ch</w:t>
      </w:r>
      <w:r w:rsidRPr="00606B06">
        <w:rPr>
          <w:sz w:val="22"/>
          <w:szCs w:val="22"/>
        </w:rPr>
        <w:t xml:space="preserve"> prostředk</w:t>
      </w:r>
      <w:r>
        <w:rPr>
          <w:sz w:val="22"/>
          <w:szCs w:val="22"/>
        </w:rPr>
        <w:t>ů</w:t>
      </w:r>
      <w:r w:rsidRPr="00606B06">
        <w:rPr>
          <w:sz w:val="22"/>
          <w:szCs w:val="22"/>
        </w:rPr>
        <w:t xml:space="preserve">. Úspory </w:t>
      </w:r>
      <w:r>
        <w:rPr>
          <w:sz w:val="22"/>
          <w:szCs w:val="22"/>
        </w:rPr>
        <w:t xml:space="preserve">v důsledku </w:t>
      </w:r>
      <w:r w:rsidRPr="00606B06">
        <w:rPr>
          <w:sz w:val="22"/>
          <w:szCs w:val="22"/>
        </w:rPr>
        <w:t xml:space="preserve">odstoupení </w:t>
      </w:r>
      <w:r>
        <w:rPr>
          <w:sz w:val="22"/>
          <w:szCs w:val="22"/>
        </w:rPr>
        <w:t xml:space="preserve">příjemce </w:t>
      </w:r>
      <w:r w:rsidRPr="00606B06">
        <w:rPr>
          <w:sz w:val="22"/>
          <w:szCs w:val="22"/>
        </w:rPr>
        <w:t xml:space="preserve">od projektu, nižší </w:t>
      </w:r>
      <w:proofErr w:type="spellStart"/>
      <w:r w:rsidRPr="00606B06">
        <w:rPr>
          <w:sz w:val="22"/>
          <w:szCs w:val="22"/>
        </w:rPr>
        <w:t>vysoutěženou</w:t>
      </w:r>
      <w:proofErr w:type="spellEnd"/>
      <w:r w:rsidRPr="00606B06">
        <w:rPr>
          <w:sz w:val="22"/>
          <w:szCs w:val="22"/>
        </w:rPr>
        <w:t xml:space="preserve"> cenou nebo</w:t>
      </w:r>
      <w:r>
        <w:rPr>
          <w:sz w:val="22"/>
          <w:szCs w:val="22"/>
        </w:rPr>
        <w:t xml:space="preserve"> nezpůsobilých výdajů</w:t>
      </w:r>
      <w:r w:rsidRPr="00606B06">
        <w:rPr>
          <w:sz w:val="22"/>
          <w:szCs w:val="22"/>
        </w:rPr>
        <w:t xml:space="preserve"> b</w:t>
      </w:r>
      <w:r>
        <w:rPr>
          <w:sz w:val="22"/>
          <w:szCs w:val="22"/>
        </w:rPr>
        <w:t>yly</w:t>
      </w:r>
      <w:r w:rsidRPr="00606B06">
        <w:rPr>
          <w:sz w:val="22"/>
          <w:szCs w:val="22"/>
        </w:rPr>
        <w:t xml:space="preserve"> ě uvolňovány na projekty</w:t>
      </w:r>
      <w:r>
        <w:rPr>
          <w:sz w:val="22"/>
          <w:szCs w:val="22"/>
        </w:rPr>
        <w:t xml:space="preserve"> ze zásobníku v 3.1 a) a c).</w:t>
      </w:r>
      <w:r w:rsidRPr="00606B06">
        <w:rPr>
          <w:sz w:val="22"/>
          <w:szCs w:val="22"/>
        </w:rPr>
        <w:t xml:space="preserve"> </w:t>
      </w:r>
    </w:p>
    <w:p w:rsidR="007A1D9C" w:rsidRDefault="007A1D9C" w:rsidP="007A1D9C">
      <w:pPr>
        <w:spacing w:before="120"/>
        <w:contextualSpacing/>
        <w:jc w:val="both"/>
        <w:rPr>
          <w:sz w:val="22"/>
          <w:szCs w:val="22"/>
        </w:rPr>
      </w:pPr>
      <w:r>
        <w:rPr>
          <w:sz w:val="22"/>
          <w:szCs w:val="22"/>
        </w:rPr>
        <w:lastRenderedPageBreak/>
        <w:t>Dále</w:t>
      </w:r>
      <w:r w:rsidRPr="00606B06">
        <w:rPr>
          <w:sz w:val="22"/>
          <w:szCs w:val="22"/>
        </w:rPr>
        <w:t xml:space="preserve"> </w:t>
      </w:r>
      <w:r>
        <w:rPr>
          <w:sz w:val="22"/>
          <w:szCs w:val="22"/>
        </w:rPr>
        <w:t>b</w:t>
      </w:r>
      <w:r w:rsidRPr="00606B06">
        <w:rPr>
          <w:sz w:val="22"/>
          <w:szCs w:val="22"/>
        </w:rPr>
        <w:t xml:space="preserve">yly vyčísleny potenciální úspory, které </w:t>
      </w:r>
      <w:r>
        <w:rPr>
          <w:sz w:val="22"/>
          <w:szCs w:val="22"/>
        </w:rPr>
        <w:t xml:space="preserve">byly </w:t>
      </w:r>
      <w:proofErr w:type="spellStart"/>
      <w:r>
        <w:rPr>
          <w:sz w:val="22"/>
          <w:szCs w:val="22"/>
        </w:rPr>
        <w:t>zazávazkovány</w:t>
      </w:r>
      <w:proofErr w:type="spellEnd"/>
      <w:r>
        <w:rPr>
          <w:sz w:val="22"/>
          <w:szCs w:val="22"/>
        </w:rPr>
        <w:t xml:space="preserve"> v projektech zaměřených na transformaci služeb.</w:t>
      </w:r>
      <w:r w:rsidRPr="00606B06">
        <w:rPr>
          <w:sz w:val="22"/>
          <w:szCs w:val="22"/>
        </w:rPr>
        <w:t xml:space="preserve"> </w:t>
      </w:r>
      <w:r>
        <w:rPr>
          <w:sz w:val="22"/>
          <w:szCs w:val="22"/>
        </w:rPr>
        <w:t>MPSV finanční prostředky nabídlo ŘO k využití v jiných oblastech intervence.</w:t>
      </w:r>
      <w:r w:rsidRPr="00606B06">
        <w:rPr>
          <w:sz w:val="22"/>
          <w:szCs w:val="22"/>
        </w:rPr>
        <w:t xml:space="preserve">   </w:t>
      </w:r>
    </w:p>
    <w:p w:rsidR="007A1D9C" w:rsidRDefault="007A1D9C" w:rsidP="007A1D9C">
      <w:pPr>
        <w:spacing w:before="120"/>
        <w:ind w:left="1797"/>
        <w:contextualSpacing/>
        <w:jc w:val="both"/>
        <w:rPr>
          <w:sz w:val="22"/>
          <w:szCs w:val="22"/>
        </w:rPr>
      </w:pPr>
    </w:p>
    <w:p w:rsidR="007A1D9C" w:rsidRDefault="007A1D9C" w:rsidP="003A26C1">
      <w:pPr>
        <w:spacing w:before="120"/>
        <w:contextualSpacing/>
        <w:jc w:val="both"/>
        <w:rPr>
          <w:sz w:val="22"/>
          <w:szCs w:val="22"/>
        </w:rPr>
      </w:pPr>
      <w:r w:rsidRPr="00606B06">
        <w:rPr>
          <w:sz w:val="22"/>
          <w:szCs w:val="22"/>
        </w:rPr>
        <w:t>Byli vytipováni a osloveni vhodní příjemci s požadavkem na realizaci dílčí etapizace</w:t>
      </w:r>
      <w:r>
        <w:rPr>
          <w:sz w:val="22"/>
          <w:szCs w:val="22"/>
        </w:rPr>
        <w:t xml:space="preserve"> pr</w:t>
      </w:r>
      <w:r w:rsidRPr="00606B06">
        <w:rPr>
          <w:sz w:val="22"/>
          <w:szCs w:val="22"/>
        </w:rPr>
        <w:t>o maxim</w:t>
      </w:r>
      <w:r>
        <w:rPr>
          <w:sz w:val="22"/>
          <w:szCs w:val="22"/>
        </w:rPr>
        <w:t>a</w:t>
      </w:r>
      <w:r w:rsidRPr="00606B06">
        <w:rPr>
          <w:sz w:val="22"/>
          <w:szCs w:val="22"/>
        </w:rPr>
        <w:t>l</w:t>
      </w:r>
      <w:r>
        <w:rPr>
          <w:sz w:val="22"/>
          <w:szCs w:val="22"/>
        </w:rPr>
        <w:t>izaci</w:t>
      </w:r>
      <w:r w:rsidRPr="00606B06">
        <w:rPr>
          <w:sz w:val="22"/>
          <w:szCs w:val="22"/>
        </w:rPr>
        <w:t xml:space="preserve"> čerpání v roce 2014. ZS MPSV vyzval příjemce k maximální součinnosti při předkládání Monitorovací</w:t>
      </w:r>
      <w:r>
        <w:rPr>
          <w:sz w:val="22"/>
          <w:szCs w:val="22"/>
        </w:rPr>
        <w:t>ch</w:t>
      </w:r>
      <w:r w:rsidRPr="00606B06">
        <w:rPr>
          <w:sz w:val="22"/>
          <w:szCs w:val="22"/>
        </w:rPr>
        <w:t xml:space="preserve"> zpráv</w:t>
      </w:r>
      <w:r>
        <w:rPr>
          <w:sz w:val="22"/>
          <w:szCs w:val="22"/>
        </w:rPr>
        <w:t xml:space="preserve"> a</w:t>
      </w:r>
      <w:r w:rsidRPr="00606B06">
        <w:rPr>
          <w:sz w:val="22"/>
          <w:szCs w:val="22"/>
        </w:rPr>
        <w:t xml:space="preserve"> Žádostí o platbu</w:t>
      </w:r>
      <w:r>
        <w:rPr>
          <w:sz w:val="22"/>
          <w:szCs w:val="22"/>
        </w:rPr>
        <w:t>,</w:t>
      </w:r>
      <w:r w:rsidRPr="00606B06">
        <w:rPr>
          <w:sz w:val="22"/>
          <w:szCs w:val="22"/>
        </w:rPr>
        <w:t xml:space="preserve"> plánovan</w:t>
      </w:r>
      <w:r>
        <w:rPr>
          <w:sz w:val="22"/>
          <w:szCs w:val="22"/>
        </w:rPr>
        <w:t>ých</w:t>
      </w:r>
      <w:r w:rsidRPr="00606B06">
        <w:rPr>
          <w:sz w:val="22"/>
          <w:szCs w:val="22"/>
        </w:rPr>
        <w:t xml:space="preserve"> do konce října 2014. </w:t>
      </w:r>
      <w:r>
        <w:rPr>
          <w:sz w:val="22"/>
          <w:szCs w:val="22"/>
        </w:rPr>
        <w:t>D</w:t>
      </w:r>
      <w:r w:rsidRPr="00616B95">
        <w:rPr>
          <w:sz w:val="22"/>
          <w:szCs w:val="22"/>
        </w:rPr>
        <w:t>opis</w:t>
      </w:r>
      <w:r>
        <w:rPr>
          <w:sz w:val="22"/>
          <w:szCs w:val="22"/>
        </w:rPr>
        <w:t>em</w:t>
      </w:r>
      <w:r w:rsidRPr="00616B95">
        <w:rPr>
          <w:sz w:val="22"/>
          <w:szCs w:val="22"/>
        </w:rPr>
        <w:t xml:space="preserve"> </w:t>
      </w:r>
      <w:r>
        <w:rPr>
          <w:sz w:val="22"/>
          <w:szCs w:val="22"/>
        </w:rPr>
        <w:t>vyzval</w:t>
      </w:r>
      <w:r w:rsidRPr="00616B95">
        <w:rPr>
          <w:sz w:val="22"/>
          <w:szCs w:val="22"/>
        </w:rPr>
        <w:t xml:space="preserve"> příjemc</w:t>
      </w:r>
      <w:r>
        <w:rPr>
          <w:sz w:val="22"/>
          <w:szCs w:val="22"/>
        </w:rPr>
        <w:t>e</w:t>
      </w:r>
      <w:r w:rsidRPr="00616B95">
        <w:rPr>
          <w:sz w:val="22"/>
          <w:szCs w:val="22"/>
        </w:rPr>
        <w:t xml:space="preserve"> </w:t>
      </w:r>
      <w:r>
        <w:rPr>
          <w:sz w:val="22"/>
          <w:szCs w:val="22"/>
        </w:rPr>
        <w:t xml:space="preserve">k </w:t>
      </w:r>
      <w:r w:rsidRPr="00616B95">
        <w:rPr>
          <w:sz w:val="22"/>
          <w:szCs w:val="22"/>
        </w:rPr>
        <w:t xml:space="preserve">předložení Monitorovací zprávy </w:t>
      </w:r>
      <w:r>
        <w:rPr>
          <w:sz w:val="22"/>
          <w:szCs w:val="22"/>
        </w:rPr>
        <w:t>a</w:t>
      </w:r>
      <w:r w:rsidRPr="00616B95">
        <w:rPr>
          <w:sz w:val="22"/>
          <w:szCs w:val="22"/>
        </w:rPr>
        <w:t xml:space="preserve"> </w:t>
      </w:r>
      <w:proofErr w:type="spellStart"/>
      <w:r w:rsidRPr="00616B95">
        <w:rPr>
          <w:sz w:val="22"/>
          <w:szCs w:val="22"/>
        </w:rPr>
        <w:t>ŽoP</w:t>
      </w:r>
      <w:proofErr w:type="spellEnd"/>
      <w:r w:rsidRPr="00616B95">
        <w:rPr>
          <w:sz w:val="22"/>
          <w:szCs w:val="22"/>
        </w:rPr>
        <w:t xml:space="preserve"> do 5 pracovních dn</w:t>
      </w:r>
      <w:r w:rsidRPr="00606B06">
        <w:rPr>
          <w:sz w:val="22"/>
          <w:szCs w:val="22"/>
        </w:rPr>
        <w:t xml:space="preserve">ů od ukončení </w:t>
      </w:r>
      <w:r>
        <w:rPr>
          <w:sz w:val="22"/>
          <w:szCs w:val="22"/>
        </w:rPr>
        <w:t xml:space="preserve">realizace </w:t>
      </w:r>
      <w:r w:rsidRPr="00606B06">
        <w:rPr>
          <w:sz w:val="22"/>
          <w:szCs w:val="22"/>
        </w:rPr>
        <w:t>etapy. V průběhu roku 2014 byly pořádány 4 semináře pro příjemce</w:t>
      </w:r>
      <w:r w:rsidRPr="00616B95">
        <w:rPr>
          <w:sz w:val="22"/>
          <w:szCs w:val="22"/>
        </w:rPr>
        <w:t xml:space="preserve"> v aktivit</w:t>
      </w:r>
      <w:r>
        <w:rPr>
          <w:sz w:val="22"/>
          <w:szCs w:val="22"/>
        </w:rPr>
        <w:t>ách</w:t>
      </w:r>
      <w:r w:rsidRPr="00616B95">
        <w:rPr>
          <w:sz w:val="22"/>
          <w:szCs w:val="22"/>
        </w:rPr>
        <w:t xml:space="preserve"> 3.1 a) a b), které se zaměřovaly na podání informací k vyplnění Monitorovací zprávy a Žádosti o platbu s cílem předložit podklady řádně a včas k administraci </w:t>
      </w:r>
      <w:proofErr w:type="spellStart"/>
      <w:r w:rsidRPr="00616B95">
        <w:rPr>
          <w:sz w:val="22"/>
          <w:szCs w:val="22"/>
        </w:rPr>
        <w:t>ŽoP</w:t>
      </w:r>
      <w:proofErr w:type="spellEnd"/>
      <w:r w:rsidRPr="00616B95">
        <w:rPr>
          <w:sz w:val="22"/>
          <w:szCs w:val="22"/>
        </w:rPr>
        <w:t>, což výrazně přispělo k </w:t>
      </w:r>
      <w:r>
        <w:rPr>
          <w:sz w:val="22"/>
          <w:szCs w:val="22"/>
        </w:rPr>
        <w:t>překroče</w:t>
      </w:r>
      <w:r w:rsidRPr="00616B95">
        <w:rPr>
          <w:sz w:val="22"/>
          <w:szCs w:val="22"/>
        </w:rPr>
        <w:t xml:space="preserve">ní </w:t>
      </w:r>
      <w:r>
        <w:rPr>
          <w:sz w:val="22"/>
          <w:szCs w:val="22"/>
        </w:rPr>
        <w:t xml:space="preserve">limitu pro </w:t>
      </w:r>
      <w:r w:rsidRPr="00616B95">
        <w:rPr>
          <w:sz w:val="22"/>
          <w:szCs w:val="22"/>
        </w:rPr>
        <w:t>n+2.</w:t>
      </w:r>
    </w:p>
    <w:p w:rsidR="003D6239" w:rsidRPr="00616B95" w:rsidRDefault="003D6239" w:rsidP="003D6239">
      <w:pPr>
        <w:jc w:val="both"/>
        <w:rPr>
          <w:color w:val="000000"/>
          <w:sz w:val="22"/>
          <w:szCs w:val="22"/>
        </w:rPr>
      </w:pPr>
    </w:p>
    <w:p w:rsidR="003D6239" w:rsidRPr="00253A8B" w:rsidRDefault="003D6239" w:rsidP="003D6239">
      <w:pPr>
        <w:pStyle w:val="Odstavecseseznamem"/>
        <w:ind w:left="0"/>
        <w:rPr>
          <w:b/>
          <w:sz w:val="22"/>
          <w:szCs w:val="22"/>
        </w:rPr>
      </w:pPr>
      <w:r w:rsidRPr="00253A8B">
        <w:rPr>
          <w:b/>
          <w:sz w:val="22"/>
          <w:szCs w:val="22"/>
        </w:rPr>
        <w:t>Prodlužování realizac</w:t>
      </w:r>
      <w:r>
        <w:rPr>
          <w:b/>
          <w:sz w:val="22"/>
          <w:szCs w:val="22"/>
        </w:rPr>
        <w:t>e</w:t>
      </w:r>
      <w:r w:rsidRPr="00253A8B">
        <w:rPr>
          <w:b/>
          <w:sz w:val="22"/>
          <w:szCs w:val="22"/>
        </w:rPr>
        <w:t xml:space="preserve"> projektů</w:t>
      </w:r>
      <w:r>
        <w:rPr>
          <w:b/>
          <w:sz w:val="22"/>
          <w:szCs w:val="22"/>
        </w:rPr>
        <w:t>, riziko odstoupení příjemců od realizace projektů v OI 3.1</w:t>
      </w:r>
    </w:p>
    <w:p w:rsidR="007A1D9C" w:rsidRDefault="007A1D9C" w:rsidP="007A1D9C">
      <w:pPr>
        <w:pStyle w:val="Odstavecseseznamem"/>
        <w:ind w:left="0"/>
        <w:jc w:val="both"/>
        <w:rPr>
          <w:sz w:val="22"/>
          <w:szCs w:val="22"/>
        </w:rPr>
      </w:pPr>
      <w:r>
        <w:rPr>
          <w:sz w:val="22"/>
          <w:szCs w:val="22"/>
        </w:rPr>
        <w:t>K důvodům, které vedou k prodlužování realizace projektů, patří zejména problémy se stavebním řízením a výběrovým řízením (</w:t>
      </w:r>
      <w:r w:rsidRPr="007151CE">
        <w:rPr>
          <w:sz w:val="22"/>
          <w:szCs w:val="22"/>
        </w:rPr>
        <w:t>zpoždění v realizaci výběrového řízení, ruš</w:t>
      </w:r>
      <w:r>
        <w:rPr>
          <w:sz w:val="22"/>
          <w:szCs w:val="22"/>
        </w:rPr>
        <w:t>ení</w:t>
      </w:r>
      <w:r w:rsidRPr="007151CE">
        <w:rPr>
          <w:sz w:val="22"/>
          <w:szCs w:val="22"/>
        </w:rPr>
        <w:t xml:space="preserve"> VŘ</w:t>
      </w:r>
      <w:r>
        <w:rPr>
          <w:sz w:val="22"/>
          <w:szCs w:val="22"/>
        </w:rPr>
        <w:t xml:space="preserve"> </w:t>
      </w:r>
      <w:r w:rsidRPr="007151CE">
        <w:rPr>
          <w:sz w:val="22"/>
          <w:szCs w:val="22"/>
        </w:rPr>
        <w:t xml:space="preserve">a </w:t>
      </w:r>
      <w:r>
        <w:rPr>
          <w:sz w:val="22"/>
          <w:szCs w:val="22"/>
        </w:rPr>
        <w:t xml:space="preserve">opakované </w:t>
      </w:r>
      <w:r w:rsidRPr="007151CE">
        <w:rPr>
          <w:sz w:val="22"/>
          <w:szCs w:val="22"/>
        </w:rPr>
        <w:t>vyhlá</w:t>
      </w:r>
      <w:r>
        <w:rPr>
          <w:sz w:val="22"/>
          <w:szCs w:val="22"/>
        </w:rPr>
        <w:t>šení</w:t>
      </w:r>
      <w:r w:rsidRPr="007151CE">
        <w:rPr>
          <w:sz w:val="22"/>
          <w:szCs w:val="22"/>
        </w:rPr>
        <w:t xml:space="preserve"> nové</w:t>
      </w:r>
      <w:r>
        <w:rPr>
          <w:sz w:val="22"/>
          <w:szCs w:val="22"/>
        </w:rPr>
        <w:t>ho</w:t>
      </w:r>
      <w:r w:rsidRPr="007151CE">
        <w:rPr>
          <w:sz w:val="22"/>
          <w:szCs w:val="22"/>
        </w:rPr>
        <w:t xml:space="preserve"> VŘ</w:t>
      </w:r>
      <w:r>
        <w:rPr>
          <w:sz w:val="22"/>
          <w:szCs w:val="22"/>
        </w:rPr>
        <w:t xml:space="preserve">). Prodlužování etap projektů za srpen 2014 může významně ohrozit plnění pravidla n+2. </w:t>
      </w:r>
      <w:r>
        <w:rPr>
          <w:bCs/>
          <w:iCs/>
          <w:sz w:val="22"/>
          <w:szCs w:val="22"/>
        </w:rPr>
        <w:t xml:space="preserve">Přetrvávají problémy s </w:t>
      </w:r>
      <w:r w:rsidRPr="004C19F3">
        <w:rPr>
          <w:bCs/>
          <w:iCs/>
          <w:sz w:val="22"/>
          <w:szCs w:val="22"/>
        </w:rPr>
        <w:t>dodržování</w:t>
      </w:r>
      <w:r>
        <w:rPr>
          <w:bCs/>
          <w:iCs/>
          <w:sz w:val="22"/>
          <w:szCs w:val="22"/>
        </w:rPr>
        <w:t>m</w:t>
      </w:r>
      <w:r w:rsidRPr="004C19F3">
        <w:rPr>
          <w:bCs/>
          <w:iCs/>
          <w:sz w:val="22"/>
          <w:szCs w:val="22"/>
        </w:rPr>
        <w:t xml:space="preserve"> stanovených limitů</w:t>
      </w:r>
      <w:r>
        <w:rPr>
          <w:bCs/>
          <w:iCs/>
          <w:sz w:val="22"/>
          <w:szCs w:val="22"/>
        </w:rPr>
        <w:t>, n</w:t>
      </w:r>
      <w:r w:rsidRPr="004C19F3">
        <w:rPr>
          <w:bCs/>
          <w:iCs/>
          <w:sz w:val="22"/>
          <w:szCs w:val="22"/>
        </w:rPr>
        <w:t>ezpůsobilost</w:t>
      </w:r>
      <w:r>
        <w:rPr>
          <w:bCs/>
          <w:iCs/>
          <w:sz w:val="22"/>
          <w:szCs w:val="22"/>
        </w:rPr>
        <w:t>í</w:t>
      </w:r>
      <w:r w:rsidRPr="004C19F3">
        <w:rPr>
          <w:bCs/>
          <w:iCs/>
          <w:sz w:val="22"/>
          <w:szCs w:val="22"/>
        </w:rPr>
        <w:t xml:space="preserve"> neschválených víceprací</w:t>
      </w:r>
      <w:r>
        <w:rPr>
          <w:bCs/>
          <w:iCs/>
          <w:sz w:val="22"/>
          <w:szCs w:val="22"/>
        </w:rPr>
        <w:t xml:space="preserve"> a s</w:t>
      </w:r>
      <w:r w:rsidRPr="004C19F3">
        <w:rPr>
          <w:bCs/>
          <w:iCs/>
          <w:sz w:val="22"/>
          <w:szCs w:val="22"/>
        </w:rPr>
        <w:t xml:space="preserve"> </w:t>
      </w:r>
      <w:r>
        <w:rPr>
          <w:bCs/>
          <w:iCs/>
          <w:sz w:val="22"/>
          <w:szCs w:val="22"/>
        </w:rPr>
        <w:t>d</w:t>
      </w:r>
      <w:r w:rsidRPr="004C19F3">
        <w:rPr>
          <w:bCs/>
          <w:iCs/>
          <w:sz w:val="22"/>
          <w:szCs w:val="22"/>
        </w:rPr>
        <w:t>održování</w:t>
      </w:r>
      <w:r>
        <w:rPr>
          <w:bCs/>
          <w:iCs/>
          <w:sz w:val="22"/>
          <w:szCs w:val="22"/>
        </w:rPr>
        <w:t>m</w:t>
      </w:r>
      <w:r w:rsidRPr="004C19F3">
        <w:rPr>
          <w:bCs/>
          <w:iCs/>
          <w:sz w:val="22"/>
          <w:szCs w:val="22"/>
        </w:rPr>
        <w:t xml:space="preserve"> indikátorů v době udržitelnosti</w:t>
      </w:r>
      <w:r>
        <w:rPr>
          <w:bCs/>
          <w:iCs/>
          <w:sz w:val="22"/>
          <w:szCs w:val="22"/>
        </w:rPr>
        <w:t>.</w:t>
      </w:r>
    </w:p>
    <w:p w:rsidR="003D6239" w:rsidRDefault="003D6239" w:rsidP="003D6239">
      <w:pPr>
        <w:pStyle w:val="Odstavecseseznamem"/>
        <w:ind w:left="0"/>
        <w:jc w:val="both"/>
        <w:rPr>
          <w:sz w:val="22"/>
          <w:szCs w:val="22"/>
        </w:rPr>
      </w:pPr>
    </w:p>
    <w:p w:rsidR="003D6239" w:rsidRPr="00D021A8" w:rsidRDefault="003D6239" w:rsidP="003D6239">
      <w:pPr>
        <w:pStyle w:val="Odstavecseseznamem"/>
        <w:ind w:left="0"/>
        <w:jc w:val="both"/>
        <w:rPr>
          <w:b/>
          <w:sz w:val="22"/>
          <w:szCs w:val="22"/>
        </w:rPr>
      </w:pPr>
      <w:r>
        <w:rPr>
          <w:b/>
          <w:sz w:val="22"/>
          <w:szCs w:val="22"/>
        </w:rPr>
        <w:t>Přijatá</w:t>
      </w:r>
      <w:r w:rsidRPr="00D021A8">
        <w:rPr>
          <w:b/>
          <w:sz w:val="22"/>
          <w:szCs w:val="22"/>
        </w:rPr>
        <w:t xml:space="preserve"> opatření</w:t>
      </w:r>
    </w:p>
    <w:p w:rsidR="00FF715B" w:rsidRDefault="007A1D9C" w:rsidP="00FF715B">
      <w:pPr>
        <w:jc w:val="both"/>
        <w:rPr>
          <w:color w:val="0070C0"/>
        </w:rPr>
      </w:pPr>
      <w:r>
        <w:rPr>
          <w:sz w:val="22"/>
          <w:szCs w:val="22"/>
        </w:rPr>
        <w:t xml:space="preserve">MPSV během sledovaného období intenzivně komunikovalo s příjemci s cílem řešit problémy </w:t>
      </w:r>
      <w:r w:rsidR="00131423">
        <w:rPr>
          <w:sz w:val="22"/>
          <w:szCs w:val="22"/>
        </w:rPr>
        <w:br/>
      </w:r>
      <w:r>
        <w:rPr>
          <w:sz w:val="22"/>
          <w:szCs w:val="22"/>
        </w:rPr>
        <w:t>s předstihem, aby nedocházelo ke kritickým situacím, které vyžadují ukončení realizace projektu. Probíhal průběžný monitoring implementace projektů a v případě prodlužování administrace a přesunů byla realizována řešení pro podporu čerpání alokace. MPSV dlouhodobě příjemce upozorňuje na nutnost konzultovat výběr dodavatelů s Centrem pro regionální rozvoj ČR, aby nedocházelo k porušení zákona či metodiky.</w:t>
      </w:r>
      <w:r w:rsidR="00FF715B" w:rsidRPr="00FF715B">
        <w:rPr>
          <w:color w:val="0070C0"/>
        </w:rPr>
        <w:t xml:space="preserve"> </w:t>
      </w:r>
      <w:r w:rsidR="00FF715B" w:rsidRPr="00FF715B">
        <w:rPr>
          <w:sz w:val="22"/>
          <w:szCs w:val="22"/>
        </w:rPr>
        <w:t>Mezi CRR, ŘO IOP a MPSV probíhala spolupráce při zjednodušování postupů, spolupráce nad úpravami PPŽP, indikátorů, zveřejňování nejčastěji kladených dotazů (FAQ), semináře pro žadatele a příjemce.  V průběhu roku byly vytipované projekty zapojeny do Projektu Prevence.</w:t>
      </w:r>
    </w:p>
    <w:p w:rsidR="003A26C1" w:rsidRDefault="003A26C1" w:rsidP="00C0537F">
      <w:pPr>
        <w:jc w:val="both"/>
        <w:rPr>
          <w:rStyle w:val="slovnik"/>
          <w:b/>
          <w:sz w:val="22"/>
          <w:szCs w:val="22"/>
        </w:rPr>
      </w:pPr>
    </w:p>
    <w:p w:rsidR="00A75862" w:rsidRDefault="00A75862" w:rsidP="00C0537F">
      <w:pPr>
        <w:jc w:val="both"/>
        <w:rPr>
          <w:rStyle w:val="slovnik"/>
          <w:b/>
          <w:sz w:val="22"/>
          <w:szCs w:val="22"/>
        </w:rPr>
      </w:pPr>
      <w:r>
        <w:rPr>
          <w:rStyle w:val="slovnik"/>
          <w:b/>
          <w:sz w:val="22"/>
          <w:szCs w:val="22"/>
        </w:rPr>
        <w:t>O</w:t>
      </w:r>
      <w:r w:rsidRPr="00DF0769">
        <w:rPr>
          <w:rStyle w:val="slovnik"/>
          <w:b/>
          <w:sz w:val="22"/>
          <w:szCs w:val="22"/>
        </w:rPr>
        <w:t>blast intervence 3.</w:t>
      </w:r>
      <w:r>
        <w:rPr>
          <w:rStyle w:val="slovnik"/>
          <w:b/>
          <w:sz w:val="22"/>
          <w:szCs w:val="22"/>
        </w:rPr>
        <w:t>2</w:t>
      </w:r>
    </w:p>
    <w:p w:rsidR="005410BF" w:rsidRPr="00740AA7" w:rsidRDefault="005410BF" w:rsidP="0068298C">
      <w:pPr>
        <w:jc w:val="both"/>
        <w:rPr>
          <w:sz w:val="22"/>
          <w:szCs w:val="22"/>
        </w:rPr>
      </w:pPr>
      <w:r w:rsidRPr="00740AA7">
        <w:rPr>
          <w:sz w:val="22"/>
          <w:szCs w:val="22"/>
        </w:rPr>
        <w:t xml:space="preserve">V oblasti intervence 3.2 byly identifikovány dva problémy, které měly vliv na realizaci tohoto opatření. Jedná se o </w:t>
      </w:r>
      <w:r w:rsidR="0068298C" w:rsidRPr="00740AA7">
        <w:rPr>
          <w:sz w:val="22"/>
          <w:szCs w:val="22"/>
        </w:rPr>
        <w:t>Zastavení platební lhůty pro výdaje</w:t>
      </w:r>
      <w:r w:rsidRPr="00740AA7">
        <w:rPr>
          <w:sz w:val="22"/>
          <w:szCs w:val="22"/>
        </w:rPr>
        <w:t xml:space="preserve"> a ustanovení Metodiky finančních toků </w:t>
      </w:r>
      <w:r w:rsidR="00740AA7">
        <w:rPr>
          <w:sz w:val="22"/>
          <w:szCs w:val="22"/>
        </w:rPr>
        <w:br/>
      </w:r>
      <w:r w:rsidRPr="00740AA7">
        <w:rPr>
          <w:sz w:val="22"/>
          <w:szCs w:val="22"/>
        </w:rPr>
        <w:t xml:space="preserve">v souvislosti s výkonem auditu AO. Oba dva tyto problémy včetně přijatých opatření jsou uvedeny v kapitole 2.3 </w:t>
      </w:r>
      <w:r w:rsidR="00740AA7" w:rsidRPr="00740AA7">
        <w:rPr>
          <w:sz w:val="22"/>
          <w:szCs w:val="22"/>
        </w:rPr>
        <w:t xml:space="preserve">Problémy při realizaci programu a přijatá opatření. </w:t>
      </w:r>
    </w:p>
    <w:p w:rsidR="002B492C" w:rsidRDefault="002B492C" w:rsidP="005E4887">
      <w:pPr>
        <w:jc w:val="both"/>
        <w:rPr>
          <w:rStyle w:val="slovnik"/>
          <w:b/>
          <w:sz w:val="22"/>
          <w:szCs w:val="22"/>
        </w:rPr>
      </w:pPr>
    </w:p>
    <w:p w:rsidR="002B492C" w:rsidRDefault="002B492C" w:rsidP="005E4887">
      <w:pPr>
        <w:jc w:val="both"/>
        <w:rPr>
          <w:rStyle w:val="slovnik"/>
          <w:b/>
          <w:sz w:val="22"/>
          <w:szCs w:val="22"/>
        </w:rPr>
      </w:pPr>
    </w:p>
    <w:p w:rsidR="00A75862" w:rsidRPr="005E7759" w:rsidRDefault="00A75862" w:rsidP="005E4887">
      <w:pPr>
        <w:jc w:val="both"/>
        <w:rPr>
          <w:rStyle w:val="slovnik"/>
          <w:b/>
          <w:sz w:val="22"/>
          <w:szCs w:val="22"/>
        </w:rPr>
      </w:pPr>
      <w:r w:rsidRPr="005E7759">
        <w:rPr>
          <w:rStyle w:val="slovnik"/>
          <w:b/>
          <w:sz w:val="22"/>
          <w:szCs w:val="22"/>
        </w:rPr>
        <w:t>Oblast intervence 3.3</w:t>
      </w:r>
    </w:p>
    <w:p w:rsidR="00741E7F" w:rsidRDefault="00741E7F" w:rsidP="00F75115">
      <w:pPr>
        <w:jc w:val="both"/>
        <w:rPr>
          <w:b/>
          <w:sz w:val="22"/>
          <w:szCs w:val="22"/>
        </w:rPr>
      </w:pPr>
      <w:r>
        <w:rPr>
          <w:b/>
          <w:sz w:val="22"/>
          <w:szCs w:val="22"/>
        </w:rPr>
        <w:t>Riziko nenaplnění pravidla n+2/n+3 a ztráty alokace IOP</w:t>
      </w:r>
    </w:p>
    <w:p w:rsidR="007A1D9C" w:rsidRPr="00741E7F" w:rsidRDefault="007A1D9C" w:rsidP="007A1D9C">
      <w:pPr>
        <w:jc w:val="both"/>
        <w:rPr>
          <w:sz w:val="22"/>
          <w:szCs w:val="22"/>
        </w:rPr>
      </w:pPr>
      <w:r w:rsidRPr="0016466C">
        <w:rPr>
          <w:sz w:val="22"/>
          <w:szCs w:val="22"/>
        </w:rPr>
        <w:t xml:space="preserve">Hlavními důvody </w:t>
      </w:r>
      <w:r>
        <w:rPr>
          <w:sz w:val="22"/>
          <w:szCs w:val="22"/>
        </w:rPr>
        <w:t>byly</w:t>
      </w:r>
      <w:r w:rsidRPr="0016466C">
        <w:rPr>
          <w:sz w:val="22"/>
          <w:szCs w:val="22"/>
        </w:rPr>
        <w:t xml:space="preserve"> zejména posuny v harmonogramech realizovaných projektů, </w:t>
      </w:r>
      <w:r>
        <w:rPr>
          <w:sz w:val="22"/>
          <w:szCs w:val="22"/>
        </w:rPr>
        <w:t>vyvolané</w:t>
      </w:r>
      <w:r w:rsidRPr="0016466C">
        <w:rPr>
          <w:sz w:val="22"/>
          <w:szCs w:val="22"/>
        </w:rPr>
        <w:t xml:space="preserve"> prodloužením délky stavebních prací, vyř</w:t>
      </w:r>
      <w:r>
        <w:rPr>
          <w:sz w:val="22"/>
          <w:szCs w:val="22"/>
        </w:rPr>
        <w:t>i</w:t>
      </w:r>
      <w:r w:rsidRPr="0016466C">
        <w:rPr>
          <w:sz w:val="22"/>
          <w:szCs w:val="22"/>
        </w:rPr>
        <w:t>z</w:t>
      </w:r>
      <w:r>
        <w:rPr>
          <w:sz w:val="22"/>
          <w:szCs w:val="22"/>
        </w:rPr>
        <w:t>ováním</w:t>
      </w:r>
      <w:r w:rsidRPr="0016466C">
        <w:rPr>
          <w:sz w:val="22"/>
          <w:szCs w:val="22"/>
        </w:rPr>
        <w:t xml:space="preserve"> stavebního povolení, </w:t>
      </w:r>
      <w:r>
        <w:rPr>
          <w:sz w:val="22"/>
          <w:szCs w:val="22"/>
        </w:rPr>
        <w:t>celkovým časovým skluzem</w:t>
      </w:r>
      <w:r w:rsidRPr="0016466C">
        <w:rPr>
          <w:sz w:val="22"/>
          <w:szCs w:val="22"/>
        </w:rPr>
        <w:t xml:space="preserve">, apod. </w:t>
      </w:r>
      <w:r>
        <w:rPr>
          <w:sz w:val="22"/>
          <w:szCs w:val="22"/>
        </w:rPr>
        <w:t xml:space="preserve"> </w:t>
      </w:r>
      <w:r w:rsidRPr="00C8668F">
        <w:rPr>
          <w:sz w:val="22"/>
          <w:szCs w:val="22"/>
        </w:rPr>
        <w:t>Díky zvýšenému čerpání v</w:t>
      </w:r>
      <w:r>
        <w:rPr>
          <w:sz w:val="22"/>
          <w:szCs w:val="22"/>
        </w:rPr>
        <w:t> programu</w:t>
      </w:r>
      <w:r w:rsidRPr="00C8668F">
        <w:rPr>
          <w:sz w:val="22"/>
          <w:szCs w:val="22"/>
        </w:rPr>
        <w:t xml:space="preserve"> nenastala v OI 3.3 predikovaná ztráta finančních prostředků ve výši 263,3 mil. Kč. V důsledku toho </w:t>
      </w:r>
      <w:r>
        <w:rPr>
          <w:sz w:val="22"/>
          <w:szCs w:val="22"/>
        </w:rPr>
        <w:t> je k dispozici</w:t>
      </w:r>
      <w:r w:rsidRPr="00C8668F">
        <w:rPr>
          <w:sz w:val="22"/>
          <w:szCs w:val="22"/>
        </w:rPr>
        <w:t xml:space="preserve"> </w:t>
      </w:r>
      <w:r>
        <w:rPr>
          <w:sz w:val="22"/>
          <w:szCs w:val="22"/>
        </w:rPr>
        <w:t>větší objem</w:t>
      </w:r>
      <w:r w:rsidRPr="00C8668F">
        <w:rPr>
          <w:sz w:val="22"/>
          <w:szCs w:val="22"/>
        </w:rPr>
        <w:t xml:space="preserve"> finančních prostředků</w:t>
      </w:r>
      <w:r>
        <w:rPr>
          <w:sz w:val="22"/>
          <w:szCs w:val="22"/>
        </w:rPr>
        <w:t xml:space="preserve"> k využití v jiných OI. Tyto finanční prostředky budou nabídnuty ŘO IOP. </w:t>
      </w:r>
    </w:p>
    <w:p w:rsidR="00741E7F" w:rsidRDefault="00741E7F" w:rsidP="00741E7F">
      <w:pPr>
        <w:jc w:val="both"/>
        <w:rPr>
          <w:color w:val="1F497D"/>
        </w:rPr>
      </w:pPr>
    </w:p>
    <w:p w:rsidR="00741E7F" w:rsidRPr="00C1306C" w:rsidRDefault="00741E7F" w:rsidP="00741E7F">
      <w:pPr>
        <w:jc w:val="both"/>
        <w:rPr>
          <w:b/>
          <w:sz w:val="22"/>
          <w:szCs w:val="22"/>
        </w:rPr>
      </w:pPr>
      <w:r>
        <w:rPr>
          <w:b/>
          <w:sz w:val="22"/>
          <w:szCs w:val="22"/>
        </w:rPr>
        <w:t>Přijatá</w:t>
      </w:r>
      <w:r w:rsidRPr="00985142">
        <w:rPr>
          <w:b/>
          <w:sz w:val="22"/>
          <w:szCs w:val="22"/>
        </w:rPr>
        <w:t xml:space="preserve"> opatření</w:t>
      </w:r>
    </w:p>
    <w:p w:rsidR="007A1D9C" w:rsidRPr="00741E7F" w:rsidRDefault="007A1D9C" w:rsidP="007A1D9C">
      <w:pPr>
        <w:jc w:val="both"/>
        <w:rPr>
          <w:sz w:val="22"/>
          <w:szCs w:val="22"/>
        </w:rPr>
      </w:pPr>
      <w:r>
        <w:rPr>
          <w:sz w:val="22"/>
          <w:szCs w:val="22"/>
        </w:rPr>
        <w:t>B</w:t>
      </w:r>
      <w:r w:rsidRPr="00741E7F">
        <w:rPr>
          <w:sz w:val="22"/>
          <w:szCs w:val="22"/>
        </w:rPr>
        <w:t>yl</w:t>
      </w:r>
      <w:r>
        <w:rPr>
          <w:sz w:val="22"/>
          <w:szCs w:val="22"/>
        </w:rPr>
        <w:t>i</w:t>
      </w:r>
      <w:r w:rsidRPr="00741E7F">
        <w:rPr>
          <w:sz w:val="22"/>
          <w:szCs w:val="22"/>
        </w:rPr>
        <w:t xml:space="preserve"> vytipováni a osloveni vhodní příjemci s požadavkem na realizaci dílčí etapizace projektů, aby došlo k maximálnímu čerpání v roce 2014. Byly realizovány 2 semináře pro příjemce s celkovým počtem 45 osob, které se zaměřovaly na podání informací k vyplnění Monitorovací zprávy a Žádosti </w:t>
      </w:r>
      <w:r w:rsidR="00DA1251">
        <w:rPr>
          <w:sz w:val="22"/>
          <w:szCs w:val="22"/>
        </w:rPr>
        <w:br/>
      </w:r>
      <w:r w:rsidRPr="00741E7F">
        <w:rPr>
          <w:sz w:val="22"/>
          <w:szCs w:val="22"/>
        </w:rPr>
        <w:t>o platbu s cílem předložit podklady řádně a včas.</w:t>
      </w:r>
    </w:p>
    <w:p w:rsidR="007A1D9C" w:rsidRPr="00741E7F" w:rsidRDefault="007A1D9C" w:rsidP="007A1D9C">
      <w:pPr>
        <w:jc w:val="both"/>
        <w:rPr>
          <w:sz w:val="22"/>
          <w:szCs w:val="22"/>
        </w:rPr>
      </w:pPr>
      <w:r w:rsidRPr="00741E7F">
        <w:rPr>
          <w:sz w:val="22"/>
          <w:szCs w:val="22"/>
        </w:rPr>
        <w:t xml:space="preserve">ZS MPSV vyzval jednotlivé příjemce dotací k maximální součinnosti při předkládání Monitorovací zprávy </w:t>
      </w:r>
      <w:r>
        <w:rPr>
          <w:sz w:val="22"/>
          <w:szCs w:val="22"/>
        </w:rPr>
        <w:t>a</w:t>
      </w:r>
      <w:r w:rsidRPr="00741E7F">
        <w:rPr>
          <w:sz w:val="22"/>
          <w:szCs w:val="22"/>
        </w:rPr>
        <w:t xml:space="preserve"> Žádost</w:t>
      </w:r>
      <w:r>
        <w:rPr>
          <w:sz w:val="22"/>
          <w:szCs w:val="22"/>
        </w:rPr>
        <w:t>i</w:t>
      </w:r>
      <w:r w:rsidRPr="00741E7F">
        <w:rPr>
          <w:sz w:val="22"/>
          <w:szCs w:val="22"/>
        </w:rPr>
        <w:t xml:space="preserve"> o platbu </w:t>
      </w:r>
      <w:r>
        <w:rPr>
          <w:sz w:val="22"/>
          <w:szCs w:val="22"/>
        </w:rPr>
        <w:t>a k</w:t>
      </w:r>
      <w:r w:rsidRPr="00741E7F">
        <w:rPr>
          <w:sz w:val="22"/>
          <w:szCs w:val="22"/>
        </w:rPr>
        <w:t xml:space="preserve"> předložení Monitorovací zprávy se </w:t>
      </w:r>
      <w:proofErr w:type="spellStart"/>
      <w:proofErr w:type="gramStart"/>
      <w:r w:rsidRPr="00741E7F">
        <w:rPr>
          <w:sz w:val="22"/>
          <w:szCs w:val="22"/>
        </w:rPr>
        <w:t>ŽoP</w:t>
      </w:r>
      <w:proofErr w:type="spellEnd"/>
      <w:proofErr w:type="gramEnd"/>
      <w:r w:rsidRPr="00741E7F">
        <w:rPr>
          <w:sz w:val="22"/>
          <w:szCs w:val="22"/>
        </w:rPr>
        <w:t xml:space="preserve"> do 5 pracovních dnů </w:t>
      </w:r>
      <w:r w:rsidR="00DA1251">
        <w:rPr>
          <w:sz w:val="22"/>
          <w:szCs w:val="22"/>
        </w:rPr>
        <w:br/>
      </w:r>
      <w:r w:rsidRPr="00741E7F">
        <w:rPr>
          <w:sz w:val="22"/>
          <w:szCs w:val="22"/>
        </w:rPr>
        <w:t xml:space="preserve">od ukončení </w:t>
      </w:r>
      <w:r>
        <w:rPr>
          <w:sz w:val="22"/>
          <w:szCs w:val="22"/>
        </w:rPr>
        <w:t xml:space="preserve">realizace </w:t>
      </w:r>
      <w:r w:rsidRPr="00741E7F">
        <w:rPr>
          <w:sz w:val="22"/>
          <w:szCs w:val="22"/>
        </w:rPr>
        <w:t xml:space="preserve">etapy. </w:t>
      </w:r>
    </w:p>
    <w:p w:rsidR="007A1D9C" w:rsidRPr="00741E7F" w:rsidRDefault="007A1D9C" w:rsidP="007A1D9C">
      <w:pPr>
        <w:jc w:val="both"/>
        <w:rPr>
          <w:sz w:val="22"/>
          <w:szCs w:val="22"/>
        </w:rPr>
      </w:pPr>
      <w:r w:rsidRPr="00741E7F">
        <w:rPr>
          <w:sz w:val="22"/>
          <w:szCs w:val="22"/>
        </w:rPr>
        <w:t xml:space="preserve">V roce 2014 </w:t>
      </w:r>
      <w:r>
        <w:rPr>
          <w:sz w:val="22"/>
          <w:szCs w:val="22"/>
        </w:rPr>
        <w:t xml:space="preserve">probíhala </w:t>
      </w:r>
      <w:r w:rsidRPr="00741E7F">
        <w:rPr>
          <w:sz w:val="22"/>
          <w:szCs w:val="22"/>
        </w:rPr>
        <w:t>jednání s kompetentními zástupci GŘ ÚP ČR Praha za účelem zintenzivnění práce zainteresovaných stran a k urychlení administrace všech realizovaných projektů v aktivit</w:t>
      </w:r>
      <w:r>
        <w:rPr>
          <w:sz w:val="22"/>
          <w:szCs w:val="22"/>
        </w:rPr>
        <w:t>ách</w:t>
      </w:r>
      <w:r w:rsidRPr="00741E7F">
        <w:rPr>
          <w:sz w:val="22"/>
          <w:szCs w:val="22"/>
        </w:rPr>
        <w:t xml:space="preserve"> </w:t>
      </w:r>
      <w:r w:rsidR="00D03847">
        <w:rPr>
          <w:sz w:val="22"/>
          <w:szCs w:val="22"/>
        </w:rPr>
        <w:br/>
      </w:r>
      <w:r w:rsidRPr="00741E7F">
        <w:rPr>
          <w:sz w:val="22"/>
          <w:szCs w:val="22"/>
        </w:rPr>
        <w:t xml:space="preserve">3.3 a) a b). </w:t>
      </w:r>
    </w:p>
    <w:p w:rsidR="007A1D9C" w:rsidRPr="00D03847" w:rsidRDefault="007A1D9C" w:rsidP="00D03847">
      <w:pPr>
        <w:jc w:val="both"/>
        <w:rPr>
          <w:sz w:val="22"/>
          <w:szCs w:val="22"/>
        </w:rPr>
      </w:pPr>
      <w:r w:rsidRPr="008840BF">
        <w:rPr>
          <w:sz w:val="22"/>
          <w:szCs w:val="22"/>
        </w:rPr>
        <w:lastRenderedPageBreak/>
        <w:t xml:space="preserve">Dne </w:t>
      </w:r>
      <w:r>
        <w:rPr>
          <w:sz w:val="22"/>
          <w:szCs w:val="22"/>
        </w:rPr>
        <w:t>29. 8. 2014</w:t>
      </w:r>
      <w:r w:rsidRPr="008840BF">
        <w:rPr>
          <w:sz w:val="22"/>
          <w:szCs w:val="22"/>
        </w:rPr>
        <w:t xml:space="preserve"> byl prodloužen termín pro podání projektových žádostí ve výzvě č. 4 </w:t>
      </w:r>
      <w:r>
        <w:rPr>
          <w:sz w:val="22"/>
          <w:szCs w:val="22"/>
        </w:rPr>
        <w:t xml:space="preserve">pro </w:t>
      </w:r>
      <w:r w:rsidRPr="008840BF">
        <w:rPr>
          <w:sz w:val="22"/>
          <w:szCs w:val="22"/>
        </w:rPr>
        <w:t xml:space="preserve">aktivity </w:t>
      </w:r>
      <w:r w:rsidR="008C2491">
        <w:rPr>
          <w:sz w:val="22"/>
          <w:szCs w:val="22"/>
        </w:rPr>
        <w:br/>
      </w:r>
      <w:r w:rsidRPr="008840BF">
        <w:rPr>
          <w:sz w:val="22"/>
          <w:szCs w:val="22"/>
        </w:rPr>
        <w:t xml:space="preserve">3.3 a) </w:t>
      </w:r>
      <w:r>
        <w:rPr>
          <w:sz w:val="22"/>
          <w:szCs w:val="22"/>
        </w:rPr>
        <w:t>a b) do 31. 12. 2014, který měl umožnit</w:t>
      </w:r>
      <w:r w:rsidRPr="008840BF">
        <w:rPr>
          <w:sz w:val="22"/>
          <w:szCs w:val="22"/>
        </w:rPr>
        <w:t xml:space="preserve"> </w:t>
      </w:r>
      <w:r>
        <w:rPr>
          <w:sz w:val="22"/>
          <w:szCs w:val="22"/>
        </w:rPr>
        <w:t>podání nové</w:t>
      </w:r>
      <w:r w:rsidRPr="008840BF">
        <w:rPr>
          <w:sz w:val="22"/>
          <w:szCs w:val="22"/>
        </w:rPr>
        <w:t xml:space="preserve"> projektov</w:t>
      </w:r>
      <w:r>
        <w:rPr>
          <w:sz w:val="22"/>
          <w:szCs w:val="22"/>
        </w:rPr>
        <w:t>é</w:t>
      </w:r>
      <w:r w:rsidRPr="008840BF">
        <w:rPr>
          <w:sz w:val="22"/>
          <w:szCs w:val="22"/>
        </w:rPr>
        <w:t xml:space="preserve"> žádost</w:t>
      </w:r>
      <w:r>
        <w:rPr>
          <w:sz w:val="22"/>
          <w:szCs w:val="22"/>
        </w:rPr>
        <w:t xml:space="preserve">i nákupu administrativního objektu k financování v OI 3.3 IOP. </w:t>
      </w:r>
      <w:r w:rsidRPr="00E96E8B">
        <w:rPr>
          <w:sz w:val="22"/>
          <w:szCs w:val="22"/>
        </w:rPr>
        <w:t xml:space="preserve">Byl předložen návrh realizace projektu </w:t>
      </w:r>
      <w:r w:rsidRPr="00E96E8B">
        <w:rPr>
          <w:sz w:val="22"/>
        </w:rPr>
        <w:t>ÚP ČR Brno – venkov</w:t>
      </w:r>
      <w:r>
        <w:rPr>
          <w:sz w:val="22"/>
          <w:szCs w:val="22"/>
        </w:rPr>
        <w:t xml:space="preserve">, ale tento projekt po důkladném přehodnocení nebyl k realizaci doporučen. </w:t>
      </w:r>
      <w:r w:rsidRPr="00E96E8B">
        <w:rPr>
          <w:sz w:val="22"/>
          <w:szCs w:val="22"/>
        </w:rPr>
        <w:t xml:space="preserve">Aktuálně </w:t>
      </w:r>
      <w:r w:rsidR="00DA1251">
        <w:rPr>
          <w:sz w:val="22"/>
          <w:szCs w:val="22"/>
        </w:rPr>
        <w:br/>
      </w:r>
      <w:r w:rsidRPr="00E96E8B">
        <w:rPr>
          <w:sz w:val="22"/>
          <w:szCs w:val="22"/>
        </w:rPr>
        <w:t>se připravuje možnost předložení projektu pro ÚP ČR v Litvínově v objemu cca 10-20 mil. Kč.</w:t>
      </w:r>
      <w:r w:rsidR="007D279A">
        <w:rPr>
          <w:sz w:val="22"/>
          <w:szCs w:val="22"/>
        </w:rPr>
        <w:t xml:space="preserve"> </w:t>
      </w:r>
      <w:r>
        <w:rPr>
          <w:sz w:val="22"/>
          <w:szCs w:val="22"/>
        </w:rPr>
        <w:t xml:space="preserve">MPSV </w:t>
      </w:r>
      <w:r w:rsidRPr="00F410AA">
        <w:rPr>
          <w:sz w:val="22"/>
          <w:szCs w:val="22"/>
        </w:rPr>
        <w:t>vede intenzivní komunikaci s příjemci dotací a  GŘ ÚP Praha. V pravidelných</w:t>
      </w:r>
      <w:r w:rsidR="00637AE1">
        <w:rPr>
          <w:sz w:val="22"/>
          <w:szCs w:val="22"/>
        </w:rPr>
        <w:t xml:space="preserve"> týdenních</w:t>
      </w:r>
      <w:r w:rsidRPr="00F410AA">
        <w:rPr>
          <w:sz w:val="22"/>
          <w:szCs w:val="22"/>
        </w:rPr>
        <w:t xml:space="preserve"> intervalech je aktualizován harmonogram realizace projektů v aktivit</w:t>
      </w:r>
      <w:r>
        <w:rPr>
          <w:sz w:val="22"/>
          <w:szCs w:val="22"/>
        </w:rPr>
        <w:t>ách</w:t>
      </w:r>
      <w:r w:rsidRPr="00F410AA">
        <w:rPr>
          <w:sz w:val="22"/>
          <w:szCs w:val="22"/>
        </w:rPr>
        <w:t xml:space="preserve"> 3.3 a) a b) s cílem podchytit kritická místa v administraci projektů a zajistit všechny kroky k urychlení celého procesu. </w:t>
      </w:r>
    </w:p>
    <w:p w:rsidR="007A1D9C" w:rsidRDefault="007A1D9C" w:rsidP="007A1D9C">
      <w:pPr>
        <w:jc w:val="both"/>
        <w:rPr>
          <w:sz w:val="22"/>
          <w:szCs w:val="22"/>
        </w:rPr>
      </w:pPr>
      <w:r w:rsidRPr="007151CE">
        <w:rPr>
          <w:sz w:val="22"/>
          <w:szCs w:val="22"/>
        </w:rPr>
        <w:t xml:space="preserve">MPSV důkladně </w:t>
      </w:r>
      <w:r>
        <w:rPr>
          <w:sz w:val="22"/>
          <w:szCs w:val="22"/>
        </w:rPr>
        <w:t xml:space="preserve">v roce 2014 </w:t>
      </w:r>
      <w:r w:rsidRPr="007151CE">
        <w:rPr>
          <w:sz w:val="22"/>
          <w:szCs w:val="22"/>
        </w:rPr>
        <w:t>posuz</w:t>
      </w:r>
      <w:r>
        <w:rPr>
          <w:sz w:val="22"/>
          <w:szCs w:val="22"/>
        </w:rPr>
        <w:t>ovalo</w:t>
      </w:r>
      <w:r w:rsidRPr="007151CE">
        <w:rPr>
          <w:sz w:val="22"/>
          <w:szCs w:val="22"/>
        </w:rPr>
        <w:t xml:space="preserve"> předkládaná oznámení o změně</w:t>
      </w:r>
      <w:r>
        <w:rPr>
          <w:sz w:val="22"/>
          <w:szCs w:val="22"/>
        </w:rPr>
        <w:t>, které měla za důsledek přesun finančních prostředků z roku 2014 do roku 2015. Podmínkou ke schválení přesunu byl měsíční reporting dodržování nastaveného harmonogramu, který umožňoval vyhodnocení stavu realizace projektů. Probíhal také průběžný monitoring administrace projektů a byl sledován vývoj potenciální ztráty alokace.</w:t>
      </w:r>
    </w:p>
    <w:p w:rsidR="00741E7F" w:rsidRPr="00D03847" w:rsidRDefault="00741E7F" w:rsidP="00D03847">
      <w:pPr>
        <w:jc w:val="both"/>
        <w:rPr>
          <w:b/>
          <w:sz w:val="22"/>
          <w:szCs w:val="22"/>
        </w:rPr>
      </w:pPr>
    </w:p>
    <w:p w:rsidR="00741E7F" w:rsidRPr="00253A8B" w:rsidRDefault="00741E7F" w:rsidP="00741E7F">
      <w:pPr>
        <w:pStyle w:val="Odstavecseseznamem"/>
        <w:ind w:left="0"/>
        <w:rPr>
          <w:b/>
          <w:sz w:val="22"/>
          <w:szCs w:val="22"/>
        </w:rPr>
      </w:pPr>
      <w:r w:rsidRPr="00253A8B">
        <w:rPr>
          <w:b/>
          <w:sz w:val="22"/>
          <w:szCs w:val="22"/>
        </w:rPr>
        <w:t xml:space="preserve">Prodlužování </w:t>
      </w:r>
      <w:r>
        <w:rPr>
          <w:b/>
          <w:sz w:val="22"/>
          <w:szCs w:val="22"/>
        </w:rPr>
        <w:t>realizace</w:t>
      </w:r>
      <w:r w:rsidRPr="00253A8B">
        <w:rPr>
          <w:b/>
          <w:sz w:val="22"/>
          <w:szCs w:val="22"/>
        </w:rPr>
        <w:t xml:space="preserve"> </w:t>
      </w:r>
      <w:r>
        <w:rPr>
          <w:b/>
          <w:sz w:val="22"/>
          <w:szCs w:val="22"/>
        </w:rPr>
        <w:t xml:space="preserve">rozsáhlých investičních </w:t>
      </w:r>
      <w:r w:rsidRPr="00253A8B">
        <w:rPr>
          <w:b/>
          <w:sz w:val="22"/>
          <w:szCs w:val="22"/>
        </w:rPr>
        <w:t>projektů</w:t>
      </w:r>
      <w:r>
        <w:rPr>
          <w:b/>
          <w:sz w:val="22"/>
          <w:szCs w:val="22"/>
        </w:rPr>
        <w:t>, riziko odstoupení příjemců od realizace projektů v OI 3.3</w:t>
      </w:r>
    </w:p>
    <w:p w:rsidR="007A1D9C" w:rsidRDefault="007A1D9C" w:rsidP="007A1D9C">
      <w:pPr>
        <w:pStyle w:val="Odstavecseseznamem"/>
        <w:ind w:left="0"/>
        <w:jc w:val="both"/>
        <w:rPr>
          <w:sz w:val="22"/>
          <w:szCs w:val="22"/>
        </w:rPr>
      </w:pPr>
      <w:r>
        <w:rPr>
          <w:sz w:val="22"/>
          <w:szCs w:val="22"/>
        </w:rPr>
        <w:t>K důvodům, které vedou k prodlužování realizace projektů, patří zejména problémy se stavebním řízením a výběrovým řízením (</w:t>
      </w:r>
      <w:r w:rsidRPr="007151CE">
        <w:rPr>
          <w:sz w:val="22"/>
          <w:szCs w:val="22"/>
        </w:rPr>
        <w:t xml:space="preserve">zpoždění v realizaci výběrového řízení, nutností zrušit VŘ </w:t>
      </w:r>
      <w:r>
        <w:rPr>
          <w:sz w:val="22"/>
          <w:szCs w:val="22"/>
        </w:rPr>
        <w:br/>
      </w:r>
      <w:r w:rsidRPr="007151CE">
        <w:rPr>
          <w:sz w:val="22"/>
          <w:szCs w:val="22"/>
        </w:rPr>
        <w:t xml:space="preserve">a </w:t>
      </w:r>
      <w:r>
        <w:rPr>
          <w:sz w:val="22"/>
          <w:szCs w:val="22"/>
        </w:rPr>
        <w:t xml:space="preserve">opakovaně </w:t>
      </w:r>
      <w:r w:rsidRPr="007151CE">
        <w:rPr>
          <w:sz w:val="22"/>
          <w:szCs w:val="22"/>
        </w:rPr>
        <w:t>vyhlásit nové</w:t>
      </w:r>
      <w:r>
        <w:rPr>
          <w:sz w:val="22"/>
          <w:szCs w:val="22"/>
        </w:rPr>
        <w:t xml:space="preserve">). </w:t>
      </w:r>
    </w:p>
    <w:p w:rsidR="00741E7F" w:rsidRDefault="00741E7F" w:rsidP="00741E7F">
      <w:pPr>
        <w:pStyle w:val="Odstavecseseznamem"/>
        <w:ind w:left="0"/>
        <w:jc w:val="both"/>
        <w:rPr>
          <w:sz w:val="22"/>
          <w:szCs w:val="22"/>
        </w:rPr>
      </w:pPr>
    </w:p>
    <w:p w:rsidR="00741E7F" w:rsidRPr="00D021A8" w:rsidRDefault="00741E7F" w:rsidP="00741E7F">
      <w:pPr>
        <w:pStyle w:val="Odstavecseseznamem"/>
        <w:ind w:left="0"/>
        <w:jc w:val="both"/>
        <w:rPr>
          <w:b/>
          <w:sz w:val="22"/>
          <w:szCs w:val="22"/>
        </w:rPr>
      </w:pPr>
      <w:r>
        <w:rPr>
          <w:b/>
          <w:sz w:val="22"/>
          <w:szCs w:val="22"/>
        </w:rPr>
        <w:t>Přijatá</w:t>
      </w:r>
      <w:r w:rsidRPr="00D021A8">
        <w:rPr>
          <w:b/>
          <w:sz w:val="22"/>
          <w:szCs w:val="22"/>
        </w:rPr>
        <w:t xml:space="preserve"> opatření</w:t>
      </w:r>
    </w:p>
    <w:p w:rsidR="007A1D9C" w:rsidRDefault="007A1D9C" w:rsidP="007A1D9C">
      <w:pPr>
        <w:jc w:val="both"/>
        <w:rPr>
          <w:sz w:val="22"/>
          <w:szCs w:val="22"/>
        </w:rPr>
      </w:pPr>
      <w:r>
        <w:rPr>
          <w:sz w:val="22"/>
          <w:szCs w:val="22"/>
        </w:rPr>
        <w:t>MPSV intenzivně komunikovalo s příjemci s cílem řešit problémy s předstihem, aby nedocházelo ke kritickým situacím, které vyžadují ukončení realizace projektu. Probíhal monitoring implementace jednotlivých projektů a v případě prodlužování administrace a přesunů byla realizována optimální řešení pro podporu čerpání alokace</w:t>
      </w:r>
      <w:r w:rsidR="004748A5">
        <w:rPr>
          <w:sz w:val="22"/>
          <w:szCs w:val="22"/>
        </w:rPr>
        <w:t xml:space="preserve"> – například etapizace projektů, apod.</w:t>
      </w:r>
      <w:r>
        <w:rPr>
          <w:sz w:val="22"/>
          <w:szCs w:val="22"/>
        </w:rPr>
        <w:t xml:space="preserve"> MPSV dlouhodobě příjemce upozorňuje na nutnost konzultovat proces výběru dodavatelů s CRR ČR, aby nedocházelo k porušení zákona či metodiky.</w:t>
      </w:r>
    </w:p>
    <w:p w:rsidR="008C2491" w:rsidRDefault="008C2491" w:rsidP="007A1D9C">
      <w:pPr>
        <w:jc w:val="both"/>
        <w:rPr>
          <w:sz w:val="22"/>
          <w:szCs w:val="22"/>
        </w:rPr>
      </w:pPr>
    </w:p>
    <w:p w:rsidR="007A1D9C" w:rsidRPr="00B72413" w:rsidRDefault="007A1D9C" w:rsidP="007A1D9C">
      <w:pPr>
        <w:jc w:val="both"/>
        <w:rPr>
          <w:sz w:val="22"/>
          <w:szCs w:val="22"/>
        </w:rPr>
      </w:pPr>
      <w:r>
        <w:rPr>
          <w:sz w:val="22"/>
          <w:szCs w:val="22"/>
        </w:rPr>
        <w:t>U projektu s názvem „</w:t>
      </w:r>
      <w:r w:rsidRPr="00166B77">
        <w:rPr>
          <w:sz w:val="22"/>
          <w:szCs w:val="22"/>
        </w:rPr>
        <w:t>ÚP ČR Liberec – výstavba, nákup, rekonstrukce administrativní budovy“</w:t>
      </w:r>
      <w:r>
        <w:rPr>
          <w:sz w:val="22"/>
          <w:szCs w:val="22"/>
        </w:rPr>
        <w:t xml:space="preserve"> </w:t>
      </w:r>
      <w:r>
        <w:rPr>
          <w:sz w:val="22"/>
          <w:szCs w:val="22"/>
        </w:rPr>
        <w:br/>
        <w:t xml:space="preserve">v celkovém objemu schválených prostředků ve výši </w:t>
      </w:r>
      <w:r w:rsidRPr="00B72413">
        <w:rPr>
          <w:sz w:val="22"/>
          <w:szCs w:val="22"/>
        </w:rPr>
        <w:t>225</w:t>
      </w:r>
      <w:r>
        <w:rPr>
          <w:sz w:val="22"/>
          <w:szCs w:val="22"/>
        </w:rPr>
        <w:t> </w:t>
      </w:r>
      <w:r w:rsidRPr="00B72413">
        <w:rPr>
          <w:sz w:val="22"/>
          <w:szCs w:val="22"/>
        </w:rPr>
        <w:t>351</w:t>
      </w:r>
      <w:r>
        <w:rPr>
          <w:sz w:val="22"/>
          <w:szCs w:val="22"/>
        </w:rPr>
        <w:t> </w:t>
      </w:r>
      <w:r w:rsidRPr="00B72413">
        <w:rPr>
          <w:sz w:val="22"/>
          <w:szCs w:val="22"/>
        </w:rPr>
        <w:t>240</w:t>
      </w:r>
      <w:r>
        <w:rPr>
          <w:sz w:val="22"/>
          <w:szCs w:val="22"/>
        </w:rPr>
        <w:t xml:space="preserve"> Kč způsobilých výdajů příjemce oznámil dne 21. 5. 2014 odstoupení od realizace projektu. </w:t>
      </w:r>
      <w:r w:rsidRPr="00166B77">
        <w:rPr>
          <w:sz w:val="22"/>
          <w:szCs w:val="22"/>
        </w:rPr>
        <w:t xml:space="preserve">Návrh GŘ ÚP ČR z důvodu </w:t>
      </w:r>
      <w:r w:rsidRPr="00166B77">
        <w:rPr>
          <w:rFonts w:eastAsia="Calibri"/>
          <w:sz w:val="22"/>
          <w:szCs w:val="22"/>
          <w:lang w:eastAsia="en-US"/>
        </w:rPr>
        <w:t xml:space="preserve">zrušení veřejné zakázky na výběr dodavatele projektové dokumentace a dodavatele stavby, neboť se v průběhu zadávacího řízení vyskytly překážky, které bránily v zadávacím řízení pokračovat. Opakované vyhlášení </w:t>
      </w:r>
      <w:r>
        <w:rPr>
          <w:rFonts w:eastAsia="Calibri"/>
          <w:sz w:val="22"/>
          <w:szCs w:val="22"/>
          <w:lang w:eastAsia="en-US"/>
        </w:rPr>
        <w:t>veřejné zakázky</w:t>
      </w:r>
      <w:r w:rsidRPr="00166B77">
        <w:rPr>
          <w:rFonts w:eastAsia="Calibri"/>
          <w:sz w:val="22"/>
          <w:szCs w:val="22"/>
          <w:lang w:eastAsia="en-US"/>
        </w:rPr>
        <w:t xml:space="preserve"> a dokončení </w:t>
      </w:r>
      <w:r>
        <w:rPr>
          <w:rFonts w:eastAsia="Calibri"/>
          <w:sz w:val="22"/>
          <w:szCs w:val="22"/>
          <w:lang w:eastAsia="en-US"/>
        </w:rPr>
        <w:t xml:space="preserve">realizace </w:t>
      </w:r>
      <w:r w:rsidRPr="00166B77">
        <w:rPr>
          <w:rFonts w:eastAsia="Calibri"/>
          <w:sz w:val="22"/>
          <w:szCs w:val="22"/>
          <w:lang w:eastAsia="en-US"/>
        </w:rPr>
        <w:t>projektu k 30.</w:t>
      </w:r>
      <w:r>
        <w:rPr>
          <w:rFonts w:eastAsia="Calibri"/>
          <w:sz w:val="22"/>
          <w:szCs w:val="22"/>
          <w:lang w:eastAsia="en-US"/>
        </w:rPr>
        <w:t xml:space="preserve"> </w:t>
      </w:r>
      <w:r w:rsidRPr="00166B77">
        <w:rPr>
          <w:rFonts w:eastAsia="Calibri"/>
          <w:sz w:val="22"/>
          <w:szCs w:val="22"/>
          <w:lang w:eastAsia="en-US"/>
        </w:rPr>
        <w:t>11.</w:t>
      </w:r>
      <w:r>
        <w:rPr>
          <w:rFonts w:eastAsia="Calibri"/>
          <w:sz w:val="22"/>
          <w:szCs w:val="22"/>
          <w:lang w:eastAsia="en-US"/>
        </w:rPr>
        <w:t xml:space="preserve"> </w:t>
      </w:r>
      <w:r w:rsidRPr="00166B77">
        <w:rPr>
          <w:rFonts w:eastAsia="Calibri"/>
          <w:sz w:val="22"/>
          <w:szCs w:val="22"/>
          <w:lang w:eastAsia="en-US"/>
        </w:rPr>
        <w:t>2015 bylo vyhodnoceno jako nereálné.</w:t>
      </w:r>
      <w:r>
        <w:rPr>
          <w:rFonts w:eastAsia="Calibri"/>
          <w:sz w:val="22"/>
          <w:szCs w:val="22"/>
          <w:lang w:eastAsia="en-US"/>
        </w:rPr>
        <w:t xml:space="preserve"> </w:t>
      </w:r>
    </w:p>
    <w:p w:rsidR="007A1D9C" w:rsidRPr="00B72413" w:rsidRDefault="007A1D9C" w:rsidP="007A1D9C">
      <w:pPr>
        <w:spacing w:before="120"/>
        <w:jc w:val="both"/>
        <w:rPr>
          <w:sz w:val="22"/>
          <w:szCs w:val="22"/>
        </w:rPr>
      </w:pPr>
      <w:r>
        <w:rPr>
          <w:sz w:val="22"/>
          <w:szCs w:val="22"/>
        </w:rPr>
        <w:t>V projektu „</w:t>
      </w:r>
      <w:r w:rsidRPr="00B72413">
        <w:rPr>
          <w:sz w:val="22"/>
          <w:szCs w:val="28"/>
        </w:rPr>
        <w:t>ÚP ČR – Pardubice – výstavba budovy a školicího střediska</w:t>
      </w:r>
      <w:r>
        <w:rPr>
          <w:sz w:val="22"/>
          <w:szCs w:val="28"/>
        </w:rPr>
        <w:t xml:space="preserve">“ (schválené prostředky ve výši </w:t>
      </w:r>
      <w:r w:rsidRPr="00C06C69">
        <w:rPr>
          <w:sz w:val="22"/>
          <w:szCs w:val="28"/>
        </w:rPr>
        <w:t>220</w:t>
      </w:r>
      <w:r>
        <w:rPr>
          <w:sz w:val="22"/>
          <w:szCs w:val="28"/>
        </w:rPr>
        <w:t> </w:t>
      </w:r>
      <w:r w:rsidRPr="00C06C69">
        <w:rPr>
          <w:sz w:val="22"/>
          <w:szCs w:val="28"/>
        </w:rPr>
        <w:t>006</w:t>
      </w:r>
      <w:r>
        <w:rPr>
          <w:sz w:val="22"/>
          <w:szCs w:val="28"/>
        </w:rPr>
        <w:t> </w:t>
      </w:r>
      <w:r w:rsidRPr="00C06C69">
        <w:rPr>
          <w:sz w:val="22"/>
          <w:szCs w:val="28"/>
        </w:rPr>
        <w:t>492</w:t>
      </w:r>
      <w:r>
        <w:rPr>
          <w:sz w:val="22"/>
          <w:szCs w:val="28"/>
        </w:rPr>
        <w:t xml:space="preserve"> Kč)</w:t>
      </w:r>
      <w:r w:rsidRPr="00B72413">
        <w:rPr>
          <w:sz w:val="22"/>
          <w:szCs w:val="28"/>
        </w:rPr>
        <w:t xml:space="preserve"> </w:t>
      </w:r>
      <w:r>
        <w:rPr>
          <w:sz w:val="22"/>
        </w:rPr>
        <w:t xml:space="preserve">odstoupil </w:t>
      </w:r>
      <w:r w:rsidRPr="00B72413">
        <w:rPr>
          <w:sz w:val="22"/>
        </w:rPr>
        <w:t>dodavatel stavby od smlouvy. První návrh dodavatel předlož</w:t>
      </w:r>
      <w:r>
        <w:rPr>
          <w:sz w:val="22"/>
        </w:rPr>
        <w:t>il</w:t>
      </w:r>
      <w:r w:rsidRPr="00B72413">
        <w:rPr>
          <w:sz w:val="22"/>
        </w:rPr>
        <w:t xml:space="preserve"> na ÚP ČR dne 21. 11. 2014</w:t>
      </w:r>
      <w:r>
        <w:rPr>
          <w:sz w:val="22"/>
        </w:rPr>
        <w:t>, jednání nebylo k 31. 12. 2014 ukončeno</w:t>
      </w:r>
      <w:r w:rsidRPr="00B72413">
        <w:rPr>
          <w:sz w:val="22"/>
        </w:rPr>
        <w:t xml:space="preserve">. </w:t>
      </w:r>
      <w:r>
        <w:rPr>
          <w:sz w:val="22"/>
        </w:rPr>
        <w:t xml:space="preserve">Uvolněné finanční prostředky </w:t>
      </w:r>
      <w:r w:rsidRPr="00B72413">
        <w:rPr>
          <w:sz w:val="22"/>
          <w:szCs w:val="22"/>
        </w:rPr>
        <w:t xml:space="preserve">budou nabídnuty </w:t>
      </w:r>
      <w:r>
        <w:rPr>
          <w:sz w:val="22"/>
          <w:szCs w:val="22"/>
        </w:rPr>
        <w:t xml:space="preserve">ŘO IOP </w:t>
      </w:r>
      <w:r w:rsidRPr="00B72413">
        <w:rPr>
          <w:sz w:val="22"/>
          <w:szCs w:val="22"/>
        </w:rPr>
        <w:t xml:space="preserve"> k přesunu do jiných OI.</w:t>
      </w:r>
    </w:p>
    <w:p w:rsidR="00741E7F" w:rsidRDefault="00741E7F" w:rsidP="00741E7F">
      <w:pPr>
        <w:ind w:left="1797"/>
        <w:jc w:val="both"/>
        <w:rPr>
          <w:sz w:val="22"/>
          <w:szCs w:val="22"/>
        </w:rPr>
      </w:pPr>
    </w:p>
    <w:p w:rsidR="00741E7F" w:rsidRDefault="00741E7F" w:rsidP="008C2491">
      <w:pPr>
        <w:pStyle w:val="Odstavecseseznamem"/>
        <w:ind w:left="0"/>
        <w:jc w:val="both"/>
        <w:rPr>
          <w:b/>
          <w:sz w:val="22"/>
          <w:szCs w:val="22"/>
        </w:rPr>
      </w:pPr>
      <w:r>
        <w:rPr>
          <w:b/>
          <w:sz w:val="22"/>
          <w:szCs w:val="22"/>
        </w:rPr>
        <w:t xml:space="preserve">Riziko neproplacení finančních prostředků ze strany Evropské komise na projekt „ÚP ČR Praha – nákup administrativní budovy“. </w:t>
      </w:r>
    </w:p>
    <w:p w:rsidR="00741E7F" w:rsidRPr="002B492C" w:rsidRDefault="007A1D9C" w:rsidP="002B492C">
      <w:pPr>
        <w:jc w:val="both"/>
        <w:rPr>
          <w:sz w:val="22"/>
        </w:rPr>
      </w:pPr>
      <w:r>
        <w:rPr>
          <w:sz w:val="22"/>
        </w:rPr>
        <w:t>P</w:t>
      </w:r>
      <w:r w:rsidRPr="00C06C69">
        <w:rPr>
          <w:sz w:val="22"/>
        </w:rPr>
        <w:t>rojekt ÚP ČR Praha - nákup administrativní budovy</w:t>
      </w:r>
      <w:r>
        <w:rPr>
          <w:sz w:val="22"/>
        </w:rPr>
        <w:t xml:space="preserve"> byl opakovaně vystaven výtkám EK ve smyslu nedostatečného přínosu nákupu objektu v Praze pro region Konvergence a </w:t>
      </w:r>
      <w:r w:rsidRPr="00C06C69">
        <w:rPr>
          <w:sz w:val="22"/>
        </w:rPr>
        <w:t>stále hrozí riziko neproplacení prostředků ve výši  201,1 mil. Kč (EU podíl)</w:t>
      </w:r>
      <w:r>
        <w:rPr>
          <w:sz w:val="22"/>
        </w:rPr>
        <w:t>.</w:t>
      </w:r>
      <w:r w:rsidRPr="00C06C69">
        <w:rPr>
          <w:sz w:val="22"/>
        </w:rPr>
        <w:t xml:space="preserve"> </w:t>
      </w:r>
      <w:r>
        <w:rPr>
          <w:sz w:val="22"/>
        </w:rPr>
        <w:t xml:space="preserve">EK </w:t>
      </w:r>
      <w:r w:rsidRPr="00C06C69">
        <w:rPr>
          <w:sz w:val="22"/>
        </w:rPr>
        <w:t>považuje za způsobilou část projektu</w:t>
      </w:r>
      <w:r>
        <w:rPr>
          <w:sz w:val="22"/>
        </w:rPr>
        <w:t>,</w:t>
      </w:r>
      <w:r w:rsidRPr="00C06C69">
        <w:rPr>
          <w:sz w:val="22"/>
        </w:rPr>
        <w:t xml:space="preserve"> spojenou se školicím střediskem</w:t>
      </w:r>
      <w:r>
        <w:rPr>
          <w:sz w:val="22"/>
        </w:rPr>
        <w:t>,</w:t>
      </w:r>
      <w:r w:rsidRPr="00C06C69">
        <w:rPr>
          <w:sz w:val="22"/>
        </w:rPr>
        <w:t xml:space="preserve"> ve výši 17,15 %. Rozhodnutí EK výdajů dosud nepadlo. MPSV zpracovalo dokument s údaji, které by byly použity v dopise EK na podporu uznání způsobilosti co </w:t>
      </w:r>
      <w:r>
        <w:rPr>
          <w:sz w:val="22"/>
        </w:rPr>
        <w:t xml:space="preserve">nejvyšší </w:t>
      </w:r>
      <w:r w:rsidRPr="00C06C69">
        <w:rPr>
          <w:sz w:val="22"/>
        </w:rPr>
        <w:t>části nákladů</w:t>
      </w:r>
      <w:r>
        <w:rPr>
          <w:sz w:val="22"/>
        </w:rPr>
        <w:t xml:space="preserve"> projektu</w:t>
      </w:r>
      <w:r w:rsidRPr="00C06C69">
        <w:rPr>
          <w:sz w:val="22"/>
        </w:rPr>
        <w:t xml:space="preserve">. Požadované údaje byly zaslány na </w:t>
      </w:r>
      <w:r>
        <w:rPr>
          <w:sz w:val="22"/>
        </w:rPr>
        <w:t xml:space="preserve">ŘO IOP </w:t>
      </w:r>
      <w:r w:rsidRPr="00C06C69">
        <w:rPr>
          <w:sz w:val="22"/>
        </w:rPr>
        <w:t xml:space="preserve"> dne 4. 12. 2014</w:t>
      </w:r>
      <w:r>
        <w:rPr>
          <w:sz w:val="22"/>
        </w:rPr>
        <w:t xml:space="preserve">. </w:t>
      </w:r>
      <w:r w:rsidRPr="00C06C69">
        <w:rPr>
          <w:sz w:val="22"/>
        </w:rPr>
        <w:t>Na základě auditu Ministerstva financí č. IOP/2014/O/064 byly stanoveny nezpůsobilé výdaje projektu ve výši cca 86 mil. Kč.</w:t>
      </w:r>
    </w:p>
    <w:p w:rsidR="00B20D2B" w:rsidRDefault="00B20D2B" w:rsidP="0045791B">
      <w:pPr>
        <w:jc w:val="both"/>
        <w:rPr>
          <w:rStyle w:val="slovnik"/>
          <w:b/>
          <w:sz w:val="22"/>
          <w:szCs w:val="22"/>
        </w:rPr>
      </w:pPr>
    </w:p>
    <w:p w:rsidR="002B492C" w:rsidRDefault="002B492C" w:rsidP="0045791B">
      <w:pPr>
        <w:jc w:val="both"/>
        <w:rPr>
          <w:rStyle w:val="slovnik"/>
          <w:b/>
          <w:sz w:val="22"/>
          <w:szCs w:val="22"/>
        </w:rPr>
      </w:pPr>
    </w:p>
    <w:p w:rsidR="00B43DE6" w:rsidRDefault="00B43DE6" w:rsidP="0045791B">
      <w:pPr>
        <w:jc w:val="both"/>
        <w:rPr>
          <w:rStyle w:val="slovnik"/>
          <w:b/>
          <w:sz w:val="22"/>
          <w:szCs w:val="22"/>
        </w:rPr>
      </w:pPr>
    </w:p>
    <w:p w:rsidR="00B43DE6" w:rsidRDefault="00B43DE6" w:rsidP="0045791B">
      <w:pPr>
        <w:jc w:val="both"/>
        <w:rPr>
          <w:rStyle w:val="slovnik"/>
          <w:b/>
          <w:sz w:val="22"/>
          <w:szCs w:val="22"/>
        </w:rPr>
      </w:pPr>
    </w:p>
    <w:p w:rsidR="00A75862" w:rsidRDefault="00A75862" w:rsidP="0045791B">
      <w:pPr>
        <w:jc w:val="both"/>
        <w:rPr>
          <w:rStyle w:val="slovnik"/>
          <w:b/>
          <w:sz w:val="22"/>
          <w:szCs w:val="22"/>
        </w:rPr>
      </w:pPr>
      <w:r>
        <w:rPr>
          <w:rStyle w:val="slovnik"/>
          <w:b/>
          <w:sz w:val="22"/>
          <w:szCs w:val="22"/>
        </w:rPr>
        <w:lastRenderedPageBreak/>
        <w:t>O</w:t>
      </w:r>
      <w:r w:rsidRPr="00DF0769">
        <w:rPr>
          <w:rStyle w:val="slovnik"/>
          <w:b/>
          <w:sz w:val="22"/>
          <w:szCs w:val="22"/>
        </w:rPr>
        <w:t>blast</w:t>
      </w:r>
      <w:r>
        <w:rPr>
          <w:rStyle w:val="slovnik"/>
          <w:b/>
          <w:sz w:val="22"/>
          <w:szCs w:val="22"/>
        </w:rPr>
        <w:t xml:space="preserve"> intervence 3.4</w:t>
      </w:r>
    </w:p>
    <w:p w:rsidR="00A45517" w:rsidRPr="00A45517" w:rsidRDefault="00A45517" w:rsidP="007775E4">
      <w:pPr>
        <w:jc w:val="both"/>
        <w:rPr>
          <w:b/>
          <w:sz w:val="22"/>
          <w:szCs w:val="22"/>
        </w:rPr>
      </w:pPr>
      <w:r w:rsidRPr="00A45517">
        <w:rPr>
          <w:b/>
          <w:sz w:val="22"/>
          <w:szCs w:val="22"/>
        </w:rPr>
        <w:t>Nízký stav čerpání, ohrožení naplnění pravidla n+2 v důsledku existence rizikových projektů</w:t>
      </w:r>
    </w:p>
    <w:p w:rsidR="00A45517" w:rsidRPr="00A45517" w:rsidRDefault="00A45517" w:rsidP="007775E4">
      <w:pPr>
        <w:jc w:val="both"/>
        <w:rPr>
          <w:sz w:val="22"/>
          <w:szCs w:val="22"/>
        </w:rPr>
      </w:pPr>
      <w:r w:rsidRPr="00A45517">
        <w:rPr>
          <w:sz w:val="22"/>
          <w:szCs w:val="22"/>
        </w:rPr>
        <w:t>Přesuny finančních prostředků do pozdějších etap, prodlužování termínů ukončení realizace projektu. Posuny aktivit v návaznosti na výběr generálního dodavatele – zpoždění realizace krajských projektů navázaných na střešní projekt NIS IZS. Opakování realizace centrálně zadávaných VŘ a posun termínu jejich realizace, vč. plnění.</w:t>
      </w:r>
    </w:p>
    <w:p w:rsidR="007775E4" w:rsidRDefault="007775E4" w:rsidP="007A66C3"/>
    <w:p w:rsidR="00C3451F" w:rsidRPr="00A45517" w:rsidRDefault="00A45517" w:rsidP="007775E4">
      <w:pPr>
        <w:jc w:val="both"/>
        <w:rPr>
          <w:b/>
          <w:sz w:val="22"/>
          <w:szCs w:val="22"/>
        </w:rPr>
      </w:pPr>
      <w:r w:rsidRPr="00A45517">
        <w:rPr>
          <w:b/>
          <w:sz w:val="22"/>
          <w:szCs w:val="22"/>
        </w:rPr>
        <w:t xml:space="preserve">Přijatá opatření: </w:t>
      </w:r>
    </w:p>
    <w:p w:rsidR="00A80374" w:rsidRPr="00A80374" w:rsidRDefault="00A80374" w:rsidP="007775E4">
      <w:pPr>
        <w:jc w:val="both"/>
        <w:rPr>
          <w:sz w:val="22"/>
          <w:szCs w:val="22"/>
        </w:rPr>
      </w:pPr>
      <w:r w:rsidRPr="00A80374">
        <w:rPr>
          <w:sz w:val="22"/>
          <w:szCs w:val="22"/>
        </w:rPr>
        <w:t xml:space="preserve">CRR konzultuje s příjemci  při přípravě a realizaci </w:t>
      </w:r>
      <w:r>
        <w:rPr>
          <w:sz w:val="22"/>
          <w:szCs w:val="22"/>
        </w:rPr>
        <w:t>veřejných zakázek</w:t>
      </w:r>
      <w:r w:rsidRPr="00A80374">
        <w:rPr>
          <w:sz w:val="22"/>
          <w:szCs w:val="22"/>
        </w:rPr>
        <w:t xml:space="preserve"> pro odstranění chybovosti, dále sleduje stav VZ. V rámci zrychlení administrace, jsou některé úkony přesouvány na HQ CRR (např. </w:t>
      </w:r>
      <w:r w:rsidR="00B43DE6">
        <w:rPr>
          <w:sz w:val="22"/>
          <w:szCs w:val="22"/>
        </w:rPr>
        <w:br/>
      </w:r>
      <w:r w:rsidRPr="00A80374">
        <w:rPr>
          <w:sz w:val="22"/>
          <w:szCs w:val="22"/>
        </w:rPr>
        <w:t>u výzvy 23 se přesunula administrace projektů na HQ CRR kompletně, zejména z důvodu administrace veřejných zakázek) a využívá služeb odborného gestora. HQ CRR pravidelně sleduje stav administrace projektů tak, aby bylo možné včas přijmou</w:t>
      </w:r>
      <w:r>
        <w:rPr>
          <w:sz w:val="22"/>
          <w:szCs w:val="22"/>
        </w:rPr>
        <w:t>t</w:t>
      </w:r>
      <w:r w:rsidRPr="00A80374">
        <w:rPr>
          <w:sz w:val="22"/>
          <w:szCs w:val="22"/>
        </w:rPr>
        <w:t xml:space="preserve"> mimořádná opatření.</w:t>
      </w:r>
    </w:p>
    <w:p w:rsidR="00A75862" w:rsidRDefault="00A75862" w:rsidP="007A66C3"/>
    <w:p w:rsidR="00A75862" w:rsidRPr="00F82E32" w:rsidRDefault="00F82E32" w:rsidP="00F82E32">
      <w:pPr>
        <w:pStyle w:val="Nadpis3"/>
      </w:pPr>
      <w:bookmarkStart w:id="199" w:name="_Toc382407709"/>
      <w:bookmarkStart w:id="200" w:name="_Toc383084711"/>
      <w:bookmarkStart w:id="201" w:name="_Toc417024880"/>
      <w:r>
        <w:t xml:space="preserve">3.3.3 </w:t>
      </w:r>
      <w:r w:rsidR="00A75862" w:rsidRPr="00F82E32">
        <w:t>Příklad projektu</w:t>
      </w:r>
      <w:bookmarkEnd w:id="199"/>
      <w:bookmarkEnd w:id="200"/>
      <w:bookmarkEnd w:id="201"/>
      <w:r w:rsidR="00A75862" w:rsidRPr="00F82E32">
        <w:t xml:space="preserve"> </w:t>
      </w:r>
    </w:p>
    <w:p w:rsidR="008C3B4A" w:rsidRDefault="00A75862" w:rsidP="00801F59">
      <w:pPr>
        <w:jc w:val="both"/>
        <w:rPr>
          <w:rFonts w:eastAsia="Calibri"/>
          <w:sz w:val="22"/>
          <w:szCs w:val="22"/>
          <w:lang w:eastAsia="en-US"/>
        </w:rPr>
      </w:pPr>
      <w:r>
        <w:rPr>
          <w:rStyle w:val="slovnik"/>
          <w:b/>
          <w:sz w:val="22"/>
          <w:szCs w:val="22"/>
        </w:rPr>
        <w:t>O</w:t>
      </w:r>
      <w:r w:rsidRPr="00DF0769">
        <w:rPr>
          <w:rStyle w:val="slovnik"/>
          <w:b/>
          <w:sz w:val="22"/>
          <w:szCs w:val="22"/>
        </w:rPr>
        <w:t>blast intervence 3.</w:t>
      </w:r>
      <w:r>
        <w:rPr>
          <w:rStyle w:val="slovnik"/>
          <w:b/>
          <w:sz w:val="22"/>
          <w:szCs w:val="22"/>
        </w:rPr>
        <w:t>1</w:t>
      </w:r>
      <w:r w:rsidR="008C3B4A" w:rsidRPr="008C3B4A">
        <w:rPr>
          <w:rFonts w:eastAsia="Calibri"/>
          <w:sz w:val="22"/>
          <w:szCs w:val="22"/>
          <w:lang w:eastAsia="en-US"/>
        </w:rPr>
        <w:t xml:space="preserve"> </w:t>
      </w:r>
      <w:r w:rsidR="008C3B4A">
        <w:rPr>
          <w:rFonts w:eastAsia="Calibri"/>
          <w:sz w:val="22"/>
          <w:szCs w:val="22"/>
          <w:lang w:eastAsia="en-US"/>
        </w:rPr>
        <w:t xml:space="preserve">Služby v oblasti sociální integrace, aktivita a) investiční podpora procesu </w:t>
      </w:r>
      <w:r w:rsidR="008C3B4A">
        <w:rPr>
          <w:rFonts w:eastAsia="Calibri"/>
          <w:sz w:val="22"/>
          <w:szCs w:val="22"/>
          <w:lang w:eastAsia="en-US"/>
        </w:rPr>
        <w:br/>
        <w:t>a zavádění jednotného přístupu v transformaci pobytových zařízení sociálních služeb v jiné typy sociálních služeb</w:t>
      </w:r>
    </w:p>
    <w:p w:rsidR="008C3B4A" w:rsidRDefault="00A75862" w:rsidP="00801F59">
      <w:pPr>
        <w:jc w:val="both"/>
        <w:rPr>
          <w:rFonts w:eastAsia="Calibri"/>
          <w:sz w:val="22"/>
          <w:szCs w:val="22"/>
          <w:lang w:eastAsia="en-US"/>
        </w:rPr>
      </w:pPr>
      <w:r w:rsidRPr="00B44725">
        <w:rPr>
          <w:b/>
          <w:sz w:val="22"/>
          <w:szCs w:val="22"/>
        </w:rPr>
        <w:t>Název projektu (registrační číslo)</w:t>
      </w:r>
      <w:r>
        <w:rPr>
          <w:b/>
          <w:sz w:val="22"/>
          <w:szCs w:val="22"/>
        </w:rPr>
        <w:t xml:space="preserve">: </w:t>
      </w:r>
      <w:r w:rsidR="008C3B4A">
        <w:rPr>
          <w:rFonts w:eastAsia="Calibri"/>
          <w:sz w:val="22"/>
          <w:szCs w:val="22"/>
          <w:lang w:eastAsia="en-US"/>
        </w:rPr>
        <w:t xml:space="preserve">Transformace </w:t>
      </w:r>
      <w:proofErr w:type="spellStart"/>
      <w:r w:rsidR="008C3B4A">
        <w:rPr>
          <w:rFonts w:eastAsia="Calibri"/>
          <w:sz w:val="22"/>
          <w:szCs w:val="22"/>
          <w:lang w:eastAsia="en-US"/>
        </w:rPr>
        <w:t>Vincentina</w:t>
      </w:r>
      <w:proofErr w:type="spellEnd"/>
      <w:r w:rsidR="008C3B4A">
        <w:rPr>
          <w:rFonts w:eastAsia="Calibri"/>
          <w:sz w:val="22"/>
          <w:szCs w:val="22"/>
          <w:lang w:eastAsia="en-US"/>
        </w:rPr>
        <w:t xml:space="preserve"> Šternberk, CZ.1.06/3.1.00/07.08072</w:t>
      </w:r>
    </w:p>
    <w:p w:rsidR="00A75862" w:rsidRDefault="00A75862" w:rsidP="00801F59">
      <w:pPr>
        <w:jc w:val="both"/>
        <w:rPr>
          <w:sz w:val="22"/>
          <w:szCs w:val="22"/>
        </w:rPr>
      </w:pPr>
      <w:r w:rsidRPr="00B44725">
        <w:rPr>
          <w:b/>
          <w:sz w:val="22"/>
          <w:szCs w:val="22"/>
        </w:rPr>
        <w:t>Příjemce:</w:t>
      </w:r>
      <w:r>
        <w:rPr>
          <w:sz w:val="22"/>
          <w:szCs w:val="22"/>
        </w:rPr>
        <w:t xml:space="preserve"> </w:t>
      </w:r>
      <w:r w:rsidR="008C3B4A">
        <w:rPr>
          <w:rFonts w:eastAsia="Calibri"/>
          <w:sz w:val="22"/>
          <w:szCs w:val="22"/>
          <w:lang w:eastAsia="en-US"/>
        </w:rPr>
        <w:t>Olomoucký kraj</w:t>
      </w:r>
    </w:p>
    <w:p w:rsidR="00A75862" w:rsidRDefault="00A75862" w:rsidP="00801F59">
      <w:pPr>
        <w:jc w:val="both"/>
        <w:rPr>
          <w:sz w:val="22"/>
          <w:szCs w:val="22"/>
        </w:rPr>
      </w:pPr>
      <w:r w:rsidRPr="00B44725">
        <w:rPr>
          <w:b/>
          <w:sz w:val="22"/>
          <w:szCs w:val="22"/>
        </w:rPr>
        <w:t>Financování projektu:</w:t>
      </w:r>
      <w:r>
        <w:rPr>
          <w:sz w:val="22"/>
          <w:szCs w:val="22"/>
        </w:rPr>
        <w:t xml:space="preserve"> </w:t>
      </w:r>
      <w:r w:rsidR="008C3B4A">
        <w:rPr>
          <w:rFonts w:eastAsia="Calibri"/>
          <w:sz w:val="22"/>
          <w:szCs w:val="22"/>
          <w:lang w:eastAsia="en-US"/>
        </w:rPr>
        <w:t>59 190 8877 </w:t>
      </w:r>
      <w:r w:rsidR="008C3B4A" w:rsidRPr="009E75CE">
        <w:rPr>
          <w:sz w:val="22"/>
          <w:szCs w:val="22"/>
        </w:rPr>
        <w:t xml:space="preserve"> </w:t>
      </w:r>
      <w:r w:rsidRPr="009E75CE">
        <w:rPr>
          <w:sz w:val="22"/>
          <w:szCs w:val="22"/>
        </w:rPr>
        <w:t>Kč (příspěvek SF</w:t>
      </w:r>
      <w:r w:rsidR="008C3B4A">
        <w:rPr>
          <w:sz w:val="22"/>
          <w:szCs w:val="22"/>
        </w:rPr>
        <w:t xml:space="preserve"> </w:t>
      </w:r>
      <w:r w:rsidR="008C3B4A">
        <w:rPr>
          <w:rFonts w:eastAsia="Calibri"/>
          <w:sz w:val="22"/>
          <w:szCs w:val="22"/>
          <w:lang w:eastAsia="en-US"/>
        </w:rPr>
        <w:t>50 312 254,65</w:t>
      </w:r>
      <w:r w:rsidRPr="009E75CE">
        <w:rPr>
          <w:sz w:val="22"/>
          <w:szCs w:val="22"/>
        </w:rPr>
        <w:t xml:space="preserve"> Kč a příspěvek SR</w:t>
      </w:r>
      <w:r w:rsidR="008C3B4A">
        <w:rPr>
          <w:sz w:val="22"/>
          <w:szCs w:val="22"/>
        </w:rPr>
        <w:t xml:space="preserve"> </w:t>
      </w:r>
      <w:r w:rsidR="008C3B4A">
        <w:rPr>
          <w:rFonts w:eastAsia="Calibri"/>
          <w:sz w:val="22"/>
          <w:szCs w:val="22"/>
          <w:lang w:eastAsia="en-US"/>
        </w:rPr>
        <w:t>878 632,35</w:t>
      </w:r>
      <w:r w:rsidRPr="009E75CE">
        <w:rPr>
          <w:sz w:val="22"/>
          <w:szCs w:val="22"/>
        </w:rPr>
        <w:t xml:space="preserve"> Kč)</w:t>
      </w:r>
    </w:p>
    <w:p w:rsidR="006F1D08" w:rsidRDefault="006F1D08" w:rsidP="00801F59">
      <w:pPr>
        <w:jc w:val="both"/>
        <w:rPr>
          <w:sz w:val="22"/>
          <w:szCs w:val="22"/>
        </w:rPr>
      </w:pPr>
    </w:p>
    <w:p w:rsidR="00F979DB" w:rsidRDefault="007A1D9C" w:rsidP="007A1D9C">
      <w:pPr>
        <w:autoSpaceDE w:val="0"/>
        <w:autoSpaceDN w:val="0"/>
        <w:adjustRightInd w:val="0"/>
        <w:jc w:val="both"/>
        <w:rPr>
          <w:rFonts w:eastAsia="Calibri"/>
          <w:sz w:val="22"/>
          <w:szCs w:val="22"/>
          <w:lang w:eastAsia="en-US"/>
        </w:rPr>
      </w:pPr>
      <w:r>
        <w:rPr>
          <w:rFonts w:eastAsia="Calibri"/>
          <w:sz w:val="22"/>
          <w:szCs w:val="22"/>
          <w:lang w:eastAsia="en-US"/>
        </w:rPr>
        <w:t xml:space="preserve">Projekt vytváří vhodné podmínky a prostředí pro nový způsob poskytování pobytových sociálních služeb v Olomouckém kraji, které umožní kvalitnější život lidem s mentálním a kombinovaným postižením. </w:t>
      </w:r>
    </w:p>
    <w:p w:rsidR="007A1D9C" w:rsidRDefault="007A1D9C" w:rsidP="007A1D9C">
      <w:pPr>
        <w:autoSpaceDE w:val="0"/>
        <w:autoSpaceDN w:val="0"/>
        <w:adjustRightInd w:val="0"/>
        <w:jc w:val="both"/>
        <w:rPr>
          <w:rFonts w:eastAsia="Calibri"/>
          <w:sz w:val="22"/>
          <w:szCs w:val="22"/>
          <w:lang w:eastAsia="en-US"/>
        </w:rPr>
      </w:pPr>
      <w:r>
        <w:rPr>
          <w:rFonts w:eastAsia="Calibri"/>
          <w:sz w:val="22"/>
          <w:szCs w:val="22"/>
          <w:lang w:eastAsia="en-US"/>
        </w:rPr>
        <w:t xml:space="preserve">Olomoucký kraj společně s partnerem projektu </w:t>
      </w:r>
      <w:proofErr w:type="spellStart"/>
      <w:r>
        <w:rPr>
          <w:rFonts w:eastAsia="Calibri"/>
          <w:sz w:val="22"/>
          <w:szCs w:val="22"/>
          <w:lang w:eastAsia="en-US"/>
        </w:rPr>
        <w:t>Vincentinum</w:t>
      </w:r>
      <w:proofErr w:type="spellEnd"/>
      <w:r>
        <w:rPr>
          <w:rFonts w:eastAsia="Calibri"/>
          <w:sz w:val="22"/>
          <w:szCs w:val="22"/>
          <w:lang w:eastAsia="en-US"/>
        </w:rPr>
        <w:t xml:space="preserve"> - poskytovatel sociálních služeb - vybudoval v lokalitách Lužice, Uničov, Šternberk, Šumperk nové domácnosti a vytvořil podmínky pro přechod z ústavního způsobu života do přirozeného prostředí. </w:t>
      </w:r>
    </w:p>
    <w:p w:rsidR="007A1D9C" w:rsidRDefault="007A1D9C" w:rsidP="007A1D9C">
      <w:pPr>
        <w:autoSpaceDE w:val="0"/>
        <w:autoSpaceDN w:val="0"/>
        <w:adjustRightInd w:val="0"/>
        <w:jc w:val="both"/>
        <w:rPr>
          <w:rFonts w:eastAsia="Calibri"/>
          <w:sz w:val="22"/>
          <w:szCs w:val="22"/>
          <w:lang w:eastAsia="en-US"/>
        </w:rPr>
      </w:pPr>
    </w:p>
    <w:p w:rsidR="007A1D9C" w:rsidRDefault="007A1D9C" w:rsidP="007A1D9C">
      <w:pPr>
        <w:autoSpaceDE w:val="0"/>
        <w:autoSpaceDN w:val="0"/>
        <w:adjustRightInd w:val="0"/>
        <w:jc w:val="both"/>
        <w:rPr>
          <w:rFonts w:eastAsia="Calibri"/>
          <w:sz w:val="22"/>
          <w:szCs w:val="22"/>
          <w:lang w:eastAsia="en-US"/>
        </w:rPr>
      </w:pPr>
      <w:r>
        <w:rPr>
          <w:rFonts w:eastAsia="Calibri"/>
          <w:sz w:val="22"/>
          <w:szCs w:val="22"/>
          <w:lang w:eastAsia="en-US"/>
        </w:rPr>
        <w:t xml:space="preserve">V </w:t>
      </w:r>
      <w:r>
        <w:rPr>
          <w:rFonts w:eastAsia="Calibri"/>
          <w:b/>
          <w:sz w:val="22"/>
          <w:szCs w:val="22"/>
          <w:lang w:eastAsia="en-US"/>
        </w:rPr>
        <w:t>obci Lužice</w:t>
      </w:r>
      <w:r>
        <w:rPr>
          <w:rFonts w:eastAsia="Calibri"/>
          <w:sz w:val="22"/>
          <w:szCs w:val="22"/>
          <w:lang w:eastAsia="en-US"/>
        </w:rPr>
        <w:t xml:space="preserve"> bude poskytována služba domova se zvláštním režimem pro 6 klientů, ve </w:t>
      </w:r>
      <w:r>
        <w:rPr>
          <w:rFonts w:eastAsia="Calibri"/>
          <w:b/>
          <w:sz w:val="22"/>
          <w:szCs w:val="22"/>
          <w:lang w:eastAsia="en-US"/>
        </w:rPr>
        <w:t>městě Uničov</w:t>
      </w:r>
      <w:r>
        <w:rPr>
          <w:rFonts w:eastAsia="Calibri"/>
          <w:sz w:val="22"/>
          <w:szCs w:val="22"/>
          <w:lang w:eastAsia="en-US"/>
        </w:rPr>
        <w:t xml:space="preserve"> bude poskytována služba domova pro osoby se zdravotním postižením pro 24 klientů, </w:t>
      </w:r>
      <w:r w:rsidR="00B43DE6">
        <w:rPr>
          <w:rFonts w:eastAsia="Calibri"/>
          <w:sz w:val="22"/>
          <w:szCs w:val="22"/>
          <w:lang w:eastAsia="en-US"/>
        </w:rPr>
        <w:br/>
      </w:r>
      <w:r>
        <w:rPr>
          <w:rFonts w:eastAsia="Calibri"/>
          <w:sz w:val="22"/>
          <w:szCs w:val="22"/>
          <w:lang w:eastAsia="en-US"/>
        </w:rPr>
        <w:t xml:space="preserve">ve </w:t>
      </w:r>
      <w:r>
        <w:rPr>
          <w:rFonts w:eastAsia="Calibri"/>
          <w:b/>
          <w:sz w:val="22"/>
          <w:szCs w:val="22"/>
          <w:lang w:eastAsia="en-US"/>
        </w:rPr>
        <w:t>městě Šternberk</w:t>
      </w:r>
      <w:r>
        <w:rPr>
          <w:rFonts w:eastAsia="Calibri"/>
          <w:sz w:val="22"/>
          <w:szCs w:val="22"/>
          <w:lang w:eastAsia="en-US"/>
        </w:rPr>
        <w:t xml:space="preserve"> bude poskytována služba domova se zvláštním režimem pro 12 klientů </w:t>
      </w:r>
      <w:r w:rsidR="00B43DE6">
        <w:rPr>
          <w:rFonts w:eastAsia="Calibri"/>
          <w:sz w:val="22"/>
          <w:szCs w:val="22"/>
          <w:lang w:eastAsia="en-US"/>
        </w:rPr>
        <w:br/>
      </w:r>
      <w:r>
        <w:rPr>
          <w:rFonts w:eastAsia="Calibri"/>
          <w:sz w:val="22"/>
          <w:szCs w:val="22"/>
          <w:lang w:eastAsia="en-US"/>
        </w:rPr>
        <w:t xml:space="preserve">a </w:t>
      </w:r>
      <w:r>
        <w:rPr>
          <w:rFonts w:eastAsia="Calibri"/>
          <w:b/>
          <w:sz w:val="22"/>
          <w:szCs w:val="22"/>
          <w:lang w:eastAsia="en-US"/>
        </w:rPr>
        <w:t>ve městě Šumperk</w:t>
      </w:r>
      <w:r>
        <w:rPr>
          <w:rFonts w:eastAsia="Calibri"/>
          <w:sz w:val="22"/>
          <w:szCs w:val="22"/>
          <w:lang w:eastAsia="en-US"/>
        </w:rPr>
        <w:t xml:space="preserve"> bude poskytována služba chráněného bydlení pro 6 klientů a domov pro osoby se zdravotním postižením pro 12 klientů.</w:t>
      </w:r>
    </w:p>
    <w:p w:rsidR="008C3B4A" w:rsidRDefault="008C3B4A" w:rsidP="008C3B4A">
      <w:pPr>
        <w:spacing w:after="120"/>
        <w:rPr>
          <w:sz w:val="22"/>
          <w:szCs w:val="22"/>
        </w:rPr>
      </w:pPr>
    </w:p>
    <w:p w:rsidR="008C3B4A" w:rsidRDefault="008C3B4A" w:rsidP="008C3B4A">
      <w:pPr>
        <w:spacing w:after="120"/>
        <w:rPr>
          <w:sz w:val="22"/>
          <w:szCs w:val="22"/>
        </w:rPr>
      </w:pPr>
      <w:r>
        <w:rPr>
          <w:sz w:val="22"/>
          <w:szCs w:val="22"/>
        </w:rPr>
        <w:t>Šumperk – Revoluční ulice, rekonstrukce – chráněné bydlení pro 6 klientů</w:t>
      </w:r>
    </w:p>
    <w:p w:rsidR="00A75862" w:rsidRDefault="002724A8" w:rsidP="00E5456D">
      <w:pPr>
        <w:spacing w:after="120"/>
        <w:rPr>
          <w:color w:val="000080"/>
          <w:sz w:val="22"/>
          <w:szCs w:val="22"/>
        </w:rPr>
      </w:pPr>
      <w:r>
        <w:rPr>
          <w:noProof/>
        </w:rPr>
        <w:drawing>
          <wp:anchor distT="0" distB="0" distL="114300" distR="114300" simplePos="0" relativeHeight="251657216" behindDoc="0" locked="0" layoutInCell="1" allowOverlap="1" wp14:anchorId="74CD9DC3" wp14:editId="0F2A445E">
            <wp:simplePos x="0" y="0"/>
            <wp:positionH relativeFrom="column">
              <wp:posOffset>3234055</wp:posOffset>
            </wp:positionH>
            <wp:positionV relativeFrom="paragraph">
              <wp:posOffset>195580</wp:posOffset>
            </wp:positionV>
            <wp:extent cx="1666875" cy="2052955"/>
            <wp:effectExtent l="0" t="0" r="9525" b="4445"/>
            <wp:wrapSquare wrapText="bothSides"/>
            <wp:docPr id="31" name="Obrázek 31" descr="P109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908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6875" cy="20529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38D8DA8" wp14:editId="4880591F">
            <wp:simplePos x="0" y="0"/>
            <wp:positionH relativeFrom="column">
              <wp:posOffset>300355</wp:posOffset>
            </wp:positionH>
            <wp:positionV relativeFrom="paragraph">
              <wp:posOffset>195580</wp:posOffset>
            </wp:positionV>
            <wp:extent cx="2343150" cy="2050415"/>
            <wp:effectExtent l="0" t="0" r="0" b="6985"/>
            <wp:wrapSquare wrapText="bothSides"/>
            <wp:docPr id="12" name="Obrázek 12" descr="P109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908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3150" cy="2050415"/>
                    </a:xfrm>
                    <a:prstGeom prst="rect">
                      <a:avLst/>
                    </a:prstGeom>
                    <a:noFill/>
                  </pic:spPr>
                </pic:pic>
              </a:graphicData>
            </a:graphic>
            <wp14:sizeRelH relativeFrom="page">
              <wp14:pctWidth>0</wp14:pctWidth>
            </wp14:sizeRelH>
            <wp14:sizeRelV relativeFrom="page">
              <wp14:pctHeight>0</wp14:pctHeight>
            </wp14:sizeRelV>
          </wp:anchor>
        </w:drawing>
      </w:r>
    </w:p>
    <w:p w:rsidR="008C3B4A" w:rsidRDefault="008C3B4A" w:rsidP="00E5456D">
      <w:pPr>
        <w:spacing w:after="120"/>
        <w:rPr>
          <w:color w:val="000080"/>
          <w:sz w:val="22"/>
          <w:szCs w:val="22"/>
        </w:rPr>
      </w:pPr>
    </w:p>
    <w:p w:rsidR="008C3B4A" w:rsidRDefault="008C3B4A" w:rsidP="00E5456D">
      <w:pPr>
        <w:spacing w:after="120"/>
        <w:rPr>
          <w:color w:val="000080"/>
          <w:sz w:val="22"/>
          <w:szCs w:val="22"/>
        </w:rPr>
      </w:pPr>
    </w:p>
    <w:p w:rsidR="008C3B4A" w:rsidRDefault="008C3B4A" w:rsidP="00E5456D">
      <w:pPr>
        <w:spacing w:after="120"/>
        <w:rPr>
          <w:color w:val="000080"/>
          <w:sz w:val="22"/>
          <w:szCs w:val="22"/>
        </w:rPr>
      </w:pPr>
    </w:p>
    <w:p w:rsidR="008C3B4A" w:rsidRDefault="008C3B4A" w:rsidP="00E5456D">
      <w:pPr>
        <w:spacing w:after="120"/>
        <w:rPr>
          <w:color w:val="000080"/>
          <w:sz w:val="22"/>
          <w:szCs w:val="22"/>
        </w:rPr>
      </w:pPr>
    </w:p>
    <w:p w:rsidR="006F1D08" w:rsidRDefault="006F1D08" w:rsidP="00C0537F">
      <w:pPr>
        <w:jc w:val="both"/>
        <w:rPr>
          <w:rStyle w:val="slovnik"/>
          <w:b/>
          <w:sz w:val="22"/>
          <w:szCs w:val="22"/>
        </w:rPr>
      </w:pPr>
    </w:p>
    <w:p w:rsidR="006F1D08" w:rsidRDefault="006F1D08" w:rsidP="00C0537F">
      <w:pPr>
        <w:jc w:val="both"/>
        <w:rPr>
          <w:rStyle w:val="slovnik"/>
          <w:b/>
          <w:sz w:val="22"/>
          <w:szCs w:val="22"/>
        </w:rPr>
      </w:pPr>
    </w:p>
    <w:p w:rsidR="006F1D08" w:rsidRDefault="006F1D08" w:rsidP="00C0537F">
      <w:pPr>
        <w:jc w:val="both"/>
        <w:rPr>
          <w:rStyle w:val="slovnik"/>
          <w:b/>
          <w:sz w:val="22"/>
          <w:szCs w:val="22"/>
        </w:rPr>
      </w:pPr>
    </w:p>
    <w:p w:rsidR="006F1D08" w:rsidRDefault="006F1D08" w:rsidP="00C0537F">
      <w:pPr>
        <w:jc w:val="both"/>
        <w:rPr>
          <w:rStyle w:val="slovnik"/>
          <w:b/>
          <w:sz w:val="22"/>
          <w:szCs w:val="22"/>
        </w:rPr>
      </w:pPr>
    </w:p>
    <w:p w:rsidR="006F1D08" w:rsidRDefault="006F1D08" w:rsidP="00C0537F">
      <w:pPr>
        <w:jc w:val="both"/>
        <w:rPr>
          <w:rStyle w:val="slovnik"/>
          <w:b/>
          <w:sz w:val="22"/>
          <w:szCs w:val="22"/>
        </w:rPr>
      </w:pPr>
    </w:p>
    <w:p w:rsidR="006F1D08" w:rsidRDefault="006F1D08" w:rsidP="00C0537F">
      <w:pPr>
        <w:jc w:val="both"/>
        <w:rPr>
          <w:rStyle w:val="slovnik"/>
          <w:b/>
          <w:sz w:val="22"/>
          <w:szCs w:val="22"/>
        </w:rPr>
      </w:pPr>
    </w:p>
    <w:p w:rsidR="006F1D08" w:rsidRDefault="006F1D08" w:rsidP="00C0537F">
      <w:pPr>
        <w:jc w:val="both"/>
        <w:rPr>
          <w:rStyle w:val="slovnik"/>
          <w:b/>
          <w:sz w:val="22"/>
          <w:szCs w:val="22"/>
        </w:rPr>
      </w:pPr>
    </w:p>
    <w:p w:rsidR="008F360F" w:rsidRDefault="008F360F" w:rsidP="00C0537F">
      <w:pPr>
        <w:jc w:val="both"/>
        <w:rPr>
          <w:rStyle w:val="slovnik"/>
          <w:b/>
          <w:sz w:val="22"/>
          <w:szCs w:val="22"/>
        </w:rPr>
      </w:pPr>
    </w:p>
    <w:p w:rsidR="00A75862" w:rsidRDefault="00A75862" w:rsidP="00C0537F">
      <w:pPr>
        <w:jc w:val="both"/>
        <w:rPr>
          <w:rStyle w:val="slovnik"/>
          <w:b/>
          <w:sz w:val="22"/>
          <w:szCs w:val="22"/>
        </w:rPr>
      </w:pPr>
      <w:r>
        <w:rPr>
          <w:rStyle w:val="slovnik"/>
          <w:b/>
          <w:sz w:val="22"/>
          <w:szCs w:val="22"/>
        </w:rPr>
        <w:lastRenderedPageBreak/>
        <w:t>O</w:t>
      </w:r>
      <w:r w:rsidRPr="00DF0769">
        <w:rPr>
          <w:rStyle w:val="slovnik"/>
          <w:b/>
          <w:sz w:val="22"/>
          <w:szCs w:val="22"/>
        </w:rPr>
        <w:t>blast intervence 3.</w:t>
      </w:r>
      <w:r>
        <w:rPr>
          <w:rStyle w:val="slovnik"/>
          <w:b/>
          <w:sz w:val="22"/>
          <w:szCs w:val="22"/>
        </w:rPr>
        <w:t>2</w:t>
      </w:r>
      <w:r w:rsidR="009921AA" w:rsidRPr="009921AA">
        <w:rPr>
          <w:sz w:val="22"/>
          <w:szCs w:val="22"/>
        </w:rPr>
        <w:t xml:space="preserve"> </w:t>
      </w:r>
      <w:r w:rsidR="009921AA" w:rsidRPr="00555962">
        <w:rPr>
          <w:sz w:val="22"/>
          <w:szCs w:val="22"/>
        </w:rPr>
        <w:t>Služby v oblasti veřejného zdraví</w:t>
      </w:r>
    </w:p>
    <w:p w:rsidR="009921AA" w:rsidRDefault="00A75862" w:rsidP="009921AA">
      <w:pPr>
        <w:jc w:val="both"/>
        <w:rPr>
          <w:sz w:val="22"/>
          <w:szCs w:val="22"/>
          <w:highlight w:val="lightGray"/>
        </w:rPr>
      </w:pPr>
      <w:r w:rsidRPr="00BB3362">
        <w:rPr>
          <w:b/>
          <w:sz w:val="22"/>
          <w:szCs w:val="22"/>
        </w:rPr>
        <w:t>Název projektu (registrační číslo)</w:t>
      </w:r>
      <w:r w:rsidRPr="0075308C">
        <w:rPr>
          <w:b/>
          <w:sz w:val="22"/>
          <w:szCs w:val="22"/>
        </w:rPr>
        <w:t xml:space="preserve">: </w:t>
      </w:r>
      <w:r w:rsidR="009921AA" w:rsidRPr="009921AA">
        <w:rPr>
          <w:sz w:val="22"/>
          <w:szCs w:val="22"/>
        </w:rPr>
        <w:t>Pardubická krajská nemocnice, a.s. - přístrojové vybavení Komplexního kardiovaskulárního centra</w:t>
      </w:r>
      <w:r w:rsidR="00616AB2">
        <w:rPr>
          <w:sz w:val="22"/>
          <w:szCs w:val="22"/>
        </w:rPr>
        <w:t xml:space="preserve">, </w:t>
      </w:r>
      <w:r w:rsidR="009921AA" w:rsidRPr="009921AA">
        <w:rPr>
          <w:sz w:val="22"/>
          <w:szCs w:val="22"/>
        </w:rPr>
        <w:t>CZ.1.06/3.2.01/13.08661</w:t>
      </w:r>
    </w:p>
    <w:p w:rsidR="00A75862" w:rsidRPr="00555962" w:rsidRDefault="00A75862" w:rsidP="00395FA0">
      <w:pPr>
        <w:rPr>
          <w:sz w:val="22"/>
          <w:szCs w:val="22"/>
        </w:rPr>
      </w:pPr>
      <w:r w:rsidRPr="0075308C">
        <w:rPr>
          <w:b/>
          <w:sz w:val="22"/>
          <w:szCs w:val="22"/>
        </w:rPr>
        <w:t>Příjemce:</w:t>
      </w:r>
      <w:r w:rsidRPr="00555962">
        <w:rPr>
          <w:sz w:val="22"/>
          <w:szCs w:val="22"/>
        </w:rPr>
        <w:t xml:space="preserve"> </w:t>
      </w:r>
      <w:r w:rsidR="009921AA" w:rsidRPr="009921AA">
        <w:rPr>
          <w:sz w:val="22"/>
          <w:szCs w:val="22"/>
        </w:rPr>
        <w:t>Pardubická krajská nemocnice, a.s.</w:t>
      </w:r>
    </w:p>
    <w:p w:rsidR="00A75862" w:rsidRPr="0075308C" w:rsidRDefault="00A75862" w:rsidP="00395FA0">
      <w:pPr>
        <w:rPr>
          <w:b/>
          <w:sz w:val="22"/>
          <w:szCs w:val="22"/>
        </w:rPr>
      </w:pPr>
      <w:r w:rsidRPr="009921AA">
        <w:rPr>
          <w:b/>
          <w:sz w:val="22"/>
          <w:szCs w:val="22"/>
        </w:rPr>
        <w:t xml:space="preserve">Financování projektu: </w:t>
      </w:r>
      <w:r w:rsidRPr="009921AA">
        <w:rPr>
          <w:sz w:val="22"/>
          <w:szCs w:val="22"/>
        </w:rPr>
        <w:t xml:space="preserve">celkový rozpočet </w:t>
      </w:r>
      <w:r w:rsidR="009921AA" w:rsidRPr="009921AA">
        <w:rPr>
          <w:sz w:val="22"/>
          <w:szCs w:val="22"/>
        </w:rPr>
        <w:t>17 124 581 </w:t>
      </w:r>
      <w:r w:rsidRPr="009921AA">
        <w:rPr>
          <w:sz w:val="22"/>
          <w:szCs w:val="22"/>
        </w:rPr>
        <w:t>Kč (</w:t>
      </w:r>
      <w:r w:rsidR="009921AA" w:rsidRPr="009921AA">
        <w:rPr>
          <w:sz w:val="22"/>
          <w:szCs w:val="22"/>
        </w:rPr>
        <w:t>14 555 894 Kč příspěvek SF a 2 568 687 Kč příspěvek SR</w:t>
      </w:r>
      <w:r w:rsidRPr="009921AA">
        <w:rPr>
          <w:sz w:val="22"/>
          <w:szCs w:val="22"/>
        </w:rPr>
        <w:t>)</w:t>
      </w:r>
    </w:p>
    <w:p w:rsidR="00A75862" w:rsidRPr="00555962" w:rsidRDefault="00A75862" w:rsidP="00395FA0">
      <w:pPr>
        <w:rPr>
          <w:sz w:val="22"/>
          <w:szCs w:val="22"/>
        </w:rPr>
      </w:pPr>
    </w:p>
    <w:p w:rsidR="009921AA" w:rsidRPr="009921AA" w:rsidRDefault="007A1D9C" w:rsidP="009921AA">
      <w:pPr>
        <w:jc w:val="both"/>
        <w:rPr>
          <w:sz w:val="22"/>
          <w:szCs w:val="22"/>
        </w:rPr>
      </w:pPr>
      <w:r w:rsidRPr="009921AA">
        <w:rPr>
          <w:sz w:val="22"/>
          <w:szCs w:val="22"/>
        </w:rPr>
        <w:t xml:space="preserve">Projekt byl zaměřen na modernizaci a obnovu přístrojového vybavení komplexního kardiovaskulárního centra Pardubické krajské nemocnice. Předmětem projektu bylo pořízení </w:t>
      </w:r>
      <w:r>
        <w:rPr>
          <w:sz w:val="22"/>
          <w:szCs w:val="22"/>
        </w:rPr>
        <w:t>a</w:t>
      </w:r>
      <w:r w:rsidRPr="009921AA">
        <w:rPr>
          <w:sz w:val="22"/>
          <w:szCs w:val="22"/>
        </w:rPr>
        <w:t>ngiografické linky s </w:t>
      </w:r>
      <w:proofErr w:type="spellStart"/>
      <w:proofErr w:type="gramStart"/>
      <w:r w:rsidRPr="009921AA">
        <w:rPr>
          <w:sz w:val="22"/>
          <w:szCs w:val="22"/>
        </w:rPr>
        <w:t>flat</w:t>
      </w:r>
      <w:proofErr w:type="spellEnd"/>
      <w:proofErr w:type="gramEnd"/>
      <w:r w:rsidRPr="009921AA">
        <w:rPr>
          <w:sz w:val="22"/>
          <w:szCs w:val="22"/>
        </w:rPr>
        <w:t xml:space="preserve"> detektorem, která umožňuje lékařům provádění výkonů cévních </w:t>
      </w:r>
      <w:r w:rsidRPr="009921AA">
        <w:rPr>
          <w:sz w:val="22"/>
          <w:szCs w:val="22"/>
        </w:rPr>
        <w:br/>
        <w:t xml:space="preserve">i </w:t>
      </w:r>
      <w:proofErr w:type="spellStart"/>
      <w:r w:rsidRPr="009921AA">
        <w:rPr>
          <w:sz w:val="22"/>
          <w:szCs w:val="22"/>
        </w:rPr>
        <w:t>mimocévních</w:t>
      </w:r>
      <w:proofErr w:type="spellEnd"/>
      <w:r w:rsidRPr="009921AA">
        <w:rPr>
          <w:sz w:val="22"/>
          <w:szCs w:val="22"/>
        </w:rPr>
        <w:t xml:space="preserve">, zejména výkonů v oblasti tepen dolních končetin. Druhým pořízeným přístrojem byla </w:t>
      </w:r>
      <w:r>
        <w:rPr>
          <w:sz w:val="22"/>
          <w:szCs w:val="22"/>
        </w:rPr>
        <w:t>i</w:t>
      </w:r>
      <w:r w:rsidRPr="009921AA">
        <w:rPr>
          <w:sz w:val="22"/>
          <w:szCs w:val="22"/>
        </w:rPr>
        <w:t xml:space="preserve">ntraaortální balónková </w:t>
      </w:r>
      <w:proofErr w:type="spellStart"/>
      <w:r w:rsidRPr="009921AA">
        <w:rPr>
          <w:sz w:val="22"/>
          <w:szCs w:val="22"/>
        </w:rPr>
        <w:t>kontrapulzace</w:t>
      </w:r>
      <w:proofErr w:type="spellEnd"/>
      <w:r w:rsidRPr="009921AA">
        <w:rPr>
          <w:sz w:val="22"/>
          <w:szCs w:val="22"/>
        </w:rPr>
        <w:t>, která umožňuje poskytnout šetrnou metodou mechanickou podporu krevní cirkulace, což zlepšuje přežití pacientů např. s kardiogenním šokem, který komplikuje akutní koronární syndromy.</w:t>
      </w:r>
    </w:p>
    <w:p w:rsidR="009921AA" w:rsidRPr="009921AA" w:rsidRDefault="009921AA" w:rsidP="009921AA">
      <w:pPr>
        <w:rPr>
          <w:sz w:val="22"/>
          <w:szCs w:val="22"/>
        </w:rPr>
      </w:pPr>
      <w:r w:rsidRPr="009921AA">
        <w:rPr>
          <w:sz w:val="22"/>
          <w:szCs w:val="22"/>
        </w:rPr>
        <w:t>Angiografická linka</w:t>
      </w:r>
    </w:p>
    <w:p w:rsidR="009921AA" w:rsidRDefault="009921AA" w:rsidP="005E4887">
      <w:pPr>
        <w:jc w:val="both"/>
        <w:rPr>
          <w:rStyle w:val="slovnik"/>
          <w:b/>
          <w:sz w:val="22"/>
          <w:szCs w:val="22"/>
        </w:rPr>
      </w:pPr>
      <w:r>
        <w:rPr>
          <w:noProof/>
        </w:rPr>
        <w:drawing>
          <wp:inline distT="0" distB="0" distL="0" distR="0" wp14:anchorId="7EE7D419" wp14:editId="1EC0BB1F">
            <wp:extent cx="3133725" cy="2087423"/>
            <wp:effectExtent l="0" t="0" r="0" b="0"/>
            <wp:docPr id="1" name="Obrázek 1" descr="Nová angiolinka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Nová angiolinka (2)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2689" cy="2086733"/>
                    </a:xfrm>
                    <a:prstGeom prst="rect">
                      <a:avLst/>
                    </a:prstGeom>
                    <a:noFill/>
                    <a:ln>
                      <a:noFill/>
                    </a:ln>
                  </pic:spPr>
                </pic:pic>
              </a:graphicData>
            </a:graphic>
          </wp:inline>
        </w:drawing>
      </w:r>
    </w:p>
    <w:p w:rsidR="009921AA" w:rsidRDefault="009921AA" w:rsidP="005E4887">
      <w:pPr>
        <w:jc w:val="both"/>
        <w:rPr>
          <w:rStyle w:val="slovnik"/>
          <w:b/>
          <w:sz w:val="22"/>
          <w:szCs w:val="22"/>
        </w:rPr>
      </w:pPr>
    </w:p>
    <w:p w:rsidR="002B492C" w:rsidRDefault="002B492C" w:rsidP="002F3365">
      <w:pPr>
        <w:jc w:val="both"/>
        <w:rPr>
          <w:b/>
          <w:sz w:val="22"/>
          <w:szCs w:val="22"/>
        </w:rPr>
      </w:pPr>
    </w:p>
    <w:p w:rsidR="002B492C" w:rsidRDefault="002B492C" w:rsidP="002F3365">
      <w:pPr>
        <w:jc w:val="both"/>
        <w:rPr>
          <w:b/>
          <w:sz w:val="22"/>
          <w:szCs w:val="22"/>
        </w:rPr>
      </w:pPr>
    </w:p>
    <w:p w:rsidR="008C6F0C" w:rsidRDefault="00A75862" w:rsidP="002F3365">
      <w:pPr>
        <w:jc w:val="both"/>
        <w:rPr>
          <w:b/>
          <w:sz w:val="22"/>
          <w:szCs w:val="22"/>
        </w:rPr>
      </w:pPr>
      <w:r w:rsidRPr="00BB3362">
        <w:rPr>
          <w:b/>
          <w:sz w:val="22"/>
          <w:szCs w:val="22"/>
        </w:rPr>
        <w:t>Oblast intervence:</w:t>
      </w:r>
      <w:r w:rsidRPr="0075308C">
        <w:rPr>
          <w:sz w:val="22"/>
          <w:szCs w:val="22"/>
        </w:rPr>
        <w:t xml:space="preserve"> 3.3 Služby v oblasti zaměstnanosti - aktivita a) podpora (investiční) transformace a posilování služeb zaměstnanosti v ČR </w:t>
      </w:r>
    </w:p>
    <w:p w:rsidR="008B26C8" w:rsidRDefault="00A75862" w:rsidP="002F3365">
      <w:pPr>
        <w:jc w:val="both"/>
        <w:rPr>
          <w:sz w:val="22"/>
          <w:szCs w:val="22"/>
        </w:rPr>
      </w:pPr>
      <w:r w:rsidRPr="0075308C">
        <w:rPr>
          <w:b/>
          <w:sz w:val="22"/>
          <w:szCs w:val="22"/>
        </w:rPr>
        <w:t>Název projektu (registrační číslo):</w:t>
      </w:r>
      <w:r w:rsidRPr="0075308C">
        <w:rPr>
          <w:sz w:val="22"/>
          <w:szCs w:val="22"/>
        </w:rPr>
        <w:t xml:space="preserve"> </w:t>
      </w:r>
      <w:r w:rsidR="00927DE9" w:rsidRPr="00045693">
        <w:rPr>
          <w:sz w:val="22"/>
          <w:szCs w:val="22"/>
        </w:rPr>
        <w:t xml:space="preserve">ÚP ČR – Havířov – rekonstrukce pavilonu B pro potřeby zaměstnanosti, </w:t>
      </w:r>
      <w:r w:rsidR="00FB17F0">
        <w:rPr>
          <w:sz w:val="22"/>
          <w:szCs w:val="22"/>
        </w:rPr>
        <w:t>C</w:t>
      </w:r>
      <w:r w:rsidR="00927DE9" w:rsidRPr="00045693">
        <w:rPr>
          <w:sz w:val="22"/>
          <w:szCs w:val="22"/>
        </w:rPr>
        <w:t>Z.1.06/3.3.00/04.08419</w:t>
      </w:r>
    </w:p>
    <w:p w:rsidR="00A75862" w:rsidRPr="00AD0C19" w:rsidRDefault="00A75862" w:rsidP="002F3365">
      <w:pPr>
        <w:jc w:val="both"/>
        <w:rPr>
          <w:sz w:val="22"/>
          <w:szCs w:val="22"/>
        </w:rPr>
      </w:pPr>
      <w:r w:rsidRPr="00AD0C19">
        <w:rPr>
          <w:b/>
          <w:sz w:val="22"/>
          <w:szCs w:val="22"/>
        </w:rPr>
        <w:t>Příjemce:</w:t>
      </w:r>
      <w:r w:rsidRPr="00AD0C19">
        <w:rPr>
          <w:sz w:val="22"/>
          <w:szCs w:val="22"/>
        </w:rPr>
        <w:t xml:space="preserve"> </w:t>
      </w:r>
      <w:r w:rsidR="00927DE9">
        <w:rPr>
          <w:sz w:val="22"/>
          <w:szCs w:val="22"/>
        </w:rPr>
        <w:t>Úřad práce České republiky</w:t>
      </w:r>
    </w:p>
    <w:p w:rsidR="00A75862" w:rsidRPr="009B1164" w:rsidRDefault="00A75862" w:rsidP="005242D1">
      <w:pPr>
        <w:rPr>
          <w:sz w:val="22"/>
          <w:szCs w:val="22"/>
        </w:rPr>
      </w:pPr>
      <w:r w:rsidRPr="009B1164">
        <w:rPr>
          <w:b/>
          <w:sz w:val="22"/>
          <w:szCs w:val="22"/>
        </w:rPr>
        <w:t>Financování projektu:</w:t>
      </w:r>
      <w:r w:rsidRPr="009B1164">
        <w:rPr>
          <w:sz w:val="22"/>
          <w:szCs w:val="22"/>
        </w:rPr>
        <w:t xml:space="preserve"> </w:t>
      </w:r>
      <w:r w:rsidR="00927DE9" w:rsidRPr="00045693">
        <w:rPr>
          <w:sz w:val="22"/>
          <w:szCs w:val="22"/>
        </w:rPr>
        <w:t>Celkový rozpočet: 25 118 014,00 </w:t>
      </w:r>
      <w:r w:rsidR="00DA1251" w:rsidRPr="00045693">
        <w:rPr>
          <w:sz w:val="22"/>
          <w:szCs w:val="22"/>
        </w:rPr>
        <w:t>Kč (21 350 311,00</w:t>
      </w:r>
      <w:r w:rsidR="00927DE9" w:rsidRPr="00045693">
        <w:rPr>
          <w:sz w:val="22"/>
          <w:szCs w:val="22"/>
        </w:rPr>
        <w:t xml:space="preserve"> Kč příspěvek SF </w:t>
      </w:r>
      <w:r w:rsidR="005242D1">
        <w:rPr>
          <w:sz w:val="22"/>
          <w:szCs w:val="22"/>
        </w:rPr>
        <w:br/>
      </w:r>
      <w:r w:rsidR="00927DE9" w:rsidRPr="00045693">
        <w:rPr>
          <w:sz w:val="22"/>
          <w:szCs w:val="22"/>
        </w:rPr>
        <w:t>a 3 767 703,00 příspěvek SR)</w:t>
      </w:r>
    </w:p>
    <w:p w:rsidR="00C3451F" w:rsidRDefault="00C3451F" w:rsidP="007A1D9C">
      <w:pPr>
        <w:jc w:val="both"/>
        <w:rPr>
          <w:b/>
          <w:sz w:val="22"/>
          <w:szCs w:val="22"/>
        </w:rPr>
      </w:pPr>
    </w:p>
    <w:p w:rsidR="007A1D9C" w:rsidRPr="00927DE9" w:rsidRDefault="007A1D9C" w:rsidP="007A1D9C">
      <w:pPr>
        <w:jc w:val="both"/>
        <w:rPr>
          <w:sz w:val="22"/>
          <w:szCs w:val="22"/>
        </w:rPr>
      </w:pPr>
      <w:r w:rsidRPr="00927DE9">
        <w:rPr>
          <w:sz w:val="22"/>
          <w:szCs w:val="22"/>
        </w:rPr>
        <w:t xml:space="preserve">Cílem projektu je zajistit větší dostupnost v poskytování služeb klientům v oblasti zaměstnanosti </w:t>
      </w:r>
      <w:r>
        <w:rPr>
          <w:sz w:val="22"/>
          <w:szCs w:val="22"/>
        </w:rPr>
        <w:br/>
      </w:r>
      <w:r w:rsidRPr="00927DE9">
        <w:rPr>
          <w:sz w:val="22"/>
          <w:szCs w:val="22"/>
        </w:rPr>
        <w:t>a nepojistných sociálních dávek. Realizací projektu dojde k úspoře provozních nákladů a nákladů na úhradu nájemného v pronajatých prostorách.</w:t>
      </w:r>
    </w:p>
    <w:p w:rsidR="007A1D9C" w:rsidRPr="00927DE9" w:rsidRDefault="007A1D9C" w:rsidP="007A1D9C">
      <w:pPr>
        <w:pStyle w:val="Normlnweb"/>
        <w:jc w:val="both"/>
        <w:rPr>
          <w:rFonts w:ascii="Times New Roman" w:hAnsi="Times New Roman" w:cs="Times New Roman"/>
          <w:sz w:val="22"/>
          <w:szCs w:val="22"/>
        </w:rPr>
      </w:pPr>
      <w:r w:rsidRPr="00927DE9">
        <w:rPr>
          <w:rFonts w:ascii="Times New Roman" w:hAnsi="Times New Roman" w:cs="Times New Roman"/>
          <w:sz w:val="22"/>
          <w:szCs w:val="22"/>
        </w:rPr>
        <w:t>Kontaktní pracoviště Úřadu práce ČR v Havířově je v současné době dislokováno ve dvou objektech. Centralizací kontaktního pracoviště do jedné budovy</w:t>
      </w:r>
      <w:r>
        <w:rPr>
          <w:rFonts w:ascii="Times New Roman" w:hAnsi="Times New Roman" w:cs="Times New Roman"/>
          <w:sz w:val="22"/>
          <w:szCs w:val="22"/>
        </w:rPr>
        <w:t xml:space="preserve"> </w:t>
      </w:r>
      <w:r w:rsidRPr="00927DE9">
        <w:rPr>
          <w:rFonts w:ascii="Times New Roman" w:hAnsi="Times New Roman" w:cs="Times New Roman"/>
          <w:sz w:val="22"/>
          <w:szCs w:val="22"/>
        </w:rPr>
        <w:t>se vyřeší aktuální problémy, jako je dostupnost služeb, zajištění bezbariérového přístupu, úspora nákladů na provoz a údržbu budov a úspora nákladů na úhradu nájemného v pronajatých prostorách. Rekonstrukcí budou vytvořeny odpovídající podmínky pro klienty a pro zaměstnance.</w:t>
      </w:r>
    </w:p>
    <w:p w:rsidR="007A1D9C" w:rsidRPr="00927DE9" w:rsidRDefault="007A1D9C" w:rsidP="007A1D9C">
      <w:pPr>
        <w:pStyle w:val="Normlnweb"/>
        <w:jc w:val="both"/>
        <w:rPr>
          <w:rFonts w:ascii="Times New Roman" w:hAnsi="Times New Roman" w:cs="Times New Roman"/>
          <w:sz w:val="22"/>
          <w:szCs w:val="22"/>
        </w:rPr>
      </w:pPr>
      <w:r w:rsidRPr="00927DE9">
        <w:rPr>
          <w:rFonts w:ascii="Times New Roman" w:hAnsi="Times New Roman" w:cs="Times New Roman"/>
          <w:sz w:val="22"/>
          <w:szCs w:val="22"/>
        </w:rPr>
        <w:t xml:space="preserve">Rekonstrukce objektu kontaktního pracoviště Úřadu práce ČR Havířov zahrnuje komplexní rekonstrukci I. PP., III. A IV. NP. V celé budově bude provedena výměna oken a dveří, zateplení pláště a střechy, vybudování vnějšího výtahu </w:t>
      </w:r>
      <w:r>
        <w:rPr>
          <w:rFonts w:ascii="Times New Roman" w:hAnsi="Times New Roman" w:cs="Times New Roman"/>
          <w:sz w:val="22"/>
          <w:szCs w:val="22"/>
        </w:rPr>
        <w:t>a</w:t>
      </w:r>
      <w:r w:rsidRPr="00927DE9">
        <w:rPr>
          <w:rFonts w:ascii="Times New Roman" w:hAnsi="Times New Roman" w:cs="Times New Roman"/>
          <w:sz w:val="22"/>
          <w:szCs w:val="22"/>
        </w:rPr>
        <w:t xml:space="preserve"> bezbariérového vstupu do objektu. </w:t>
      </w:r>
    </w:p>
    <w:p w:rsidR="00A75862" w:rsidRPr="00CF63B2" w:rsidRDefault="00927DE9" w:rsidP="008B26C8">
      <w:pPr>
        <w:spacing w:after="120"/>
        <w:rPr>
          <w:sz w:val="22"/>
          <w:szCs w:val="22"/>
        </w:rPr>
      </w:pPr>
      <w:r>
        <w:rPr>
          <w:noProof/>
          <w:color w:val="0000FF"/>
        </w:rPr>
        <w:lastRenderedPageBreak/>
        <w:drawing>
          <wp:inline distT="0" distB="0" distL="0" distR="0" wp14:anchorId="62D74749" wp14:editId="77D6B01B">
            <wp:extent cx="2743200" cy="2000250"/>
            <wp:effectExtent l="0" t="0" r="0" b="0"/>
            <wp:docPr id="10" name="Obrázek 10" descr="náhled">
              <a:hlinkClick xmlns:a="http://schemas.openxmlformats.org/drawingml/2006/main" r:id="rId37" tgtFrame="foto" tooltip="&quot;Projekt rekonstrukce kontaktního pracoviště Úřadu práce ČR v Havířově&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áhled">
                      <a:hlinkClick r:id="rId37" tgtFrame="foto" tooltip="&quot;Projekt rekonstrukce kontaktního pracoviště Úřadu práce ČR v Havířově&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inline>
        </w:drawing>
      </w:r>
    </w:p>
    <w:p w:rsidR="008C2491" w:rsidRDefault="008C2491" w:rsidP="00A237CC">
      <w:pPr>
        <w:rPr>
          <w:b/>
          <w:sz w:val="22"/>
          <w:szCs w:val="22"/>
        </w:rPr>
      </w:pPr>
    </w:p>
    <w:p w:rsidR="00F979DB" w:rsidRDefault="00F979DB" w:rsidP="00A237CC">
      <w:pPr>
        <w:rPr>
          <w:b/>
          <w:sz w:val="22"/>
          <w:szCs w:val="22"/>
        </w:rPr>
      </w:pPr>
    </w:p>
    <w:p w:rsidR="00A75862" w:rsidRPr="0075308C" w:rsidRDefault="00A75862" w:rsidP="00A237CC">
      <w:pPr>
        <w:rPr>
          <w:sz w:val="22"/>
          <w:szCs w:val="22"/>
        </w:rPr>
      </w:pPr>
      <w:r w:rsidRPr="00BB3362">
        <w:rPr>
          <w:b/>
          <w:sz w:val="22"/>
          <w:szCs w:val="22"/>
        </w:rPr>
        <w:t>Oblast intervence:</w:t>
      </w:r>
      <w:r w:rsidRPr="0075308C">
        <w:rPr>
          <w:sz w:val="22"/>
          <w:szCs w:val="22"/>
        </w:rPr>
        <w:t xml:space="preserve"> 3.4 Služby v oblasti bezpečnosti, prevence a řešení rizik</w:t>
      </w:r>
    </w:p>
    <w:p w:rsidR="003346D4" w:rsidRPr="00C41C0C" w:rsidRDefault="00A75862" w:rsidP="003346D4">
      <w:pPr>
        <w:jc w:val="both"/>
        <w:rPr>
          <w:sz w:val="22"/>
          <w:szCs w:val="22"/>
        </w:rPr>
      </w:pPr>
      <w:r w:rsidRPr="0075308C">
        <w:rPr>
          <w:b/>
          <w:sz w:val="22"/>
          <w:szCs w:val="22"/>
        </w:rPr>
        <w:t xml:space="preserve">Název projektu (registrační číslo): </w:t>
      </w:r>
      <w:r w:rsidR="003346D4" w:rsidRPr="00C41C0C">
        <w:rPr>
          <w:sz w:val="22"/>
          <w:szCs w:val="22"/>
        </w:rPr>
        <w:t xml:space="preserve">Technologické vybavení Zdravotnické záchranné služby Zlínského kraje, </w:t>
      </w:r>
      <w:proofErr w:type="spellStart"/>
      <w:proofErr w:type="gramStart"/>
      <w:r w:rsidR="003346D4" w:rsidRPr="00C41C0C">
        <w:rPr>
          <w:sz w:val="22"/>
          <w:szCs w:val="22"/>
        </w:rPr>
        <w:t>p.o</w:t>
      </w:r>
      <w:proofErr w:type="spellEnd"/>
      <w:r w:rsidR="003346D4" w:rsidRPr="00C41C0C">
        <w:rPr>
          <w:sz w:val="22"/>
          <w:szCs w:val="22"/>
        </w:rPr>
        <w:t>.</w:t>
      </w:r>
      <w:proofErr w:type="gramEnd"/>
      <w:r w:rsidR="00023926">
        <w:rPr>
          <w:sz w:val="22"/>
          <w:szCs w:val="22"/>
        </w:rPr>
        <w:t>, CZ.1.06/3.4.00/23.09458</w:t>
      </w:r>
    </w:p>
    <w:p w:rsidR="00A75862" w:rsidRPr="00C41C0C" w:rsidRDefault="00A75862" w:rsidP="00A237CC">
      <w:pPr>
        <w:rPr>
          <w:sz w:val="22"/>
          <w:szCs w:val="22"/>
        </w:rPr>
      </w:pPr>
      <w:r w:rsidRPr="00AD0C19">
        <w:rPr>
          <w:b/>
          <w:sz w:val="22"/>
          <w:szCs w:val="22"/>
        </w:rPr>
        <w:t>Příjemce:</w:t>
      </w:r>
      <w:r w:rsidRPr="009B1164">
        <w:rPr>
          <w:sz w:val="22"/>
          <w:szCs w:val="22"/>
        </w:rPr>
        <w:t xml:space="preserve"> </w:t>
      </w:r>
      <w:r w:rsidR="003346D4" w:rsidRPr="00C41C0C">
        <w:rPr>
          <w:sz w:val="22"/>
          <w:szCs w:val="22"/>
        </w:rPr>
        <w:t>Zdravotnická záchranná služba Zlínského kraje, příspěvková organizace</w:t>
      </w:r>
    </w:p>
    <w:p w:rsidR="003346D4" w:rsidRPr="00C41C0C" w:rsidRDefault="00A75862" w:rsidP="003346D4">
      <w:pPr>
        <w:jc w:val="both"/>
        <w:rPr>
          <w:sz w:val="22"/>
          <w:szCs w:val="22"/>
        </w:rPr>
      </w:pPr>
      <w:r w:rsidRPr="009B1164">
        <w:rPr>
          <w:b/>
          <w:sz w:val="22"/>
          <w:szCs w:val="22"/>
        </w:rPr>
        <w:t>Financování projektu:</w:t>
      </w:r>
      <w:r w:rsidRPr="009B1164">
        <w:rPr>
          <w:sz w:val="22"/>
          <w:szCs w:val="22"/>
        </w:rPr>
        <w:t xml:space="preserve"> celkový rozpočet </w:t>
      </w:r>
      <w:r w:rsidR="003346D4" w:rsidRPr="00C41C0C">
        <w:rPr>
          <w:sz w:val="22"/>
          <w:szCs w:val="22"/>
        </w:rPr>
        <w:t>62 662 643 Kč (příspěvek SF 53 263 246 Kč a příspěvek SR 0 Kč)</w:t>
      </w:r>
    </w:p>
    <w:p w:rsidR="00A75862" w:rsidRPr="00C41C0C" w:rsidRDefault="00A75862" w:rsidP="003346D4">
      <w:pPr>
        <w:jc w:val="both"/>
        <w:rPr>
          <w:rStyle w:val="slovnik"/>
          <w:b/>
          <w:sz w:val="22"/>
          <w:szCs w:val="22"/>
        </w:rPr>
      </w:pPr>
    </w:p>
    <w:p w:rsidR="007A1D9C" w:rsidRPr="003346D4" w:rsidRDefault="007A1D9C" w:rsidP="007A1D9C">
      <w:pPr>
        <w:jc w:val="both"/>
        <w:rPr>
          <w:sz w:val="22"/>
          <w:szCs w:val="22"/>
        </w:rPr>
      </w:pPr>
      <w:r>
        <w:rPr>
          <w:sz w:val="22"/>
          <w:szCs w:val="22"/>
        </w:rPr>
        <w:t>B</w:t>
      </w:r>
      <w:r w:rsidRPr="003346D4">
        <w:rPr>
          <w:sz w:val="22"/>
          <w:szCs w:val="22"/>
        </w:rPr>
        <w:t>ude pořízena technologie a vybavení</w:t>
      </w:r>
      <w:r>
        <w:rPr>
          <w:sz w:val="22"/>
          <w:szCs w:val="22"/>
        </w:rPr>
        <w:t>,</w:t>
      </w:r>
      <w:r w:rsidRPr="003346D4">
        <w:rPr>
          <w:sz w:val="22"/>
          <w:szCs w:val="22"/>
        </w:rPr>
        <w:t xml:space="preserve"> sloužící k efektivnějšímu zpracování informací, jejich lepšímu sdílení a přenosu v rámci ZZS ZK a mezi ZZS ZK a zdravotnickými zařízeními</w:t>
      </w:r>
      <w:r>
        <w:rPr>
          <w:sz w:val="22"/>
          <w:szCs w:val="22"/>
        </w:rPr>
        <w:t>,</w:t>
      </w:r>
      <w:r w:rsidRPr="003346D4">
        <w:rPr>
          <w:sz w:val="22"/>
          <w:szCs w:val="22"/>
        </w:rPr>
        <w:t xml:space="preserve">  a technika - vozidla. Projekt zajistí zvýšení kvality a efektivity přednemocniční neodkladné péče</w:t>
      </w:r>
      <w:r>
        <w:rPr>
          <w:sz w:val="22"/>
          <w:szCs w:val="22"/>
        </w:rPr>
        <w:t xml:space="preserve"> a</w:t>
      </w:r>
      <w:r w:rsidRPr="003346D4">
        <w:rPr>
          <w:sz w:val="22"/>
          <w:szCs w:val="22"/>
        </w:rPr>
        <w:t xml:space="preserve"> při řešení mimořádných událostí. Cílem projektu je standardizace, sjednocení procesů a postupů, lepší komunikace, integrace </w:t>
      </w:r>
      <w:r w:rsidR="00F979DB">
        <w:rPr>
          <w:sz w:val="22"/>
          <w:szCs w:val="22"/>
        </w:rPr>
        <w:br/>
      </w:r>
      <w:r w:rsidRPr="003346D4">
        <w:rPr>
          <w:sz w:val="22"/>
          <w:szCs w:val="22"/>
        </w:rPr>
        <w:t>a výměny dat a modernizace a standardizace vybavení ZZS ZK.</w:t>
      </w:r>
    </w:p>
    <w:p w:rsidR="002B492C" w:rsidRDefault="002B492C" w:rsidP="003678F7">
      <w:pPr>
        <w:jc w:val="both"/>
        <w:rPr>
          <w:rStyle w:val="slovnik"/>
          <w:b/>
        </w:rPr>
      </w:pPr>
    </w:p>
    <w:p w:rsidR="00A75862" w:rsidRPr="00AC6E65" w:rsidRDefault="00A75862" w:rsidP="0075308C">
      <w:pPr>
        <w:pStyle w:val="Nadpis2"/>
        <w:rPr>
          <w:rFonts w:ascii="Times New Roman" w:hAnsi="Times New Roman"/>
          <w:i w:val="0"/>
        </w:rPr>
      </w:pPr>
      <w:bookmarkStart w:id="202" w:name="_Toc417024881"/>
      <w:r w:rsidRPr="009026D3">
        <w:rPr>
          <w:rFonts w:ascii="Times New Roman" w:hAnsi="Times New Roman"/>
          <w:i w:val="0"/>
        </w:rPr>
        <w:t>3.4 Prioritní osa 4a, 4b – Národní podpora cestovního ruchu</w:t>
      </w:r>
      <w:bookmarkEnd w:id="202"/>
    </w:p>
    <w:p w:rsidR="00A75862" w:rsidRDefault="00A75862" w:rsidP="0075308C">
      <w:pPr>
        <w:jc w:val="both"/>
        <w:rPr>
          <w:sz w:val="22"/>
          <w:szCs w:val="22"/>
        </w:rPr>
      </w:pPr>
      <w:r>
        <w:rPr>
          <w:sz w:val="22"/>
          <w:szCs w:val="22"/>
        </w:rPr>
        <w:t xml:space="preserve">Cílem prioritních os je vytvoření základního prostředí a nezbytných podmínek pro rozvoj CR na národní úrovni. Ve prospěch jeho efektivního rozvoje je nezbytné řídit a koordinovat některé aktivity CR z národní úrovně, což přispívá k vytváření vhodných podmínek pro rozvoj podnikání, růstu konkurenceschopnosti a zaměstnanosti. Obě prioritní osy mají národní a systémový význam na rozdíl od opatření v Regionálních operačních programech, která akceptují místní či regionální rozměr. </w:t>
      </w:r>
      <w:r w:rsidR="00F979DB">
        <w:rPr>
          <w:sz w:val="22"/>
          <w:szCs w:val="22"/>
        </w:rPr>
        <w:br/>
      </w:r>
      <w:r>
        <w:rPr>
          <w:sz w:val="22"/>
          <w:szCs w:val="22"/>
        </w:rPr>
        <w:t>Na prioritní osy komplementárně navaz</w:t>
      </w:r>
      <w:r w:rsidR="00834B2C">
        <w:rPr>
          <w:sz w:val="22"/>
          <w:szCs w:val="22"/>
        </w:rPr>
        <w:t>ují</w:t>
      </w:r>
      <w:r>
        <w:rPr>
          <w:sz w:val="22"/>
          <w:szCs w:val="22"/>
        </w:rPr>
        <w:t xml:space="preserve"> intervence do oblasti CR z jednotlivých ROP. </w:t>
      </w:r>
    </w:p>
    <w:p w:rsidR="00A75862" w:rsidRDefault="00A75862" w:rsidP="0075308C">
      <w:pPr>
        <w:rPr>
          <w:sz w:val="22"/>
          <w:szCs w:val="22"/>
        </w:rPr>
      </w:pPr>
    </w:p>
    <w:p w:rsidR="00A75862" w:rsidRDefault="00A75862" w:rsidP="0075308C">
      <w:pPr>
        <w:jc w:val="both"/>
        <w:rPr>
          <w:sz w:val="22"/>
          <w:szCs w:val="22"/>
        </w:rPr>
      </w:pPr>
      <w:r>
        <w:rPr>
          <w:sz w:val="22"/>
          <w:szCs w:val="22"/>
        </w:rPr>
        <w:t>Prioritní osa zahrnuje Cíl Konvergence (4a) a Cíl Regionální konkurenceschopnost a zaměstnanost (4b).</w:t>
      </w:r>
    </w:p>
    <w:p w:rsidR="00A75862" w:rsidRPr="009026D3" w:rsidRDefault="00A75862" w:rsidP="000F2A6C">
      <w:pPr>
        <w:pStyle w:val="Nadpis3"/>
      </w:pPr>
      <w:bookmarkStart w:id="203" w:name="_Toc417024882"/>
      <w:r w:rsidRPr="007B520E">
        <w:t>3.4.1 Dosažený pokrok a jeho analýza</w:t>
      </w:r>
      <w:bookmarkEnd w:id="203"/>
    </w:p>
    <w:p w:rsidR="00A75862" w:rsidRDefault="00A75862" w:rsidP="0075308C">
      <w:pPr>
        <w:jc w:val="both"/>
        <w:rPr>
          <w:b/>
          <w:sz w:val="24"/>
          <w:szCs w:val="24"/>
        </w:rPr>
      </w:pPr>
    </w:p>
    <w:p w:rsidR="00A75862" w:rsidRPr="00CF445C" w:rsidRDefault="004D1732" w:rsidP="009026D3">
      <w:pPr>
        <w:jc w:val="both"/>
        <w:rPr>
          <w:sz w:val="24"/>
          <w:szCs w:val="24"/>
        </w:rPr>
      </w:pPr>
      <w:r w:rsidRPr="009026D3">
        <w:rPr>
          <w:b/>
          <w:sz w:val="24"/>
          <w:szCs w:val="24"/>
        </w:rPr>
        <w:t>3.4.1. A Informace</w:t>
      </w:r>
      <w:r w:rsidR="00A75862" w:rsidRPr="009026D3">
        <w:rPr>
          <w:b/>
          <w:sz w:val="24"/>
          <w:szCs w:val="24"/>
        </w:rPr>
        <w:t xml:space="preserve"> o fyzickém a finančním pokroku</w:t>
      </w:r>
    </w:p>
    <w:p w:rsidR="00A75862" w:rsidRDefault="00A75862" w:rsidP="0075308C">
      <w:pPr>
        <w:jc w:val="both"/>
        <w:rPr>
          <w:b/>
          <w:sz w:val="22"/>
          <w:szCs w:val="22"/>
        </w:rPr>
      </w:pPr>
    </w:p>
    <w:p w:rsidR="00A75862" w:rsidRDefault="00A75862" w:rsidP="0075308C">
      <w:pPr>
        <w:jc w:val="both"/>
        <w:rPr>
          <w:b/>
          <w:sz w:val="22"/>
          <w:szCs w:val="22"/>
        </w:rPr>
      </w:pPr>
      <w:r>
        <w:rPr>
          <w:b/>
          <w:sz w:val="22"/>
          <w:szCs w:val="22"/>
        </w:rPr>
        <w:t xml:space="preserve">Realizace prioritní osy </w:t>
      </w:r>
    </w:p>
    <w:p w:rsidR="00F064D8" w:rsidRDefault="00F064D8" w:rsidP="005E377E">
      <w:pPr>
        <w:jc w:val="both"/>
        <w:rPr>
          <w:sz w:val="22"/>
          <w:szCs w:val="22"/>
          <w:u w:val="single"/>
        </w:rPr>
      </w:pPr>
    </w:p>
    <w:p w:rsidR="00A75862" w:rsidRDefault="00A75862" w:rsidP="005E377E">
      <w:pPr>
        <w:jc w:val="both"/>
        <w:rPr>
          <w:sz w:val="22"/>
          <w:szCs w:val="22"/>
          <w:u w:val="single"/>
        </w:rPr>
      </w:pPr>
      <w:r w:rsidRPr="00BD1C23">
        <w:rPr>
          <w:sz w:val="22"/>
          <w:szCs w:val="22"/>
          <w:u w:val="single"/>
        </w:rPr>
        <w:t>Výzvy</w:t>
      </w:r>
    </w:p>
    <w:p w:rsidR="007A1D9C" w:rsidRDefault="007A1D9C" w:rsidP="007A1D9C">
      <w:pPr>
        <w:spacing w:after="120"/>
        <w:jc w:val="both"/>
        <w:rPr>
          <w:sz w:val="22"/>
          <w:szCs w:val="22"/>
        </w:rPr>
      </w:pPr>
      <w:r>
        <w:rPr>
          <w:sz w:val="22"/>
          <w:szCs w:val="22"/>
        </w:rPr>
        <w:t xml:space="preserve">V roce 2014 pokračoval příjem žádostí v kontinuální výzvě č. 12, vyhlášené v září roku 2011. Výzva je zaměřená na aktivitu c) podpora marketingu na národní úrovni a tvorba zdrojových databází </w:t>
      </w:r>
      <w:r>
        <w:rPr>
          <w:sz w:val="22"/>
          <w:szCs w:val="22"/>
        </w:rPr>
        <w:br/>
        <w:t xml:space="preserve">a aktivitu e) podpora prezentace ČR jako turistické destinace. Česká centrála cestovního ruchu – </w:t>
      </w:r>
      <w:proofErr w:type="spellStart"/>
      <w:r>
        <w:rPr>
          <w:sz w:val="22"/>
          <w:szCs w:val="22"/>
        </w:rPr>
        <w:t>CzechTourism</w:t>
      </w:r>
      <w:proofErr w:type="spellEnd"/>
      <w:r>
        <w:rPr>
          <w:sz w:val="22"/>
          <w:szCs w:val="22"/>
        </w:rPr>
        <w:t xml:space="preserve"> („</w:t>
      </w:r>
      <w:proofErr w:type="spellStart"/>
      <w:r>
        <w:rPr>
          <w:sz w:val="22"/>
          <w:szCs w:val="22"/>
        </w:rPr>
        <w:t>CzT</w:t>
      </w:r>
      <w:proofErr w:type="spellEnd"/>
      <w:r>
        <w:rPr>
          <w:sz w:val="22"/>
          <w:szCs w:val="22"/>
        </w:rPr>
        <w:t>“) přeložila</w:t>
      </w:r>
      <w:r w:rsidDel="002A05C5">
        <w:rPr>
          <w:sz w:val="22"/>
          <w:szCs w:val="22"/>
        </w:rPr>
        <w:t xml:space="preserve"> </w:t>
      </w:r>
      <w:r>
        <w:rPr>
          <w:sz w:val="22"/>
          <w:szCs w:val="22"/>
        </w:rPr>
        <w:t xml:space="preserve">ve 12. výzvě a schváleny 4 nové párové projektové žádosti, všechny byly schváleny. Celkové finanční požadavky těchto žádostí činily </w:t>
      </w:r>
      <w:r w:rsidRPr="00E17A09">
        <w:rPr>
          <w:sz w:val="22"/>
          <w:szCs w:val="22"/>
        </w:rPr>
        <w:t>251</w:t>
      </w:r>
      <w:r>
        <w:rPr>
          <w:sz w:val="22"/>
          <w:szCs w:val="22"/>
        </w:rPr>
        <w:t xml:space="preserve"> mil. Kč (ERDF).</w:t>
      </w:r>
    </w:p>
    <w:p w:rsidR="00B83CB9" w:rsidRDefault="00B83CB9" w:rsidP="007A1D9C">
      <w:pPr>
        <w:spacing w:after="120"/>
        <w:jc w:val="both"/>
        <w:rPr>
          <w:sz w:val="22"/>
          <w:szCs w:val="22"/>
        </w:rPr>
      </w:pPr>
    </w:p>
    <w:p w:rsidR="007A1D9C" w:rsidRDefault="007A1D9C" w:rsidP="007A1D9C">
      <w:pPr>
        <w:spacing w:after="120"/>
        <w:jc w:val="both"/>
        <w:rPr>
          <w:sz w:val="22"/>
          <w:szCs w:val="22"/>
        </w:rPr>
      </w:pPr>
      <w:r>
        <w:rPr>
          <w:sz w:val="22"/>
          <w:szCs w:val="22"/>
        </w:rPr>
        <w:lastRenderedPageBreak/>
        <w:t xml:space="preserve">Ve snaze o maximální dočerpání alokace vyhlásil ŘO IROP dne 25. 6. 2014 25. kontinuální výzvu pro aktivitu d) Prezentace a propagace kulturního a přírodního dědictví, kulturního průmyslu a služeb </w:t>
      </w:r>
      <w:r w:rsidR="00B83CB9">
        <w:rPr>
          <w:sz w:val="22"/>
          <w:szCs w:val="22"/>
        </w:rPr>
        <w:br/>
      </w:r>
      <w:r>
        <w:rPr>
          <w:sz w:val="22"/>
          <w:szCs w:val="22"/>
        </w:rPr>
        <w:t xml:space="preserve">s využitím pro cestovní ruch na národní úrovni. Alokace činila 127,5 mil. Kč (ERDF) a výzva byla určena pro nestátní neziskové organizace a zájmová sdružení právnických osob s celorepublikovou působností v cestovním ruchu. </w:t>
      </w:r>
    </w:p>
    <w:p w:rsidR="007A1D9C" w:rsidRDefault="007A1D9C" w:rsidP="007A1D9C">
      <w:pPr>
        <w:spacing w:after="120"/>
        <w:jc w:val="both"/>
        <w:rPr>
          <w:sz w:val="22"/>
          <w:szCs w:val="22"/>
        </w:rPr>
      </w:pPr>
      <w:r>
        <w:rPr>
          <w:sz w:val="22"/>
          <w:szCs w:val="22"/>
        </w:rPr>
        <w:t>K datu ukončení příjmu žádostí (1. 10. 2014) registrovalo CRR 16 dvojic projektových žádostí, jejichž finanční požadavek vysoce převyšoval alokaci výzvy. Na základě říjnové aktualizace Strategie dočerpáni IOP rozhodlo vedení MMR, že volné finanční prostředky v programu budou použity na zvýšení alokace 25. výzvy</w:t>
      </w:r>
      <w:r w:rsidRPr="000A5588">
        <w:rPr>
          <w:sz w:val="22"/>
          <w:szCs w:val="22"/>
        </w:rPr>
        <w:t xml:space="preserve"> </w:t>
      </w:r>
      <w:r w:rsidRPr="00BD0BDF">
        <w:rPr>
          <w:sz w:val="22"/>
          <w:szCs w:val="22"/>
        </w:rPr>
        <w:t>o 181,5 mil. Kč na částku 309 mil. Kč (ERDF</w:t>
      </w:r>
      <w:r>
        <w:rPr>
          <w:sz w:val="22"/>
          <w:szCs w:val="22"/>
        </w:rPr>
        <w:t>).</w:t>
      </w:r>
    </w:p>
    <w:p w:rsidR="007A1D9C" w:rsidRPr="00BD0BDF" w:rsidRDefault="007A1D9C" w:rsidP="007A1D9C">
      <w:pPr>
        <w:spacing w:after="120"/>
        <w:jc w:val="both"/>
        <w:rPr>
          <w:sz w:val="22"/>
          <w:szCs w:val="22"/>
        </w:rPr>
      </w:pPr>
      <w:r w:rsidRPr="00BD0BDF">
        <w:rPr>
          <w:sz w:val="22"/>
          <w:szCs w:val="22"/>
        </w:rPr>
        <w:t xml:space="preserve">Hodnocením kvality projektů prošlo celkem 5 párových projektových žádostí s celkovým finančním požadavkem 142  mil. Kč (ERDF).       </w:t>
      </w:r>
    </w:p>
    <w:p w:rsidR="007A1D9C" w:rsidRDefault="007A1D9C" w:rsidP="007A1D9C">
      <w:pPr>
        <w:spacing w:after="120"/>
        <w:jc w:val="both"/>
      </w:pPr>
      <w:r w:rsidRPr="003F34FB">
        <w:rPr>
          <w:sz w:val="22"/>
          <w:szCs w:val="22"/>
        </w:rPr>
        <w:t>Nevyužité finanční prostředky 25. výzvy byly na základě prosincové aktualizace Strategie dočerpání IOP využity k</w:t>
      </w:r>
      <w:r>
        <w:rPr>
          <w:sz w:val="22"/>
          <w:szCs w:val="22"/>
        </w:rPr>
        <w:t>e</w:t>
      </w:r>
      <w:r w:rsidRPr="003F34FB">
        <w:rPr>
          <w:sz w:val="22"/>
          <w:szCs w:val="22"/>
        </w:rPr>
        <w:t xml:space="preserve"> </w:t>
      </w:r>
      <w:r>
        <w:rPr>
          <w:sz w:val="22"/>
          <w:szCs w:val="22"/>
        </w:rPr>
        <w:t>z</w:t>
      </w:r>
      <w:r w:rsidRPr="003F34FB">
        <w:rPr>
          <w:sz w:val="22"/>
          <w:szCs w:val="22"/>
        </w:rPr>
        <w:t xml:space="preserve">výšení </w:t>
      </w:r>
      <w:r>
        <w:rPr>
          <w:sz w:val="22"/>
          <w:szCs w:val="22"/>
        </w:rPr>
        <w:t xml:space="preserve">alokace </w:t>
      </w:r>
      <w:r w:rsidRPr="003F34FB">
        <w:rPr>
          <w:sz w:val="22"/>
          <w:szCs w:val="22"/>
        </w:rPr>
        <w:t xml:space="preserve">výzev </w:t>
      </w:r>
      <w:r>
        <w:rPr>
          <w:sz w:val="22"/>
          <w:szCs w:val="22"/>
        </w:rPr>
        <w:t xml:space="preserve">v </w:t>
      </w:r>
      <w:r w:rsidRPr="003F34FB">
        <w:rPr>
          <w:sz w:val="22"/>
          <w:szCs w:val="22"/>
        </w:rPr>
        <w:t>jiných oblast</w:t>
      </w:r>
      <w:r>
        <w:rPr>
          <w:sz w:val="22"/>
          <w:szCs w:val="22"/>
        </w:rPr>
        <w:t>ech</w:t>
      </w:r>
      <w:r w:rsidRPr="003F34FB">
        <w:rPr>
          <w:sz w:val="22"/>
          <w:szCs w:val="22"/>
        </w:rPr>
        <w:t xml:space="preserve"> intervence. </w:t>
      </w:r>
      <w:r>
        <w:rPr>
          <w:sz w:val="22"/>
          <w:szCs w:val="22"/>
        </w:rPr>
        <w:t xml:space="preserve"> </w:t>
      </w:r>
    </w:p>
    <w:p w:rsidR="00A75862" w:rsidRDefault="00A75862" w:rsidP="00184E0A">
      <w:pPr>
        <w:jc w:val="both"/>
        <w:rPr>
          <w:b/>
          <w:sz w:val="24"/>
          <w:szCs w:val="24"/>
        </w:rPr>
      </w:pPr>
    </w:p>
    <w:p w:rsidR="008B2AB4" w:rsidRDefault="005A1F0B" w:rsidP="00DC07ED">
      <w:pPr>
        <w:pStyle w:val="Tabulkanzev"/>
      </w:pPr>
      <w:bookmarkStart w:id="204" w:name="_Toc416431846"/>
      <w:r w:rsidRPr="00BA3EDE">
        <w:t>Přehled vyhlášených a probíhajících výzev v </w:t>
      </w:r>
      <w:r w:rsidR="00BA3EDE">
        <w:t>PO</w:t>
      </w:r>
      <w:r w:rsidR="00741B6E">
        <w:t xml:space="preserve"> 4 v roce 2014</w:t>
      </w:r>
      <w:bookmarkEnd w:id="204"/>
    </w:p>
    <w:tbl>
      <w:tblPr>
        <w:tblW w:w="9053"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3"/>
        <w:gridCol w:w="532"/>
        <w:gridCol w:w="1047"/>
        <w:gridCol w:w="952"/>
        <w:gridCol w:w="992"/>
        <w:gridCol w:w="851"/>
        <w:gridCol w:w="992"/>
        <w:gridCol w:w="567"/>
        <w:gridCol w:w="992"/>
        <w:gridCol w:w="567"/>
        <w:gridCol w:w="958"/>
      </w:tblGrid>
      <w:tr w:rsidR="008B2AB4" w:rsidRPr="008B2AB4" w:rsidTr="00B83CB9">
        <w:trPr>
          <w:trHeight w:val="1125"/>
        </w:trPr>
        <w:tc>
          <w:tcPr>
            <w:tcW w:w="603" w:type="dxa"/>
            <w:vMerge w:val="restart"/>
            <w:shd w:val="clear" w:color="000000" w:fill="D8E4BC"/>
            <w:vAlign w:val="center"/>
            <w:hideMark/>
          </w:tcPr>
          <w:p w:rsidR="008B2AB4" w:rsidRPr="008B2AB4" w:rsidRDefault="008B2AB4" w:rsidP="008B2AB4">
            <w:pPr>
              <w:jc w:val="center"/>
              <w:rPr>
                <w:b/>
                <w:bCs/>
                <w:sz w:val="16"/>
                <w:szCs w:val="16"/>
              </w:rPr>
            </w:pPr>
            <w:r w:rsidRPr="008B2AB4">
              <w:rPr>
                <w:b/>
                <w:bCs/>
                <w:sz w:val="16"/>
                <w:szCs w:val="16"/>
              </w:rPr>
              <w:t>Pořadí výzvy</w:t>
            </w:r>
          </w:p>
        </w:tc>
        <w:tc>
          <w:tcPr>
            <w:tcW w:w="532" w:type="dxa"/>
            <w:vMerge w:val="restart"/>
            <w:shd w:val="clear" w:color="000000" w:fill="D8E4BC"/>
            <w:vAlign w:val="center"/>
            <w:hideMark/>
          </w:tcPr>
          <w:p w:rsidR="008B2AB4" w:rsidRPr="008B2AB4" w:rsidRDefault="008B2AB4" w:rsidP="008B2AB4">
            <w:pPr>
              <w:jc w:val="center"/>
              <w:rPr>
                <w:b/>
                <w:bCs/>
                <w:sz w:val="16"/>
                <w:szCs w:val="16"/>
              </w:rPr>
            </w:pPr>
            <w:r w:rsidRPr="008B2AB4">
              <w:rPr>
                <w:b/>
                <w:bCs/>
                <w:sz w:val="16"/>
                <w:szCs w:val="16"/>
              </w:rPr>
              <w:t>Číslo výzvy</w:t>
            </w:r>
          </w:p>
        </w:tc>
        <w:tc>
          <w:tcPr>
            <w:tcW w:w="1999" w:type="dxa"/>
            <w:gridSpan w:val="2"/>
            <w:shd w:val="clear" w:color="000000" w:fill="D8E4BC"/>
            <w:vAlign w:val="center"/>
            <w:hideMark/>
          </w:tcPr>
          <w:p w:rsidR="008B2AB4" w:rsidRPr="008B2AB4" w:rsidRDefault="008B2AB4" w:rsidP="008B2AB4">
            <w:pPr>
              <w:jc w:val="center"/>
              <w:rPr>
                <w:b/>
                <w:bCs/>
                <w:sz w:val="16"/>
                <w:szCs w:val="16"/>
              </w:rPr>
            </w:pPr>
            <w:r w:rsidRPr="008B2AB4">
              <w:rPr>
                <w:b/>
                <w:bCs/>
                <w:sz w:val="16"/>
                <w:szCs w:val="16"/>
              </w:rPr>
              <w:t>Podání projektových žádostí</w:t>
            </w:r>
          </w:p>
        </w:tc>
        <w:tc>
          <w:tcPr>
            <w:tcW w:w="992" w:type="dxa"/>
            <w:vMerge w:val="restart"/>
            <w:shd w:val="clear" w:color="000000" w:fill="D8E4BC"/>
            <w:vAlign w:val="center"/>
            <w:hideMark/>
          </w:tcPr>
          <w:p w:rsidR="008B2AB4" w:rsidRPr="008B2AB4" w:rsidRDefault="008B2AB4" w:rsidP="008B2AB4">
            <w:pPr>
              <w:jc w:val="center"/>
              <w:rPr>
                <w:b/>
                <w:bCs/>
                <w:sz w:val="16"/>
                <w:szCs w:val="16"/>
              </w:rPr>
            </w:pPr>
            <w:r w:rsidRPr="008B2AB4">
              <w:rPr>
                <w:b/>
                <w:bCs/>
                <w:sz w:val="16"/>
                <w:szCs w:val="16"/>
              </w:rPr>
              <w:t>Druh výzvy</w:t>
            </w:r>
          </w:p>
        </w:tc>
        <w:tc>
          <w:tcPr>
            <w:tcW w:w="851" w:type="dxa"/>
            <w:vMerge w:val="restart"/>
            <w:shd w:val="clear" w:color="000000" w:fill="D8E4BC"/>
            <w:vAlign w:val="center"/>
            <w:hideMark/>
          </w:tcPr>
          <w:p w:rsidR="008B2AB4" w:rsidRPr="008B2AB4" w:rsidRDefault="008B2AB4" w:rsidP="008B2AB4">
            <w:pPr>
              <w:jc w:val="center"/>
              <w:rPr>
                <w:b/>
                <w:bCs/>
                <w:sz w:val="16"/>
                <w:szCs w:val="16"/>
              </w:rPr>
            </w:pPr>
            <w:r w:rsidRPr="008B2AB4">
              <w:rPr>
                <w:b/>
                <w:bCs/>
                <w:sz w:val="16"/>
                <w:szCs w:val="16"/>
              </w:rPr>
              <w:t>Číslo prioritní osy/oblasti podpory</w:t>
            </w:r>
          </w:p>
        </w:tc>
        <w:tc>
          <w:tcPr>
            <w:tcW w:w="992" w:type="dxa"/>
            <w:shd w:val="clear" w:color="000000" w:fill="D8E4BC"/>
            <w:vAlign w:val="center"/>
            <w:hideMark/>
          </w:tcPr>
          <w:p w:rsidR="008B2AB4" w:rsidRPr="008B2AB4" w:rsidRDefault="008B2AB4" w:rsidP="008B2AB4">
            <w:pPr>
              <w:jc w:val="center"/>
              <w:rPr>
                <w:b/>
                <w:bCs/>
                <w:sz w:val="16"/>
                <w:szCs w:val="16"/>
              </w:rPr>
            </w:pPr>
            <w:r w:rsidRPr="008B2AB4">
              <w:rPr>
                <w:b/>
                <w:bCs/>
                <w:sz w:val="16"/>
                <w:szCs w:val="16"/>
              </w:rPr>
              <w:t>Alokace na výzvu</w:t>
            </w:r>
          </w:p>
        </w:tc>
        <w:tc>
          <w:tcPr>
            <w:tcW w:w="1559" w:type="dxa"/>
            <w:gridSpan w:val="2"/>
            <w:shd w:val="clear" w:color="000000" w:fill="D8E4BC"/>
            <w:vAlign w:val="center"/>
            <w:hideMark/>
          </w:tcPr>
          <w:p w:rsidR="008B2AB4" w:rsidRPr="008B2AB4" w:rsidRDefault="008B2AB4" w:rsidP="008B2AB4">
            <w:pPr>
              <w:jc w:val="center"/>
              <w:rPr>
                <w:b/>
                <w:bCs/>
                <w:sz w:val="16"/>
                <w:szCs w:val="16"/>
              </w:rPr>
            </w:pPr>
            <w:r w:rsidRPr="008B2AB4">
              <w:rPr>
                <w:b/>
                <w:bCs/>
                <w:sz w:val="16"/>
                <w:szCs w:val="16"/>
              </w:rPr>
              <w:t>Podané žádosti o podporu</w:t>
            </w:r>
          </w:p>
        </w:tc>
        <w:tc>
          <w:tcPr>
            <w:tcW w:w="1525" w:type="dxa"/>
            <w:gridSpan w:val="2"/>
            <w:shd w:val="clear" w:color="000000" w:fill="D8E4BC"/>
            <w:vAlign w:val="center"/>
            <w:hideMark/>
          </w:tcPr>
          <w:p w:rsidR="008B2AB4" w:rsidRPr="008B2AB4" w:rsidRDefault="008B2AB4" w:rsidP="008B2AB4">
            <w:pPr>
              <w:jc w:val="center"/>
              <w:rPr>
                <w:b/>
                <w:bCs/>
                <w:sz w:val="16"/>
                <w:szCs w:val="16"/>
              </w:rPr>
            </w:pPr>
            <w:r w:rsidRPr="008B2AB4">
              <w:rPr>
                <w:b/>
                <w:bCs/>
                <w:sz w:val="16"/>
                <w:szCs w:val="16"/>
              </w:rPr>
              <w:t>Projekty s vydaným Rozhodnutím/podepsanou Smlouvou</w:t>
            </w:r>
          </w:p>
        </w:tc>
      </w:tr>
      <w:tr w:rsidR="008B2AB4" w:rsidRPr="008B2AB4" w:rsidTr="00B83CB9">
        <w:trPr>
          <w:trHeight w:val="1050"/>
        </w:trPr>
        <w:tc>
          <w:tcPr>
            <w:tcW w:w="603" w:type="dxa"/>
            <w:vMerge/>
            <w:vAlign w:val="center"/>
            <w:hideMark/>
          </w:tcPr>
          <w:p w:rsidR="008B2AB4" w:rsidRPr="008B2AB4" w:rsidRDefault="008B2AB4" w:rsidP="008B2AB4">
            <w:pPr>
              <w:rPr>
                <w:b/>
                <w:bCs/>
                <w:sz w:val="16"/>
                <w:szCs w:val="16"/>
              </w:rPr>
            </w:pPr>
          </w:p>
        </w:tc>
        <w:tc>
          <w:tcPr>
            <w:tcW w:w="532" w:type="dxa"/>
            <w:vMerge/>
            <w:vAlign w:val="center"/>
            <w:hideMark/>
          </w:tcPr>
          <w:p w:rsidR="008B2AB4" w:rsidRPr="008B2AB4" w:rsidRDefault="008B2AB4" w:rsidP="008B2AB4">
            <w:pPr>
              <w:rPr>
                <w:b/>
                <w:bCs/>
                <w:sz w:val="16"/>
                <w:szCs w:val="16"/>
              </w:rPr>
            </w:pPr>
          </w:p>
        </w:tc>
        <w:tc>
          <w:tcPr>
            <w:tcW w:w="1047" w:type="dxa"/>
            <w:shd w:val="clear" w:color="000000" w:fill="D8E4BC"/>
            <w:vAlign w:val="center"/>
            <w:hideMark/>
          </w:tcPr>
          <w:p w:rsidR="008B2AB4" w:rsidRPr="008B2AB4" w:rsidRDefault="008B2AB4" w:rsidP="008B2AB4">
            <w:pPr>
              <w:jc w:val="center"/>
              <w:rPr>
                <w:b/>
                <w:bCs/>
                <w:sz w:val="16"/>
                <w:szCs w:val="16"/>
              </w:rPr>
            </w:pPr>
            <w:r w:rsidRPr="008B2AB4">
              <w:rPr>
                <w:b/>
                <w:bCs/>
                <w:sz w:val="16"/>
                <w:szCs w:val="16"/>
              </w:rPr>
              <w:t>Datum zahájení příjmu projektových žádostí</w:t>
            </w:r>
          </w:p>
        </w:tc>
        <w:tc>
          <w:tcPr>
            <w:tcW w:w="952" w:type="dxa"/>
            <w:shd w:val="clear" w:color="000000" w:fill="D8E4BC"/>
            <w:vAlign w:val="center"/>
            <w:hideMark/>
          </w:tcPr>
          <w:p w:rsidR="008B2AB4" w:rsidRPr="008B2AB4" w:rsidRDefault="008B2AB4" w:rsidP="008B2AB4">
            <w:pPr>
              <w:jc w:val="center"/>
              <w:rPr>
                <w:b/>
                <w:bCs/>
                <w:sz w:val="16"/>
                <w:szCs w:val="16"/>
              </w:rPr>
            </w:pPr>
            <w:r w:rsidRPr="008B2AB4">
              <w:rPr>
                <w:b/>
                <w:bCs/>
                <w:sz w:val="16"/>
                <w:szCs w:val="16"/>
              </w:rPr>
              <w:t>Datum ukončení výzvy</w:t>
            </w:r>
          </w:p>
        </w:tc>
        <w:tc>
          <w:tcPr>
            <w:tcW w:w="992" w:type="dxa"/>
            <w:vMerge/>
            <w:vAlign w:val="center"/>
            <w:hideMark/>
          </w:tcPr>
          <w:p w:rsidR="008B2AB4" w:rsidRPr="008B2AB4" w:rsidRDefault="008B2AB4" w:rsidP="008B2AB4">
            <w:pPr>
              <w:rPr>
                <w:b/>
                <w:bCs/>
                <w:sz w:val="16"/>
                <w:szCs w:val="16"/>
              </w:rPr>
            </w:pPr>
          </w:p>
        </w:tc>
        <w:tc>
          <w:tcPr>
            <w:tcW w:w="851" w:type="dxa"/>
            <w:vMerge/>
            <w:vAlign w:val="center"/>
            <w:hideMark/>
          </w:tcPr>
          <w:p w:rsidR="008B2AB4" w:rsidRPr="008B2AB4" w:rsidRDefault="008B2AB4" w:rsidP="008B2AB4">
            <w:pPr>
              <w:rPr>
                <w:b/>
                <w:bCs/>
                <w:sz w:val="16"/>
                <w:szCs w:val="16"/>
              </w:rPr>
            </w:pPr>
          </w:p>
        </w:tc>
        <w:tc>
          <w:tcPr>
            <w:tcW w:w="992" w:type="dxa"/>
            <w:shd w:val="clear" w:color="000000" w:fill="D8E4BC"/>
            <w:vAlign w:val="center"/>
            <w:hideMark/>
          </w:tcPr>
          <w:p w:rsidR="008B2AB4" w:rsidRPr="008B2AB4" w:rsidRDefault="008B2AB4" w:rsidP="008B2AB4">
            <w:pPr>
              <w:jc w:val="center"/>
              <w:rPr>
                <w:b/>
                <w:bCs/>
                <w:sz w:val="16"/>
                <w:szCs w:val="16"/>
              </w:rPr>
            </w:pPr>
            <w:r w:rsidRPr="008B2AB4">
              <w:rPr>
                <w:b/>
                <w:bCs/>
                <w:sz w:val="16"/>
                <w:szCs w:val="16"/>
              </w:rPr>
              <w:t xml:space="preserve">v </w:t>
            </w:r>
            <w:proofErr w:type="gramStart"/>
            <w:r w:rsidRPr="008B2AB4">
              <w:rPr>
                <w:b/>
                <w:bCs/>
                <w:sz w:val="16"/>
                <w:szCs w:val="16"/>
              </w:rPr>
              <w:t>EUR</w:t>
            </w:r>
            <w:proofErr w:type="gramEnd"/>
          </w:p>
        </w:tc>
        <w:tc>
          <w:tcPr>
            <w:tcW w:w="567" w:type="dxa"/>
            <w:shd w:val="clear" w:color="000000" w:fill="D8E4BC"/>
            <w:vAlign w:val="center"/>
            <w:hideMark/>
          </w:tcPr>
          <w:p w:rsidR="008B2AB4" w:rsidRPr="008B2AB4" w:rsidRDefault="008B2AB4" w:rsidP="008B2AB4">
            <w:pPr>
              <w:jc w:val="center"/>
              <w:rPr>
                <w:b/>
                <w:bCs/>
                <w:sz w:val="16"/>
                <w:szCs w:val="16"/>
              </w:rPr>
            </w:pPr>
            <w:r w:rsidRPr="008B2AB4">
              <w:rPr>
                <w:b/>
                <w:bCs/>
                <w:sz w:val="16"/>
                <w:szCs w:val="16"/>
              </w:rPr>
              <w:t>počet</w:t>
            </w:r>
          </w:p>
        </w:tc>
        <w:tc>
          <w:tcPr>
            <w:tcW w:w="992" w:type="dxa"/>
            <w:shd w:val="clear" w:color="000000" w:fill="D8E4BC"/>
            <w:vAlign w:val="center"/>
            <w:hideMark/>
          </w:tcPr>
          <w:p w:rsidR="008B2AB4" w:rsidRPr="008B2AB4" w:rsidRDefault="008B2AB4" w:rsidP="008B2AB4">
            <w:pPr>
              <w:jc w:val="center"/>
              <w:rPr>
                <w:b/>
                <w:bCs/>
                <w:sz w:val="16"/>
                <w:szCs w:val="16"/>
              </w:rPr>
            </w:pPr>
            <w:r w:rsidRPr="008B2AB4">
              <w:rPr>
                <w:b/>
                <w:bCs/>
                <w:sz w:val="16"/>
                <w:szCs w:val="16"/>
              </w:rPr>
              <w:t xml:space="preserve">v </w:t>
            </w:r>
            <w:proofErr w:type="gramStart"/>
            <w:r w:rsidRPr="008B2AB4">
              <w:rPr>
                <w:b/>
                <w:bCs/>
                <w:sz w:val="16"/>
                <w:szCs w:val="16"/>
              </w:rPr>
              <w:t>EUR</w:t>
            </w:r>
            <w:proofErr w:type="gramEnd"/>
          </w:p>
        </w:tc>
        <w:tc>
          <w:tcPr>
            <w:tcW w:w="567" w:type="dxa"/>
            <w:shd w:val="clear" w:color="000000" w:fill="D8E4BC"/>
            <w:noWrap/>
            <w:vAlign w:val="center"/>
            <w:hideMark/>
          </w:tcPr>
          <w:p w:rsidR="008B2AB4" w:rsidRPr="008B2AB4" w:rsidRDefault="008B2AB4" w:rsidP="008B2AB4">
            <w:pPr>
              <w:jc w:val="center"/>
              <w:rPr>
                <w:b/>
                <w:bCs/>
                <w:sz w:val="16"/>
                <w:szCs w:val="16"/>
              </w:rPr>
            </w:pPr>
            <w:r w:rsidRPr="008B2AB4">
              <w:rPr>
                <w:b/>
                <w:bCs/>
                <w:sz w:val="16"/>
                <w:szCs w:val="16"/>
              </w:rPr>
              <w:t xml:space="preserve">počet </w:t>
            </w:r>
          </w:p>
        </w:tc>
        <w:tc>
          <w:tcPr>
            <w:tcW w:w="958" w:type="dxa"/>
            <w:shd w:val="clear" w:color="000000" w:fill="D8E4BC"/>
            <w:noWrap/>
            <w:vAlign w:val="center"/>
            <w:hideMark/>
          </w:tcPr>
          <w:p w:rsidR="008B2AB4" w:rsidRPr="008B2AB4" w:rsidRDefault="008B2AB4" w:rsidP="008B2AB4">
            <w:pPr>
              <w:jc w:val="center"/>
              <w:rPr>
                <w:b/>
                <w:bCs/>
                <w:sz w:val="16"/>
                <w:szCs w:val="16"/>
              </w:rPr>
            </w:pPr>
            <w:r w:rsidRPr="008B2AB4">
              <w:rPr>
                <w:b/>
                <w:bCs/>
                <w:sz w:val="16"/>
                <w:szCs w:val="16"/>
              </w:rPr>
              <w:t xml:space="preserve">v </w:t>
            </w:r>
            <w:proofErr w:type="gramStart"/>
            <w:r w:rsidRPr="008B2AB4">
              <w:rPr>
                <w:b/>
                <w:bCs/>
                <w:sz w:val="16"/>
                <w:szCs w:val="16"/>
              </w:rPr>
              <w:t>EUR</w:t>
            </w:r>
            <w:proofErr w:type="gramEnd"/>
          </w:p>
        </w:tc>
      </w:tr>
      <w:tr w:rsidR="008B2AB4" w:rsidRPr="008B2AB4" w:rsidTr="00B83CB9">
        <w:trPr>
          <w:trHeight w:val="300"/>
        </w:trPr>
        <w:tc>
          <w:tcPr>
            <w:tcW w:w="603"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44</w:t>
            </w:r>
          </w:p>
        </w:tc>
        <w:tc>
          <w:tcPr>
            <w:tcW w:w="53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12</w:t>
            </w:r>
          </w:p>
        </w:tc>
        <w:tc>
          <w:tcPr>
            <w:tcW w:w="1047" w:type="dxa"/>
            <w:shd w:val="clear" w:color="000000" w:fill="FFFFFF"/>
            <w:vAlign w:val="center"/>
            <w:hideMark/>
          </w:tcPr>
          <w:p w:rsidR="008B2AB4" w:rsidRPr="008B2AB4" w:rsidRDefault="004E072E" w:rsidP="00741B6E">
            <w:pPr>
              <w:jc w:val="center"/>
              <w:rPr>
                <w:color w:val="000000"/>
                <w:sz w:val="16"/>
                <w:szCs w:val="16"/>
              </w:rPr>
            </w:pPr>
            <w:r w:rsidRPr="008B2AB4">
              <w:rPr>
                <w:color w:val="000000"/>
                <w:sz w:val="16"/>
                <w:szCs w:val="16"/>
              </w:rPr>
              <w:t>7. 9. 2011</w:t>
            </w:r>
          </w:p>
        </w:tc>
        <w:tc>
          <w:tcPr>
            <w:tcW w:w="952" w:type="dxa"/>
            <w:shd w:val="clear" w:color="000000" w:fill="FFFFFF"/>
            <w:vAlign w:val="center"/>
            <w:hideMark/>
          </w:tcPr>
          <w:p w:rsidR="008B2AB4" w:rsidRPr="008B2AB4" w:rsidRDefault="00B83CB9" w:rsidP="00741B6E">
            <w:pPr>
              <w:jc w:val="center"/>
              <w:rPr>
                <w:color w:val="000000"/>
                <w:sz w:val="16"/>
                <w:szCs w:val="16"/>
              </w:rPr>
            </w:pPr>
            <w:r w:rsidRPr="008B2AB4">
              <w:rPr>
                <w:color w:val="000000"/>
                <w:sz w:val="16"/>
                <w:szCs w:val="16"/>
              </w:rPr>
              <w:t>31. 12. 2015</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kontinuální</w:t>
            </w:r>
          </w:p>
        </w:tc>
        <w:tc>
          <w:tcPr>
            <w:tcW w:w="851" w:type="dxa"/>
            <w:shd w:val="clear" w:color="000000" w:fill="FFFFFF"/>
            <w:vAlign w:val="center"/>
            <w:hideMark/>
          </w:tcPr>
          <w:p w:rsidR="008B2AB4" w:rsidRPr="008B2AB4" w:rsidRDefault="008B2AB4" w:rsidP="00741B6E">
            <w:pPr>
              <w:jc w:val="center"/>
              <w:rPr>
                <w:color w:val="000000"/>
                <w:sz w:val="16"/>
                <w:szCs w:val="16"/>
              </w:rPr>
            </w:pPr>
            <w:r w:rsidRPr="008B2AB4">
              <w:rPr>
                <w:color w:val="000000"/>
                <w:sz w:val="16"/>
                <w:szCs w:val="16"/>
              </w:rPr>
              <w:t>4.1a</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46 657 328</w:t>
            </w:r>
          </w:p>
        </w:tc>
        <w:tc>
          <w:tcPr>
            <w:tcW w:w="567"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30</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63 296 712</w:t>
            </w:r>
          </w:p>
        </w:tc>
        <w:tc>
          <w:tcPr>
            <w:tcW w:w="567" w:type="dxa"/>
            <w:shd w:val="clear" w:color="000000" w:fill="FFFFFF"/>
            <w:vAlign w:val="center"/>
            <w:hideMark/>
          </w:tcPr>
          <w:p w:rsidR="008B2AB4" w:rsidRPr="008B2AB4" w:rsidRDefault="008B2AB4" w:rsidP="00741B6E">
            <w:pPr>
              <w:jc w:val="center"/>
              <w:rPr>
                <w:color w:val="000000"/>
                <w:sz w:val="16"/>
                <w:szCs w:val="16"/>
              </w:rPr>
            </w:pPr>
            <w:r w:rsidRPr="008B2AB4">
              <w:rPr>
                <w:color w:val="000000"/>
                <w:sz w:val="16"/>
                <w:szCs w:val="16"/>
              </w:rPr>
              <w:t>21</w:t>
            </w:r>
          </w:p>
        </w:tc>
        <w:tc>
          <w:tcPr>
            <w:tcW w:w="958"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45 003 440</w:t>
            </w:r>
          </w:p>
        </w:tc>
      </w:tr>
      <w:tr w:rsidR="008B2AB4" w:rsidRPr="008B2AB4" w:rsidTr="00B83CB9">
        <w:trPr>
          <w:trHeight w:val="300"/>
        </w:trPr>
        <w:tc>
          <w:tcPr>
            <w:tcW w:w="603"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44</w:t>
            </w:r>
          </w:p>
        </w:tc>
        <w:tc>
          <w:tcPr>
            <w:tcW w:w="53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12</w:t>
            </w:r>
          </w:p>
        </w:tc>
        <w:tc>
          <w:tcPr>
            <w:tcW w:w="1047" w:type="dxa"/>
            <w:shd w:val="clear" w:color="000000" w:fill="FFFFFF"/>
            <w:vAlign w:val="center"/>
            <w:hideMark/>
          </w:tcPr>
          <w:p w:rsidR="008B2AB4" w:rsidRPr="008B2AB4" w:rsidRDefault="004E072E" w:rsidP="00741B6E">
            <w:pPr>
              <w:jc w:val="center"/>
              <w:rPr>
                <w:color w:val="000000"/>
                <w:sz w:val="16"/>
                <w:szCs w:val="16"/>
              </w:rPr>
            </w:pPr>
            <w:r w:rsidRPr="008B2AB4">
              <w:rPr>
                <w:color w:val="000000"/>
                <w:sz w:val="16"/>
                <w:szCs w:val="16"/>
              </w:rPr>
              <w:t>7. 9. 2011</w:t>
            </w:r>
          </w:p>
        </w:tc>
        <w:tc>
          <w:tcPr>
            <w:tcW w:w="952" w:type="dxa"/>
            <w:shd w:val="clear" w:color="000000" w:fill="FFFFFF"/>
            <w:vAlign w:val="center"/>
            <w:hideMark/>
          </w:tcPr>
          <w:p w:rsidR="008B2AB4" w:rsidRPr="008B2AB4" w:rsidRDefault="00B83CB9" w:rsidP="00741B6E">
            <w:pPr>
              <w:jc w:val="center"/>
              <w:rPr>
                <w:color w:val="000000"/>
                <w:sz w:val="16"/>
                <w:szCs w:val="16"/>
              </w:rPr>
            </w:pPr>
            <w:r w:rsidRPr="008B2AB4">
              <w:rPr>
                <w:color w:val="000000"/>
                <w:sz w:val="16"/>
                <w:szCs w:val="16"/>
              </w:rPr>
              <w:t>31. 12. 2015</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kontinuální</w:t>
            </w:r>
          </w:p>
        </w:tc>
        <w:tc>
          <w:tcPr>
            <w:tcW w:w="851" w:type="dxa"/>
            <w:shd w:val="clear" w:color="000000" w:fill="FFFFFF"/>
            <w:vAlign w:val="center"/>
            <w:hideMark/>
          </w:tcPr>
          <w:p w:rsidR="008B2AB4" w:rsidRPr="008B2AB4" w:rsidRDefault="008B2AB4" w:rsidP="00741B6E">
            <w:pPr>
              <w:jc w:val="center"/>
              <w:rPr>
                <w:color w:val="000000"/>
                <w:sz w:val="16"/>
                <w:szCs w:val="16"/>
              </w:rPr>
            </w:pPr>
            <w:r w:rsidRPr="008B2AB4">
              <w:rPr>
                <w:color w:val="000000"/>
                <w:sz w:val="16"/>
                <w:szCs w:val="16"/>
              </w:rPr>
              <w:t>4.1b</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3 589 025</w:t>
            </w:r>
          </w:p>
        </w:tc>
        <w:tc>
          <w:tcPr>
            <w:tcW w:w="567" w:type="dxa"/>
            <w:shd w:val="clear" w:color="000000" w:fill="FFFFFF"/>
            <w:noWrap/>
            <w:vAlign w:val="center"/>
            <w:hideMark/>
          </w:tcPr>
          <w:p w:rsidR="008B2AB4" w:rsidRPr="008B2AB4" w:rsidRDefault="001B0A75" w:rsidP="00741B6E">
            <w:pPr>
              <w:jc w:val="center"/>
              <w:rPr>
                <w:color w:val="000000"/>
                <w:sz w:val="16"/>
                <w:szCs w:val="16"/>
              </w:rPr>
            </w:pPr>
            <w:r>
              <w:rPr>
                <w:color w:val="000000"/>
                <w:sz w:val="16"/>
                <w:szCs w:val="16"/>
              </w:rPr>
              <w:t>30</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8 099 234</w:t>
            </w:r>
          </w:p>
        </w:tc>
        <w:tc>
          <w:tcPr>
            <w:tcW w:w="567" w:type="dxa"/>
            <w:shd w:val="clear" w:color="000000" w:fill="FFFFFF"/>
            <w:vAlign w:val="center"/>
            <w:hideMark/>
          </w:tcPr>
          <w:p w:rsidR="008B2AB4" w:rsidRPr="008B2AB4" w:rsidRDefault="001B0A75" w:rsidP="001B0A75">
            <w:pPr>
              <w:jc w:val="center"/>
              <w:rPr>
                <w:color w:val="000000"/>
                <w:sz w:val="16"/>
                <w:szCs w:val="16"/>
              </w:rPr>
            </w:pPr>
            <w:r>
              <w:rPr>
                <w:color w:val="000000"/>
                <w:sz w:val="16"/>
                <w:szCs w:val="16"/>
              </w:rPr>
              <w:t>21</w:t>
            </w:r>
          </w:p>
        </w:tc>
        <w:tc>
          <w:tcPr>
            <w:tcW w:w="958"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3 489 556</w:t>
            </w:r>
          </w:p>
        </w:tc>
      </w:tr>
      <w:tr w:rsidR="008B2AB4" w:rsidRPr="008B2AB4" w:rsidTr="00B83CB9">
        <w:trPr>
          <w:trHeight w:val="300"/>
        </w:trPr>
        <w:tc>
          <w:tcPr>
            <w:tcW w:w="603"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73</w:t>
            </w:r>
          </w:p>
        </w:tc>
        <w:tc>
          <w:tcPr>
            <w:tcW w:w="53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25</w:t>
            </w:r>
          </w:p>
        </w:tc>
        <w:tc>
          <w:tcPr>
            <w:tcW w:w="1047" w:type="dxa"/>
            <w:shd w:val="clear" w:color="000000" w:fill="FFFFFF"/>
            <w:vAlign w:val="center"/>
            <w:hideMark/>
          </w:tcPr>
          <w:p w:rsidR="008B2AB4" w:rsidRPr="008B2AB4" w:rsidRDefault="004E072E" w:rsidP="00D53743">
            <w:pPr>
              <w:jc w:val="center"/>
              <w:rPr>
                <w:color w:val="000000"/>
                <w:sz w:val="16"/>
                <w:szCs w:val="16"/>
              </w:rPr>
            </w:pPr>
            <w:r w:rsidRPr="008B2AB4">
              <w:rPr>
                <w:color w:val="000000"/>
                <w:sz w:val="16"/>
                <w:szCs w:val="16"/>
              </w:rPr>
              <w:t>2</w:t>
            </w:r>
            <w:r>
              <w:rPr>
                <w:color w:val="000000"/>
                <w:sz w:val="16"/>
                <w:szCs w:val="16"/>
              </w:rPr>
              <w:t>5</w:t>
            </w:r>
            <w:r w:rsidRPr="008B2AB4">
              <w:rPr>
                <w:color w:val="000000"/>
                <w:sz w:val="16"/>
                <w:szCs w:val="16"/>
              </w:rPr>
              <w:t>. 6. 2014</w:t>
            </w:r>
          </w:p>
        </w:tc>
        <w:tc>
          <w:tcPr>
            <w:tcW w:w="952" w:type="dxa"/>
            <w:shd w:val="clear" w:color="000000" w:fill="FFFFFF"/>
            <w:vAlign w:val="center"/>
            <w:hideMark/>
          </w:tcPr>
          <w:p w:rsidR="008B2AB4" w:rsidRPr="008B2AB4" w:rsidRDefault="00B83CB9" w:rsidP="00741B6E">
            <w:pPr>
              <w:jc w:val="center"/>
              <w:rPr>
                <w:color w:val="000000"/>
                <w:sz w:val="16"/>
                <w:szCs w:val="16"/>
              </w:rPr>
            </w:pPr>
            <w:r w:rsidRPr="008B2AB4">
              <w:rPr>
                <w:color w:val="000000"/>
                <w:sz w:val="16"/>
                <w:szCs w:val="16"/>
              </w:rPr>
              <w:t>1. 10. 2014</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kontinuální</w:t>
            </w:r>
          </w:p>
        </w:tc>
        <w:tc>
          <w:tcPr>
            <w:tcW w:w="851" w:type="dxa"/>
            <w:shd w:val="clear" w:color="000000" w:fill="FFFFFF"/>
            <w:vAlign w:val="center"/>
            <w:hideMark/>
          </w:tcPr>
          <w:p w:rsidR="008B2AB4" w:rsidRPr="008B2AB4" w:rsidRDefault="008B2AB4" w:rsidP="00741B6E">
            <w:pPr>
              <w:jc w:val="center"/>
              <w:rPr>
                <w:color w:val="000000"/>
                <w:sz w:val="16"/>
                <w:szCs w:val="16"/>
              </w:rPr>
            </w:pPr>
            <w:r w:rsidRPr="008B2AB4">
              <w:rPr>
                <w:color w:val="000000"/>
                <w:sz w:val="16"/>
                <w:szCs w:val="16"/>
              </w:rPr>
              <w:t>4.1a</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4 269 794</w:t>
            </w:r>
          </w:p>
        </w:tc>
        <w:tc>
          <w:tcPr>
            <w:tcW w:w="567"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17</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12 306 380</w:t>
            </w:r>
          </w:p>
        </w:tc>
        <w:tc>
          <w:tcPr>
            <w:tcW w:w="567" w:type="dxa"/>
            <w:shd w:val="clear" w:color="000000" w:fill="FFFFFF"/>
            <w:vAlign w:val="center"/>
            <w:hideMark/>
          </w:tcPr>
          <w:p w:rsidR="008B2AB4" w:rsidRPr="008B2AB4" w:rsidRDefault="008B2AB4" w:rsidP="00741B6E">
            <w:pPr>
              <w:jc w:val="center"/>
              <w:rPr>
                <w:color w:val="000000"/>
                <w:sz w:val="16"/>
                <w:szCs w:val="16"/>
              </w:rPr>
            </w:pPr>
            <w:r w:rsidRPr="008B2AB4">
              <w:rPr>
                <w:color w:val="000000"/>
                <w:sz w:val="16"/>
                <w:szCs w:val="16"/>
              </w:rPr>
              <w:t>0</w:t>
            </w:r>
          </w:p>
        </w:tc>
        <w:tc>
          <w:tcPr>
            <w:tcW w:w="958" w:type="dxa"/>
            <w:shd w:val="clear" w:color="000000" w:fill="FFFFFF"/>
            <w:noWrap/>
            <w:vAlign w:val="center"/>
            <w:hideMark/>
          </w:tcPr>
          <w:p w:rsidR="008B2AB4" w:rsidRPr="008B2AB4" w:rsidRDefault="00260A56" w:rsidP="00741B6E">
            <w:pPr>
              <w:jc w:val="center"/>
              <w:rPr>
                <w:color w:val="000000"/>
                <w:sz w:val="16"/>
                <w:szCs w:val="16"/>
              </w:rPr>
            </w:pPr>
            <w:r>
              <w:rPr>
                <w:color w:val="000000"/>
                <w:sz w:val="16"/>
                <w:szCs w:val="16"/>
              </w:rPr>
              <w:t>0</w:t>
            </w:r>
          </w:p>
        </w:tc>
      </w:tr>
      <w:tr w:rsidR="008B2AB4" w:rsidRPr="008B2AB4" w:rsidTr="00B83CB9">
        <w:trPr>
          <w:trHeight w:val="300"/>
        </w:trPr>
        <w:tc>
          <w:tcPr>
            <w:tcW w:w="603"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73</w:t>
            </w:r>
          </w:p>
        </w:tc>
        <w:tc>
          <w:tcPr>
            <w:tcW w:w="53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25</w:t>
            </w:r>
          </w:p>
        </w:tc>
        <w:tc>
          <w:tcPr>
            <w:tcW w:w="1047" w:type="dxa"/>
            <w:shd w:val="clear" w:color="000000" w:fill="FFFFFF"/>
            <w:vAlign w:val="center"/>
            <w:hideMark/>
          </w:tcPr>
          <w:p w:rsidR="008B2AB4" w:rsidRPr="008B2AB4" w:rsidRDefault="004E072E" w:rsidP="00D53743">
            <w:pPr>
              <w:jc w:val="center"/>
              <w:rPr>
                <w:color w:val="000000"/>
                <w:sz w:val="16"/>
                <w:szCs w:val="16"/>
              </w:rPr>
            </w:pPr>
            <w:r w:rsidRPr="008B2AB4">
              <w:rPr>
                <w:color w:val="000000"/>
                <w:sz w:val="16"/>
                <w:szCs w:val="16"/>
              </w:rPr>
              <w:t>2</w:t>
            </w:r>
            <w:r>
              <w:rPr>
                <w:color w:val="000000"/>
                <w:sz w:val="16"/>
                <w:szCs w:val="16"/>
              </w:rPr>
              <w:t>5</w:t>
            </w:r>
            <w:r w:rsidRPr="008B2AB4">
              <w:rPr>
                <w:color w:val="000000"/>
                <w:sz w:val="16"/>
                <w:szCs w:val="16"/>
              </w:rPr>
              <w:t>. 6. 2014</w:t>
            </w:r>
          </w:p>
        </w:tc>
        <w:tc>
          <w:tcPr>
            <w:tcW w:w="952" w:type="dxa"/>
            <w:shd w:val="clear" w:color="000000" w:fill="FFFFFF"/>
            <w:vAlign w:val="center"/>
            <w:hideMark/>
          </w:tcPr>
          <w:p w:rsidR="008B2AB4" w:rsidRPr="008B2AB4" w:rsidRDefault="00B83CB9" w:rsidP="00741B6E">
            <w:pPr>
              <w:jc w:val="center"/>
              <w:rPr>
                <w:color w:val="000000"/>
                <w:sz w:val="16"/>
                <w:szCs w:val="16"/>
              </w:rPr>
            </w:pPr>
            <w:r w:rsidRPr="008B2AB4">
              <w:rPr>
                <w:color w:val="000000"/>
                <w:sz w:val="16"/>
                <w:szCs w:val="16"/>
              </w:rPr>
              <w:t>1. 10. 2014</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kontinuální</w:t>
            </w:r>
          </w:p>
        </w:tc>
        <w:tc>
          <w:tcPr>
            <w:tcW w:w="851" w:type="dxa"/>
            <w:shd w:val="clear" w:color="000000" w:fill="FFFFFF"/>
            <w:vAlign w:val="center"/>
            <w:hideMark/>
          </w:tcPr>
          <w:p w:rsidR="008B2AB4" w:rsidRPr="008B2AB4" w:rsidRDefault="008B2AB4" w:rsidP="00741B6E">
            <w:pPr>
              <w:jc w:val="center"/>
              <w:rPr>
                <w:color w:val="000000"/>
                <w:sz w:val="16"/>
                <w:szCs w:val="16"/>
              </w:rPr>
            </w:pPr>
            <w:r w:rsidRPr="008B2AB4">
              <w:rPr>
                <w:color w:val="000000"/>
                <w:sz w:val="16"/>
                <w:szCs w:val="16"/>
              </w:rPr>
              <w:t>4.1b</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328 446</w:t>
            </w:r>
          </w:p>
        </w:tc>
        <w:tc>
          <w:tcPr>
            <w:tcW w:w="567" w:type="dxa"/>
            <w:shd w:val="clear" w:color="000000" w:fill="FFFFFF"/>
            <w:noWrap/>
            <w:vAlign w:val="center"/>
            <w:hideMark/>
          </w:tcPr>
          <w:p w:rsidR="008B2AB4" w:rsidRPr="008B2AB4" w:rsidRDefault="001B0A75" w:rsidP="00741B6E">
            <w:pPr>
              <w:jc w:val="center"/>
              <w:rPr>
                <w:color w:val="000000"/>
                <w:sz w:val="16"/>
                <w:szCs w:val="16"/>
              </w:rPr>
            </w:pPr>
            <w:r>
              <w:rPr>
                <w:color w:val="000000"/>
                <w:sz w:val="16"/>
                <w:szCs w:val="16"/>
              </w:rPr>
              <w:t>17</w:t>
            </w:r>
          </w:p>
        </w:tc>
        <w:tc>
          <w:tcPr>
            <w:tcW w:w="992" w:type="dxa"/>
            <w:shd w:val="clear" w:color="000000" w:fill="FFFFFF"/>
            <w:noWrap/>
            <w:vAlign w:val="center"/>
            <w:hideMark/>
          </w:tcPr>
          <w:p w:rsidR="008B2AB4" w:rsidRPr="008B2AB4" w:rsidRDefault="008B2AB4" w:rsidP="00741B6E">
            <w:pPr>
              <w:jc w:val="center"/>
              <w:rPr>
                <w:color w:val="000000"/>
                <w:sz w:val="16"/>
                <w:szCs w:val="16"/>
              </w:rPr>
            </w:pPr>
            <w:r w:rsidRPr="008B2AB4">
              <w:rPr>
                <w:color w:val="000000"/>
                <w:sz w:val="16"/>
                <w:szCs w:val="16"/>
              </w:rPr>
              <w:t>949 441</w:t>
            </w:r>
          </w:p>
        </w:tc>
        <w:tc>
          <w:tcPr>
            <w:tcW w:w="567" w:type="dxa"/>
            <w:shd w:val="clear" w:color="000000" w:fill="FFFFFF"/>
            <w:vAlign w:val="center"/>
            <w:hideMark/>
          </w:tcPr>
          <w:p w:rsidR="008B2AB4" w:rsidRPr="008B2AB4" w:rsidRDefault="00260A56" w:rsidP="00741B6E">
            <w:pPr>
              <w:jc w:val="center"/>
              <w:rPr>
                <w:color w:val="000000"/>
                <w:sz w:val="16"/>
                <w:szCs w:val="16"/>
              </w:rPr>
            </w:pPr>
            <w:r>
              <w:rPr>
                <w:color w:val="000000"/>
                <w:sz w:val="16"/>
                <w:szCs w:val="16"/>
              </w:rPr>
              <w:t>0</w:t>
            </w:r>
          </w:p>
        </w:tc>
        <w:tc>
          <w:tcPr>
            <w:tcW w:w="958" w:type="dxa"/>
            <w:shd w:val="clear" w:color="000000" w:fill="FFFFFF"/>
            <w:noWrap/>
            <w:vAlign w:val="center"/>
            <w:hideMark/>
          </w:tcPr>
          <w:p w:rsidR="008B2AB4" w:rsidRPr="008B2AB4" w:rsidRDefault="00260A56" w:rsidP="00741B6E">
            <w:pPr>
              <w:jc w:val="center"/>
              <w:rPr>
                <w:color w:val="000000"/>
                <w:sz w:val="16"/>
                <w:szCs w:val="16"/>
              </w:rPr>
            </w:pPr>
            <w:r>
              <w:rPr>
                <w:color w:val="000000"/>
                <w:sz w:val="16"/>
                <w:szCs w:val="16"/>
              </w:rPr>
              <w:t>0</w:t>
            </w:r>
          </w:p>
        </w:tc>
      </w:tr>
      <w:tr w:rsidR="008B2AB4" w:rsidRPr="008B2AB4" w:rsidTr="00B83CB9">
        <w:trPr>
          <w:trHeight w:val="300"/>
        </w:trPr>
        <w:tc>
          <w:tcPr>
            <w:tcW w:w="4977" w:type="dxa"/>
            <w:gridSpan w:val="6"/>
            <w:shd w:val="clear" w:color="000000" w:fill="FFFFFF"/>
            <w:noWrap/>
            <w:vAlign w:val="bottom"/>
            <w:hideMark/>
          </w:tcPr>
          <w:p w:rsidR="008B2AB4" w:rsidRPr="008B2AB4" w:rsidRDefault="008B2AB4" w:rsidP="008B2AB4">
            <w:pPr>
              <w:rPr>
                <w:sz w:val="16"/>
                <w:szCs w:val="16"/>
              </w:rPr>
            </w:pPr>
            <w:r w:rsidRPr="008B2AB4">
              <w:rPr>
                <w:sz w:val="16"/>
                <w:szCs w:val="16"/>
              </w:rPr>
              <w:t>Celkem KONV</w:t>
            </w:r>
          </w:p>
        </w:tc>
        <w:tc>
          <w:tcPr>
            <w:tcW w:w="992" w:type="dxa"/>
            <w:shd w:val="clear" w:color="000000" w:fill="FFFFFF"/>
            <w:noWrap/>
            <w:vAlign w:val="center"/>
            <w:hideMark/>
          </w:tcPr>
          <w:p w:rsidR="008B2AB4" w:rsidRPr="008B2AB4" w:rsidRDefault="008B2AB4" w:rsidP="00741B6E">
            <w:pPr>
              <w:jc w:val="center"/>
              <w:rPr>
                <w:sz w:val="16"/>
                <w:szCs w:val="16"/>
              </w:rPr>
            </w:pPr>
            <w:r w:rsidRPr="008B2AB4">
              <w:rPr>
                <w:sz w:val="16"/>
                <w:szCs w:val="16"/>
              </w:rPr>
              <w:t>50 927 122</w:t>
            </w:r>
          </w:p>
        </w:tc>
        <w:tc>
          <w:tcPr>
            <w:tcW w:w="567" w:type="dxa"/>
            <w:shd w:val="clear" w:color="000000" w:fill="FFFFFF"/>
            <w:noWrap/>
            <w:vAlign w:val="center"/>
            <w:hideMark/>
          </w:tcPr>
          <w:p w:rsidR="008B2AB4" w:rsidRPr="008B2AB4" w:rsidRDefault="008B2AB4" w:rsidP="00741B6E">
            <w:pPr>
              <w:jc w:val="center"/>
              <w:rPr>
                <w:sz w:val="16"/>
                <w:szCs w:val="16"/>
              </w:rPr>
            </w:pPr>
            <w:r w:rsidRPr="008B2AB4">
              <w:rPr>
                <w:sz w:val="16"/>
                <w:szCs w:val="16"/>
              </w:rPr>
              <w:t>47</w:t>
            </w:r>
          </w:p>
        </w:tc>
        <w:tc>
          <w:tcPr>
            <w:tcW w:w="992" w:type="dxa"/>
            <w:shd w:val="clear" w:color="000000" w:fill="FFFFFF"/>
            <w:noWrap/>
            <w:vAlign w:val="center"/>
            <w:hideMark/>
          </w:tcPr>
          <w:p w:rsidR="008B2AB4" w:rsidRPr="008B2AB4" w:rsidRDefault="008B2AB4" w:rsidP="00741B6E">
            <w:pPr>
              <w:jc w:val="center"/>
              <w:rPr>
                <w:sz w:val="16"/>
                <w:szCs w:val="16"/>
              </w:rPr>
            </w:pPr>
            <w:r w:rsidRPr="008B2AB4">
              <w:rPr>
                <w:sz w:val="16"/>
                <w:szCs w:val="16"/>
              </w:rPr>
              <w:t>75 603</w:t>
            </w:r>
            <w:r w:rsidR="001B0A75">
              <w:rPr>
                <w:sz w:val="16"/>
                <w:szCs w:val="16"/>
              </w:rPr>
              <w:t> </w:t>
            </w:r>
            <w:r w:rsidRPr="008B2AB4">
              <w:rPr>
                <w:sz w:val="16"/>
                <w:szCs w:val="16"/>
              </w:rPr>
              <w:t>092</w:t>
            </w:r>
          </w:p>
        </w:tc>
        <w:tc>
          <w:tcPr>
            <w:tcW w:w="567" w:type="dxa"/>
            <w:shd w:val="clear" w:color="000000" w:fill="FFFFFF"/>
            <w:noWrap/>
            <w:vAlign w:val="center"/>
            <w:hideMark/>
          </w:tcPr>
          <w:p w:rsidR="008B2AB4" w:rsidRPr="008B2AB4" w:rsidRDefault="001B0A75" w:rsidP="001B0A75">
            <w:pPr>
              <w:jc w:val="center"/>
              <w:rPr>
                <w:sz w:val="16"/>
                <w:szCs w:val="16"/>
              </w:rPr>
            </w:pPr>
            <w:r>
              <w:rPr>
                <w:sz w:val="16"/>
                <w:szCs w:val="16"/>
              </w:rPr>
              <w:t>21</w:t>
            </w:r>
          </w:p>
        </w:tc>
        <w:tc>
          <w:tcPr>
            <w:tcW w:w="958" w:type="dxa"/>
            <w:shd w:val="clear" w:color="000000" w:fill="FFFFFF"/>
            <w:noWrap/>
            <w:vAlign w:val="center"/>
            <w:hideMark/>
          </w:tcPr>
          <w:p w:rsidR="008B2AB4" w:rsidRPr="008B2AB4" w:rsidRDefault="008B2AB4" w:rsidP="00741B6E">
            <w:pPr>
              <w:jc w:val="center"/>
              <w:rPr>
                <w:sz w:val="16"/>
                <w:szCs w:val="16"/>
              </w:rPr>
            </w:pPr>
            <w:r w:rsidRPr="008B2AB4">
              <w:rPr>
                <w:sz w:val="16"/>
                <w:szCs w:val="16"/>
              </w:rPr>
              <w:t>45 003 440</w:t>
            </w:r>
          </w:p>
        </w:tc>
      </w:tr>
      <w:tr w:rsidR="008B2AB4" w:rsidRPr="008B2AB4" w:rsidTr="00B83CB9">
        <w:trPr>
          <w:trHeight w:val="300"/>
        </w:trPr>
        <w:tc>
          <w:tcPr>
            <w:tcW w:w="4977" w:type="dxa"/>
            <w:gridSpan w:val="6"/>
            <w:shd w:val="clear" w:color="000000" w:fill="FFFFFF"/>
            <w:noWrap/>
            <w:vAlign w:val="bottom"/>
            <w:hideMark/>
          </w:tcPr>
          <w:p w:rsidR="008B2AB4" w:rsidRPr="008B2AB4" w:rsidRDefault="008B2AB4" w:rsidP="008B2AB4">
            <w:pPr>
              <w:rPr>
                <w:sz w:val="16"/>
                <w:szCs w:val="16"/>
              </w:rPr>
            </w:pPr>
            <w:r w:rsidRPr="008B2AB4">
              <w:rPr>
                <w:sz w:val="16"/>
                <w:szCs w:val="16"/>
              </w:rPr>
              <w:t xml:space="preserve">Celkem </w:t>
            </w:r>
            <w:proofErr w:type="spellStart"/>
            <w:r w:rsidRPr="008B2AB4">
              <w:rPr>
                <w:sz w:val="16"/>
                <w:szCs w:val="16"/>
              </w:rPr>
              <w:t>RKaZ</w:t>
            </w:r>
            <w:proofErr w:type="spellEnd"/>
          </w:p>
        </w:tc>
        <w:tc>
          <w:tcPr>
            <w:tcW w:w="992" w:type="dxa"/>
            <w:shd w:val="clear" w:color="000000" w:fill="FFFFFF"/>
            <w:noWrap/>
            <w:vAlign w:val="center"/>
            <w:hideMark/>
          </w:tcPr>
          <w:p w:rsidR="008B2AB4" w:rsidRPr="008B2AB4" w:rsidRDefault="008B2AB4" w:rsidP="00741B6E">
            <w:pPr>
              <w:jc w:val="center"/>
              <w:rPr>
                <w:sz w:val="16"/>
                <w:szCs w:val="16"/>
              </w:rPr>
            </w:pPr>
            <w:r w:rsidRPr="008B2AB4">
              <w:rPr>
                <w:sz w:val="16"/>
                <w:szCs w:val="16"/>
              </w:rPr>
              <w:t>3 917 471</w:t>
            </w:r>
          </w:p>
        </w:tc>
        <w:tc>
          <w:tcPr>
            <w:tcW w:w="567" w:type="dxa"/>
            <w:shd w:val="clear" w:color="000000" w:fill="FFFFFF"/>
            <w:noWrap/>
            <w:vAlign w:val="center"/>
            <w:hideMark/>
          </w:tcPr>
          <w:p w:rsidR="008B2AB4" w:rsidRPr="008B2AB4" w:rsidRDefault="001B0A75" w:rsidP="00741B6E">
            <w:pPr>
              <w:jc w:val="center"/>
              <w:rPr>
                <w:sz w:val="16"/>
                <w:szCs w:val="16"/>
              </w:rPr>
            </w:pPr>
            <w:r>
              <w:rPr>
                <w:sz w:val="16"/>
                <w:szCs w:val="16"/>
              </w:rPr>
              <w:t>47</w:t>
            </w:r>
          </w:p>
        </w:tc>
        <w:tc>
          <w:tcPr>
            <w:tcW w:w="992" w:type="dxa"/>
            <w:shd w:val="clear" w:color="000000" w:fill="FFFFFF"/>
            <w:noWrap/>
            <w:vAlign w:val="center"/>
            <w:hideMark/>
          </w:tcPr>
          <w:p w:rsidR="008B2AB4" w:rsidRPr="008B2AB4" w:rsidRDefault="008B2AB4" w:rsidP="00741B6E">
            <w:pPr>
              <w:jc w:val="center"/>
              <w:rPr>
                <w:sz w:val="16"/>
                <w:szCs w:val="16"/>
              </w:rPr>
            </w:pPr>
            <w:r w:rsidRPr="008B2AB4">
              <w:rPr>
                <w:sz w:val="16"/>
                <w:szCs w:val="16"/>
              </w:rPr>
              <w:t>9 048 675</w:t>
            </w:r>
          </w:p>
        </w:tc>
        <w:tc>
          <w:tcPr>
            <w:tcW w:w="567" w:type="dxa"/>
            <w:shd w:val="clear" w:color="000000" w:fill="FFFFFF"/>
            <w:noWrap/>
            <w:vAlign w:val="center"/>
            <w:hideMark/>
          </w:tcPr>
          <w:p w:rsidR="008B2AB4" w:rsidRPr="008B2AB4" w:rsidRDefault="001B0A75" w:rsidP="00741B6E">
            <w:pPr>
              <w:jc w:val="center"/>
              <w:rPr>
                <w:sz w:val="16"/>
                <w:szCs w:val="16"/>
              </w:rPr>
            </w:pPr>
            <w:r>
              <w:rPr>
                <w:sz w:val="16"/>
                <w:szCs w:val="16"/>
              </w:rPr>
              <w:t>21</w:t>
            </w:r>
          </w:p>
        </w:tc>
        <w:tc>
          <w:tcPr>
            <w:tcW w:w="958" w:type="dxa"/>
            <w:shd w:val="clear" w:color="000000" w:fill="FFFFFF"/>
            <w:noWrap/>
            <w:vAlign w:val="center"/>
            <w:hideMark/>
          </w:tcPr>
          <w:p w:rsidR="008B2AB4" w:rsidRPr="008B2AB4" w:rsidRDefault="008B2AB4" w:rsidP="00741B6E">
            <w:pPr>
              <w:jc w:val="center"/>
              <w:rPr>
                <w:sz w:val="16"/>
                <w:szCs w:val="16"/>
              </w:rPr>
            </w:pPr>
            <w:r w:rsidRPr="008B2AB4">
              <w:rPr>
                <w:sz w:val="16"/>
                <w:szCs w:val="16"/>
              </w:rPr>
              <w:t>3 489 556</w:t>
            </w:r>
          </w:p>
        </w:tc>
      </w:tr>
      <w:tr w:rsidR="002B103C" w:rsidRPr="008B2AB4" w:rsidTr="00B83CB9">
        <w:trPr>
          <w:trHeight w:val="300"/>
        </w:trPr>
        <w:tc>
          <w:tcPr>
            <w:tcW w:w="4977" w:type="dxa"/>
            <w:gridSpan w:val="6"/>
            <w:shd w:val="clear" w:color="000000" w:fill="BFBFBF"/>
            <w:noWrap/>
            <w:vAlign w:val="bottom"/>
            <w:hideMark/>
          </w:tcPr>
          <w:p w:rsidR="002B103C" w:rsidRPr="008B2AB4" w:rsidRDefault="002B103C" w:rsidP="002B103C">
            <w:pPr>
              <w:rPr>
                <w:b/>
                <w:bCs/>
                <w:sz w:val="16"/>
                <w:szCs w:val="16"/>
              </w:rPr>
            </w:pPr>
            <w:r w:rsidRPr="008B2AB4">
              <w:rPr>
                <w:b/>
                <w:bCs/>
                <w:sz w:val="16"/>
                <w:szCs w:val="16"/>
              </w:rPr>
              <w:t>Celkem PO 4 </w:t>
            </w:r>
          </w:p>
        </w:tc>
        <w:tc>
          <w:tcPr>
            <w:tcW w:w="992" w:type="dxa"/>
            <w:shd w:val="clear" w:color="000000" w:fill="BFBFBF"/>
            <w:noWrap/>
            <w:vAlign w:val="center"/>
            <w:hideMark/>
          </w:tcPr>
          <w:p w:rsidR="002B103C" w:rsidRPr="008B2AB4" w:rsidRDefault="002B103C" w:rsidP="00741B6E">
            <w:pPr>
              <w:jc w:val="center"/>
              <w:rPr>
                <w:b/>
                <w:bCs/>
                <w:sz w:val="16"/>
                <w:szCs w:val="16"/>
              </w:rPr>
            </w:pPr>
            <w:r w:rsidRPr="008B2AB4">
              <w:rPr>
                <w:b/>
                <w:bCs/>
                <w:sz w:val="16"/>
                <w:szCs w:val="16"/>
              </w:rPr>
              <w:t>54 844 593</w:t>
            </w:r>
          </w:p>
        </w:tc>
        <w:tc>
          <w:tcPr>
            <w:tcW w:w="567" w:type="dxa"/>
            <w:shd w:val="clear" w:color="000000" w:fill="BFBFBF"/>
            <w:noWrap/>
            <w:vAlign w:val="center"/>
            <w:hideMark/>
          </w:tcPr>
          <w:p w:rsidR="002B103C" w:rsidRPr="008B2AB4" w:rsidRDefault="001B0A75" w:rsidP="00741B6E">
            <w:pPr>
              <w:jc w:val="center"/>
              <w:rPr>
                <w:b/>
                <w:bCs/>
                <w:sz w:val="16"/>
                <w:szCs w:val="16"/>
              </w:rPr>
            </w:pPr>
            <w:r>
              <w:rPr>
                <w:b/>
                <w:bCs/>
                <w:sz w:val="16"/>
                <w:szCs w:val="16"/>
              </w:rPr>
              <w:t>94</w:t>
            </w:r>
          </w:p>
        </w:tc>
        <w:tc>
          <w:tcPr>
            <w:tcW w:w="992" w:type="dxa"/>
            <w:shd w:val="clear" w:color="000000" w:fill="BFBFBF"/>
            <w:noWrap/>
            <w:vAlign w:val="center"/>
            <w:hideMark/>
          </w:tcPr>
          <w:p w:rsidR="002B103C" w:rsidRPr="008B2AB4" w:rsidRDefault="002B103C" w:rsidP="00741B6E">
            <w:pPr>
              <w:jc w:val="center"/>
              <w:rPr>
                <w:b/>
                <w:bCs/>
                <w:sz w:val="16"/>
                <w:szCs w:val="16"/>
              </w:rPr>
            </w:pPr>
            <w:r w:rsidRPr="008B2AB4">
              <w:rPr>
                <w:b/>
                <w:bCs/>
                <w:sz w:val="16"/>
                <w:szCs w:val="16"/>
              </w:rPr>
              <w:t>84 651 767</w:t>
            </w:r>
          </w:p>
        </w:tc>
        <w:tc>
          <w:tcPr>
            <w:tcW w:w="567" w:type="dxa"/>
            <w:shd w:val="clear" w:color="000000" w:fill="BFBFBF"/>
            <w:noWrap/>
            <w:vAlign w:val="center"/>
            <w:hideMark/>
          </w:tcPr>
          <w:p w:rsidR="002B103C" w:rsidRPr="008B2AB4" w:rsidRDefault="001B0A75" w:rsidP="00741B6E">
            <w:pPr>
              <w:jc w:val="center"/>
              <w:rPr>
                <w:b/>
                <w:bCs/>
                <w:sz w:val="16"/>
                <w:szCs w:val="16"/>
              </w:rPr>
            </w:pPr>
            <w:r>
              <w:rPr>
                <w:b/>
                <w:bCs/>
                <w:sz w:val="16"/>
                <w:szCs w:val="16"/>
              </w:rPr>
              <w:t>42</w:t>
            </w:r>
          </w:p>
        </w:tc>
        <w:tc>
          <w:tcPr>
            <w:tcW w:w="958" w:type="dxa"/>
            <w:shd w:val="clear" w:color="000000" w:fill="BFBFBF"/>
            <w:noWrap/>
            <w:vAlign w:val="center"/>
            <w:hideMark/>
          </w:tcPr>
          <w:p w:rsidR="002B103C" w:rsidRPr="008B2AB4" w:rsidRDefault="002B103C" w:rsidP="00741B6E">
            <w:pPr>
              <w:jc w:val="center"/>
              <w:rPr>
                <w:b/>
                <w:bCs/>
                <w:sz w:val="16"/>
                <w:szCs w:val="16"/>
              </w:rPr>
            </w:pPr>
            <w:r w:rsidRPr="008B2AB4">
              <w:rPr>
                <w:b/>
                <w:bCs/>
                <w:sz w:val="16"/>
                <w:szCs w:val="16"/>
              </w:rPr>
              <w:t>48 492 996</w:t>
            </w:r>
          </w:p>
        </w:tc>
      </w:tr>
    </w:tbl>
    <w:p w:rsidR="00A75862" w:rsidRPr="00D95A18" w:rsidRDefault="00A75862" w:rsidP="0022733E">
      <w:pPr>
        <w:spacing w:before="60"/>
        <w:rPr>
          <w:i/>
          <w:sz w:val="18"/>
          <w:szCs w:val="18"/>
        </w:rPr>
      </w:pPr>
      <w:r w:rsidRPr="00D95A18">
        <w:rPr>
          <w:i/>
          <w:sz w:val="18"/>
          <w:szCs w:val="18"/>
        </w:rPr>
        <w:t xml:space="preserve">Zdroj: MSC2007 ke dni </w:t>
      </w:r>
      <w:r w:rsidR="00032ADF">
        <w:rPr>
          <w:i/>
          <w:sz w:val="18"/>
          <w:szCs w:val="18"/>
        </w:rPr>
        <w:t>31</w:t>
      </w:r>
      <w:r w:rsidR="00032ADF" w:rsidRPr="00D95A18">
        <w:rPr>
          <w:i/>
          <w:sz w:val="18"/>
          <w:szCs w:val="18"/>
        </w:rPr>
        <w:t>. 12. 2014</w:t>
      </w:r>
    </w:p>
    <w:p w:rsidR="00A75862" w:rsidRPr="00D95A18" w:rsidRDefault="00A75862" w:rsidP="0022733E">
      <w:pPr>
        <w:rPr>
          <w:i/>
          <w:sz w:val="18"/>
          <w:szCs w:val="18"/>
        </w:rPr>
      </w:pPr>
      <w:r w:rsidRPr="00D95A18">
        <w:rPr>
          <w:i/>
          <w:sz w:val="18"/>
          <w:szCs w:val="18"/>
        </w:rPr>
        <w:t xml:space="preserve">Kurz CZK/EUR: </w:t>
      </w:r>
      <w:r w:rsidR="008B2AB4">
        <w:rPr>
          <w:i/>
          <w:sz w:val="18"/>
          <w:szCs w:val="18"/>
        </w:rPr>
        <w:t>27,728</w:t>
      </w:r>
    </w:p>
    <w:p w:rsidR="000F3360" w:rsidRDefault="00A75862" w:rsidP="00373173">
      <w:pPr>
        <w:rPr>
          <w:i/>
          <w:sz w:val="18"/>
          <w:szCs w:val="18"/>
        </w:rPr>
      </w:pPr>
      <w:r w:rsidRPr="00D95A18">
        <w:rPr>
          <w:i/>
          <w:sz w:val="18"/>
          <w:szCs w:val="18"/>
        </w:rPr>
        <w:t>Zdroj financování: veřejné prostředky celkem</w:t>
      </w:r>
    </w:p>
    <w:p w:rsidR="000F3360" w:rsidRDefault="000F3360" w:rsidP="00373173">
      <w:pPr>
        <w:rPr>
          <w:i/>
          <w:sz w:val="18"/>
          <w:szCs w:val="18"/>
        </w:rPr>
      </w:pPr>
    </w:p>
    <w:p w:rsidR="000F3360" w:rsidRDefault="000F3360" w:rsidP="00373173">
      <w:pPr>
        <w:rPr>
          <w:i/>
          <w:sz w:val="18"/>
          <w:szCs w:val="18"/>
        </w:rPr>
      </w:pPr>
    </w:p>
    <w:p w:rsidR="00A75862" w:rsidRDefault="00A75862" w:rsidP="00373173">
      <w:pPr>
        <w:rPr>
          <w:sz w:val="22"/>
          <w:szCs w:val="22"/>
          <w:u w:val="single"/>
        </w:rPr>
      </w:pPr>
      <w:r w:rsidRPr="00B52CF0">
        <w:rPr>
          <w:sz w:val="22"/>
          <w:szCs w:val="22"/>
          <w:u w:val="single"/>
        </w:rPr>
        <w:t>Indikátory</w:t>
      </w:r>
    </w:p>
    <w:p w:rsidR="007A1D9C" w:rsidRDefault="007A1D9C" w:rsidP="007A1D9C">
      <w:pPr>
        <w:jc w:val="both"/>
        <w:rPr>
          <w:sz w:val="22"/>
          <w:szCs w:val="22"/>
        </w:rPr>
      </w:pPr>
      <w:r w:rsidRPr="00763B39">
        <w:rPr>
          <w:sz w:val="22"/>
          <w:szCs w:val="22"/>
        </w:rPr>
        <w:t xml:space="preserve">Cílové hodnoty většiny indikátorů byly původně nastaveny stejně pro cíl Konvergence i pro cíl Regionální konkurenceschopnost a zaměstnanost. V průběhu realizace programu došlo ke změně měření některých indikátorů </w:t>
      </w:r>
      <w:r>
        <w:rPr>
          <w:sz w:val="22"/>
          <w:szCs w:val="22"/>
        </w:rPr>
        <w:t xml:space="preserve">a </w:t>
      </w:r>
      <w:r w:rsidRPr="00763B39">
        <w:rPr>
          <w:sz w:val="22"/>
          <w:szCs w:val="22"/>
        </w:rPr>
        <w:t>uváděné</w:t>
      </w:r>
      <w:r w:rsidRPr="00763B39" w:rsidDel="000A5588">
        <w:rPr>
          <w:sz w:val="22"/>
          <w:szCs w:val="22"/>
        </w:rPr>
        <w:t xml:space="preserve"> </w:t>
      </w:r>
      <w:r>
        <w:rPr>
          <w:sz w:val="22"/>
          <w:szCs w:val="22"/>
        </w:rPr>
        <w:t>h</w:t>
      </w:r>
      <w:r w:rsidRPr="00763B39">
        <w:rPr>
          <w:sz w:val="22"/>
          <w:szCs w:val="22"/>
        </w:rPr>
        <w:t>odnoty vychází z </w:t>
      </w:r>
      <w:r>
        <w:rPr>
          <w:sz w:val="22"/>
          <w:szCs w:val="22"/>
        </w:rPr>
        <w:t>upraveného</w:t>
      </w:r>
      <w:r w:rsidRPr="00763B39">
        <w:rPr>
          <w:sz w:val="22"/>
          <w:szCs w:val="22"/>
        </w:rPr>
        <w:t xml:space="preserve"> stavu. </w:t>
      </w:r>
    </w:p>
    <w:p w:rsidR="00763B39" w:rsidRPr="00763B39" w:rsidRDefault="00763B39" w:rsidP="00763B39">
      <w:pPr>
        <w:jc w:val="both"/>
        <w:rPr>
          <w:sz w:val="22"/>
          <w:szCs w:val="22"/>
          <w:u w:val="single"/>
        </w:rPr>
      </w:pPr>
    </w:p>
    <w:p w:rsidR="00763B39" w:rsidRPr="00763B39" w:rsidRDefault="00763B39" w:rsidP="00763B39">
      <w:pPr>
        <w:jc w:val="both"/>
        <w:rPr>
          <w:sz w:val="22"/>
          <w:szCs w:val="22"/>
        </w:rPr>
      </w:pPr>
      <w:r w:rsidRPr="00763B39">
        <w:rPr>
          <w:sz w:val="22"/>
          <w:szCs w:val="22"/>
        </w:rPr>
        <w:t>Závazky ze schválených projektů vykazují naplnění</w:t>
      </w:r>
      <w:r w:rsidRPr="00763B39">
        <w:rPr>
          <w:b/>
          <w:sz w:val="22"/>
          <w:szCs w:val="22"/>
        </w:rPr>
        <w:t xml:space="preserve"> indikátoru 410100 </w:t>
      </w:r>
      <w:proofErr w:type="spellStart"/>
      <w:r w:rsidRPr="00763B39">
        <w:rPr>
          <w:b/>
          <w:sz w:val="22"/>
          <w:szCs w:val="22"/>
        </w:rPr>
        <w:t>Core</w:t>
      </w:r>
      <w:proofErr w:type="spellEnd"/>
      <w:r w:rsidRPr="00763B39">
        <w:rPr>
          <w:b/>
          <w:sz w:val="22"/>
          <w:szCs w:val="22"/>
        </w:rPr>
        <w:t xml:space="preserve"> 34 Počet projektů zaměřených na rozvoj cestovního ruchu</w:t>
      </w:r>
      <w:r w:rsidRPr="00763B39">
        <w:rPr>
          <w:sz w:val="22"/>
          <w:szCs w:val="22"/>
        </w:rPr>
        <w:t xml:space="preserve"> na úrovni cca 98 %. Počátkem roku 2015 mají být předloženy další 2 párové projekty, uvedený indikátor by tak měl být naplněn.  </w:t>
      </w:r>
    </w:p>
    <w:p w:rsidR="00763B39" w:rsidRPr="00763B39" w:rsidRDefault="00763B39" w:rsidP="00763B39">
      <w:pPr>
        <w:jc w:val="both"/>
        <w:rPr>
          <w:sz w:val="22"/>
          <w:szCs w:val="22"/>
        </w:rPr>
      </w:pPr>
    </w:p>
    <w:p w:rsidR="00763B39" w:rsidRDefault="00763B39" w:rsidP="00763B39">
      <w:pPr>
        <w:jc w:val="both"/>
        <w:rPr>
          <w:sz w:val="22"/>
          <w:szCs w:val="22"/>
        </w:rPr>
      </w:pPr>
      <w:r w:rsidRPr="00763B39">
        <w:rPr>
          <w:sz w:val="22"/>
          <w:szCs w:val="22"/>
        </w:rPr>
        <w:t>Plnění cílových hodnot několika indikátorů je závislé na realizaci jediného (párového) projektu. Jedná se o indikátory výstupů 413305 Počet informačních portálů, a 413315 Počet zavedených standardů služeb a indikátory výsledků 4133</w:t>
      </w:r>
      <w:r>
        <w:rPr>
          <w:sz w:val="22"/>
          <w:szCs w:val="22"/>
        </w:rPr>
        <w:t>20 Počet nově klasifikovaných a certifikovaných</w:t>
      </w:r>
      <w:r w:rsidRPr="00763B39">
        <w:rPr>
          <w:sz w:val="22"/>
          <w:szCs w:val="22"/>
        </w:rPr>
        <w:t xml:space="preserve"> subjektů v oblasti CR a 413311 Podíl subjektů C</w:t>
      </w:r>
      <w:r>
        <w:rPr>
          <w:sz w:val="22"/>
          <w:szCs w:val="22"/>
        </w:rPr>
        <w:t xml:space="preserve">R v ČR, které budou napojeny na </w:t>
      </w:r>
      <w:r w:rsidRPr="00763B39">
        <w:rPr>
          <w:sz w:val="22"/>
          <w:szCs w:val="22"/>
        </w:rPr>
        <w:t>informační systém.</w:t>
      </w:r>
    </w:p>
    <w:p w:rsidR="00763B39" w:rsidRPr="00763B39" w:rsidRDefault="00763B39" w:rsidP="00763B39">
      <w:pPr>
        <w:jc w:val="both"/>
        <w:rPr>
          <w:b/>
          <w:sz w:val="22"/>
          <w:szCs w:val="22"/>
        </w:rPr>
      </w:pPr>
    </w:p>
    <w:p w:rsidR="00DA1251" w:rsidRDefault="00763B39" w:rsidP="00763B39">
      <w:pPr>
        <w:jc w:val="both"/>
        <w:rPr>
          <w:sz w:val="22"/>
          <w:szCs w:val="22"/>
        </w:rPr>
      </w:pPr>
      <w:r w:rsidRPr="00763B39">
        <w:rPr>
          <w:b/>
          <w:sz w:val="22"/>
          <w:szCs w:val="22"/>
        </w:rPr>
        <w:t>Indikátory 413305</w:t>
      </w:r>
      <w:r w:rsidRPr="00763B39">
        <w:rPr>
          <w:sz w:val="22"/>
          <w:szCs w:val="22"/>
        </w:rPr>
        <w:t xml:space="preserve"> </w:t>
      </w:r>
      <w:r w:rsidRPr="00763B39">
        <w:rPr>
          <w:b/>
          <w:sz w:val="22"/>
          <w:szCs w:val="22"/>
        </w:rPr>
        <w:t>a 413311</w:t>
      </w:r>
      <w:r w:rsidRPr="00763B39">
        <w:rPr>
          <w:sz w:val="22"/>
          <w:szCs w:val="22"/>
        </w:rPr>
        <w:t xml:space="preserve"> mají být výsledkem projektu s názvem „Zavedení národního informačního portálu cestovního ruchu“. </w:t>
      </w:r>
    </w:p>
    <w:p w:rsidR="00763B39" w:rsidRDefault="00763B39" w:rsidP="00763B39">
      <w:pPr>
        <w:jc w:val="both"/>
        <w:rPr>
          <w:sz w:val="22"/>
          <w:szCs w:val="22"/>
        </w:rPr>
      </w:pPr>
      <w:r w:rsidRPr="00763B39">
        <w:rPr>
          <w:sz w:val="22"/>
          <w:szCs w:val="22"/>
        </w:rPr>
        <w:lastRenderedPageBreak/>
        <w:t>Dosažení jeho cílové hodnoty je nyní plánováno k ukončení realizace projektu, tj. k 31. 10. 2015. Realizace uvedeného projektu je však dlouhodobě problematická, dochází k posunům v harmonogramu, resp. realizaci aktivit a velmi pomalému plnění indikátoru 413311. Uvedené indikátory jsou společně s indikátorem 413320 hodnoceny jako nejrizikovější.</w:t>
      </w:r>
    </w:p>
    <w:p w:rsidR="00763B39" w:rsidRPr="00763B39" w:rsidRDefault="00763B39" w:rsidP="00763B39">
      <w:pPr>
        <w:jc w:val="both"/>
        <w:rPr>
          <w:b/>
          <w:sz w:val="22"/>
          <w:szCs w:val="22"/>
        </w:rPr>
      </w:pPr>
      <w:r w:rsidRPr="00763B39">
        <w:rPr>
          <w:sz w:val="22"/>
          <w:szCs w:val="22"/>
        </w:rPr>
        <w:t xml:space="preserve">      </w:t>
      </w:r>
    </w:p>
    <w:p w:rsidR="002C77C3" w:rsidRDefault="002C77C3" w:rsidP="002C77C3">
      <w:pPr>
        <w:jc w:val="both"/>
        <w:rPr>
          <w:sz w:val="22"/>
          <w:szCs w:val="22"/>
        </w:rPr>
      </w:pPr>
      <w:r w:rsidRPr="00763B39">
        <w:rPr>
          <w:b/>
          <w:sz w:val="22"/>
          <w:szCs w:val="22"/>
        </w:rPr>
        <w:t>Indikátor 413320</w:t>
      </w:r>
      <w:r w:rsidRPr="00763B39">
        <w:rPr>
          <w:sz w:val="22"/>
          <w:szCs w:val="22"/>
        </w:rPr>
        <w:t xml:space="preserve"> </w:t>
      </w:r>
      <w:r w:rsidRPr="00763B39">
        <w:rPr>
          <w:b/>
          <w:sz w:val="22"/>
          <w:szCs w:val="22"/>
        </w:rPr>
        <w:t>Počet nově klasifikovaných a certifikovaných subjektů v oblasti CR</w:t>
      </w:r>
      <w:r w:rsidRPr="00763B39">
        <w:rPr>
          <w:sz w:val="22"/>
          <w:szCs w:val="22"/>
        </w:rPr>
        <w:t xml:space="preserve"> je indikátorem výsledku  projektu s názvem „Národní systém kvality služeb cestovního ruchu v České republice“. Vykázání cílové hodnoty indikátoru příjemce naplánoval k ukončení realizace projektu 31. 12. 2015. Cílová hodnota indikátoru (2000) je vysoká a tento indikátor je hodnocen jako velmi rizikový, protože k dílčím pokrokům v počtu subjektů s obdrženou certifikací dochází velmi pomalu. Tato situace byla do jisté míry dána komplikovaností některých smluvních vztahů uzavřených při realizaci projektu. </w:t>
      </w:r>
      <w:r>
        <w:rPr>
          <w:sz w:val="22"/>
          <w:szCs w:val="22"/>
        </w:rPr>
        <w:t>P</w:t>
      </w:r>
      <w:r w:rsidRPr="00763B39">
        <w:rPr>
          <w:sz w:val="22"/>
          <w:szCs w:val="22"/>
        </w:rPr>
        <w:t xml:space="preserve">říjemce </w:t>
      </w:r>
      <w:r>
        <w:rPr>
          <w:sz w:val="22"/>
          <w:szCs w:val="22"/>
        </w:rPr>
        <w:t xml:space="preserve">bude </w:t>
      </w:r>
      <w:r w:rsidRPr="00763B39">
        <w:rPr>
          <w:sz w:val="22"/>
          <w:szCs w:val="22"/>
        </w:rPr>
        <w:t>pravděpodobně ž</w:t>
      </w:r>
      <w:r>
        <w:rPr>
          <w:sz w:val="22"/>
          <w:szCs w:val="22"/>
        </w:rPr>
        <w:t>á</w:t>
      </w:r>
      <w:r w:rsidRPr="00763B39">
        <w:rPr>
          <w:sz w:val="22"/>
          <w:szCs w:val="22"/>
        </w:rPr>
        <w:t>d</w:t>
      </w:r>
      <w:r>
        <w:rPr>
          <w:sz w:val="22"/>
          <w:szCs w:val="22"/>
        </w:rPr>
        <w:t>at</w:t>
      </w:r>
      <w:r w:rsidRPr="00763B39">
        <w:rPr>
          <w:sz w:val="22"/>
          <w:szCs w:val="22"/>
        </w:rPr>
        <w:t xml:space="preserve"> </w:t>
      </w:r>
      <w:r>
        <w:rPr>
          <w:sz w:val="22"/>
          <w:szCs w:val="22"/>
        </w:rPr>
        <w:t>o</w:t>
      </w:r>
      <w:r w:rsidRPr="00763B39">
        <w:rPr>
          <w:sz w:val="22"/>
          <w:szCs w:val="22"/>
        </w:rPr>
        <w:t xml:space="preserve"> snížení hodnoty indikátoru.  </w:t>
      </w:r>
    </w:p>
    <w:p w:rsidR="00763B39" w:rsidRPr="00763B39" w:rsidRDefault="00763B39" w:rsidP="00763B39">
      <w:pPr>
        <w:jc w:val="both"/>
        <w:rPr>
          <w:b/>
          <w:sz w:val="22"/>
          <w:szCs w:val="22"/>
        </w:rPr>
      </w:pPr>
    </w:p>
    <w:p w:rsidR="002C77C3" w:rsidRDefault="002C77C3" w:rsidP="002C77C3">
      <w:pPr>
        <w:jc w:val="both"/>
        <w:rPr>
          <w:sz w:val="22"/>
          <w:szCs w:val="22"/>
        </w:rPr>
      </w:pPr>
      <w:r w:rsidRPr="00763B39">
        <w:rPr>
          <w:b/>
          <w:sz w:val="22"/>
          <w:szCs w:val="22"/>
        </w:rPr>
        <w:t>Indikátor 413315</w:t>
      </w:r>
      <w:r w:rsidRPr="00763B39">
        <w:rPr>
          <w:sz w:val="22"/>
          <w:szCs w:val="22"/>
        </w:rPr>
        <w:t xml:space="preserve"> </w:t>
      </w:r>
      <w:r w:rsidRPr="00763B39">
        <w:rPr>
          <w:b/>
          <w:sz w:val="22"/>
          <w:szCs w:val="22"/>
        </w:rPr>
        <w:t>Počet zavedených standardů služeb</w:t>
      </w:r>
      <w:r w:rsidRPr="00763B39">
        <w:rPr>
          <w:sz w:val="22"/>
          <w:szCs w:val="22"/>
        </w:rPr>
        <w:t xml:space="preserve"> je rovněž spojen</w:t>
      </w:r>
      <w:r>
        <w:rPr>
          <w:sz w:val="22"/>
          <w:szCs w:val="22"/>
        </w:rPr>
        <w:t>ý</w:t>
      </w:r>
      <w:r w:rsidRPr="00763B39">
        <w:rPr>
          <w:sz w:val="22"/>
          <w:szCs w:val="22"/>
        </w:rPr>
        <w:t xml:space="preserve"> s projektem „Národní systém kvality služeb cestovního ruchu v České republice“ a již v roce 2013 dosáhl cílové hodnoty.</w:t>
      </w:r>
    </w:p>
    <w:p w:rsidR="00763B39" w:rsidRPr="00763B39" w:rsidRDefault="00763B39" w:rsidP="00763B39">
      <w:pPr>
        <w:jc w:val="both"/>
        <w:rPr>
          <w:sz w:val="22"/>
          <w:szCs w:val="22"/>
        </w:rPr>
      </w:pPr>
    </w:p>
    <w:p w:rsidR="00763B39" w:rsidRPr="00763B39" w:rsidRDefault="00763B39" w:rsidP="00763B39">
      <w:pPr>
        <w:jc w:val="both"/>
        <w:rPr>
          <w:sz w:val="22"/>
          <w:szCs w:val="22"/>
        </w:rPr>
      </w:pPr>
      <w:r w:rsidRPr="00763B39">
        <w:rPr>
          <w:sz w:val="22"/>
          <w:szCs w:val="22"/>
        </w:rPr>
        <w:t>Plánovaná hodnota</w:t>
      </w:r>
      <w:r w:rsidRPr="00763B39">
        <w:rPr>
          <w:b/>
          <w:sz w:val="22"/>
          <w:szCs w:val="22"/>
        </w:rPr>
        <w:t xml:space="preserve"> indikátoru 410302</w:t>
      </w:r>
      <w:r w:rsidRPr="00763B39">
        <w:rPr>
          <w:sz w:val="22"/>
          <w:szCs w:val="22"/>
        </w:rPr>
        <w:t xml:space="preserve"> </w:t>
      </w:r>
      <w:r w:rsidRPr="00763B39">
        <w:rPr>
          <w:b/>
          <w:sz w:val="22"/>
          <w:szCs w:val="22"/>
        </w:rPr>
        <w:t>Počet vytvořených propagačních nebo marketingových produktů pro CR</w:t>
      </w:r>
      <w:r w:rsidRPr="00763B39">
        <w:rPr>
          <w:sz w:val="22"/>
          <w:szCs w:val="22"/>
        </w:rPr>
        <w:t xml:space="preserve"> je několika násobně překročena (cílová hodnota 9,29/0,71 byla dosažena již v roce 2012). Dosažená hodnota indikátoru má přímou vazbu na počet schválených projektů v aktivit</w:t>
      </w:r>
      <w:r w:rsidR="002C77C3">
        <w:rPr>
          <w:sz w:val="22"/>
          <w:szCs w:val="22"/>
        </w:rPr>
        <w:t>ách</w:t>
      </w:r>
      <w:r w:rsidRPr="00763B39">
        <w:rPr>
          <w:sz w:val="22"/>
          <w:szCs w:val="22"/>
        </w:rPr>
        <w:t xml:space="preserve"> d) </w:t>
      </w:r>
      <w:r w:rsidR="002B492C">
        <w:rPr>
          <w:sz w:val="22"/>
          <w:szCs w:val="22"/>
        </w:rPr>
        <w:br/>
      </w:r>
      <w:r w:rsidRPr="00763B39">
        <w:rPr>
          <w:sz w:val="22"/>
          <w:szCs w:val="22"/>
        </w:rPr>
        <w:t xml:space="preserve">a e). Původně stanovená hodnota indikátoru 410302 nezohledňovala fakt, že v aktivitách d) a e) je největší absorpční kapacita, a indikátor zvolili všichni žadatelé.  </w:t>
      </w:r>
    </w:p>
    <w:p w:rsidR="00763B39" w:rsidRDefault="00763B39" w:rsidP="00763B39">
      <w:pPr>
        <w:jc w:val="both"/>
        <w:rPr>
          <w:sz w:val="22"/>
          <w:szCs w:val="22"/>
        </w:rPr>
      </w:pPr>
      <w:r w:rsidRPr="00763B39">
        <w:rPr>
          <w:sz w:val="22"/>
          <w:szCs w:val="22"/>
        </w:rPr>
        <w:t xml:space="preserve">Při průzkumu absorpční kapacity v době přípravy programu potenciální příjemci předkládali data, která v průběhu realizace programu ztratila vypovídací hodnotu. Příjemci z neziskového sektoru měli předložit menší počet projektů, ale z důvodu nutnosti kofinancování předložili méně nákladné projekty s rozpočty v řádech milionů Kč. Byl proto podpořen vyšší počet projektů od více příjemců. </w:t>
      </w:r>
    </w:p>
    <w:p w:rsidR="00763B39" w:rsidRPr="00763B39" w:rsidRDefault="00763B39" w:rsidP="00763B39">
      <w:pPr>
        <w:jc w:val="both"/>
        <w:rPr>
          <w:sz w:val="22"/>
          <w:szCs w:val="22"/>
        </w:rPr>
      </w:pPr>
    </w:p>
    <w:p w:rsidR="00763B39" w:rsidRDefault="00763B39" w:rsidP="00763B39">
      <w:pPr>
        <w:jc w:val="both"/>
        <w:rPr>
          <w:sz w:val="22"/>
          <w:szCs w:val="22"/>
        </w:rPr>
      </w:pPr>
      <w:r w:rsidRPr="00763B39">
        <w:rPr>
          <w:sz w:val="22"/>
          <w:szCs w:val="22"/>
        </w:rPr>
        <w:t xml:space="preserve">Analogicky lze popsat situaci indikátoru výstupu </w:t>
      </w:r>
      <w:r w:rsidRPr="00763B39">
        <w:rPr>
          <w:b/>
          <w:sz w:val="22"/>
          <w:szCs w:val="22"/>
        </w:rPr>
        <w:t>410303 Počet propagačních kampaní na produkty v oblasti CR</w:t>
      </w:r>
      <w:r w:rsidRPr="00763B39">
        <w:rPr>
          <w:sz w:val="22"/>
          <w:szCs w:val="22"/>
        </w:rPr>
        <w:t xml:space="preserve">. </w:t>
      </w:r>
    </w:p>
    <w:p w:rsidR="00763B39" w:rsidRPr="00763B39" w:rsidRDefault="00763B39" w:rsidP="00763B39">
      <w:pPr>
        <w:jc w:val="both"/>
        <w:rPr>
          <w:sz w:val="22"/>
          <w:szCs w:val="22"/>
        </w:rPr>
      </w:pPr>
    </w:p>
    <w:p w:rsidR="00763B39" w:rsidRDefault="00763B39" w:rsidP="00763B39">
      <w:pPr>
        <w:jc w:val="both"/>
        <w:rPr>
          <w:sz w:val="22"/>
          <w:szCs w:val="22"/>
        </w:rPr>
      </w:pPr>
      <w:r w:rsidRPr="00763B39">
        <w:rPr>
          <w:b/>
          <w:sz w:val="22"/>
          <w:szCs w:val="22"/>
        </w:rPr>
        <w:t>Indikátor 410304</w:t>
      </w:r>
      <w:r w:rsidRPr="00763B39">
        <w:rPr>
          <w:sz w:val="22"/>
          <w:szCs w:val="22"/>
        </w:rPr>
        <w:t xml:space="preserve"> </w:t>
      </w:r>
      <w:r w:rsidRPr="00763B39">
        <w:rPr>
          <w:b/>
          <w:sz w:val="22"/>
          <w:szCs w:val="22"/>
        </w:rPr>
        <w:t>Počet marketingových a statistických šetření</w:t>
      </w:r>
      <w:r w:rsidRPr="00763B39">
        <w:rPr>
          <w:sz w:val="22"/>
          <w:szCs w:val="22"/>
        </w:rPr>
        <w:t xml:space="preserve"> je uveden ve všech projektech podpořených v aktivitě c) Podpora marketingu na národní úrovni a tvorba zdrojových databází. Současný stav realizace projektů neindikuje nenap</w:t>
      </w:r>
      <w:r w:rsidR="008C2491">
        <w:rPr>
          <w:sz w:val="22"/>
          <w:szCs w:val="22"/>
        </w:rPr>
        <w:t>lnění cílové hodnoty indikátoru.</w:t>
      </w:r>
    </w:p>
    <w:p w:rsidR="008C2491" w:rsidRDefault="008C2491" w:rsidP="00763B39">
      <w:pPr>
        <w:jc w:val="both"/>
        <w:rPr>
          <w:sz w:val="22"/>
          <w:szCs w:val="22"/>
        </w:rPr>
        <w:sectPr w:rsidR="008C2491" w:rsidSect="00763B39">
          <w:pgSz w:w="11906" w:h="16838"/>
          <w:pgMar w:top="1417" w:right="1417" w:bottom="1417" w:left="1417" w:header="708" w:footer="708" w:gutter="0"/>
          <w:cols w:space="708"/>
          <w:docGrid w:linePitch="272"/>
        </w:sectPr>
      </w:pPr>
    </w:p>
    <w:p w:rsidR="001F6B80" w:rsidRPr="009026D3" w:rsidRDefault="001F6B80" w:rsidP="0036460E">
      <w:pPr>
        <w:pStyle w:val="Tabulkanzev"/>
      </w:pPr>
      <w:bookmarkStart w:id="205" w:name="_Toc416431847"/>
      <w:r w:rsidRPr="009026D3">
        <w:lastRenderedPageBreak/>
        <w:t>Indikátory výstupu</w:t>
      </w:r>
      <w:r w:rsidR="00C13604">
        <w:t xml:space="preserve"> v PO 4</w:t>
      </w:r>
      <w:bookmarkEnd w:id="205"/>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1076"/>
        <w:gridCol w:w="2389"/>
        <w:gridCol w:w="1075"/>
        <w:gridCol w:w="1075"/>
        <w:gridCol w:w="1075"/>
        <w:gridCol w:w="693"/>
        <w:gridCol w:w="693"/>
        <w:gridCol w:w="693"/>
        <w:gridCol w:w="693"/>
        <w:gridCol w:w="693"/>
        <w:gridCol w:w="693"/>
        <w:gridCol w:w="693"/>
        <w:gridCol w:w="707"/>
        <w:gridCol w:w="948"/>
        <w:gridCol w:w="948"/>
      </w:tblGrid>
      <w:tr w:rsidR="004858AE" w:rsidRPr="006428B0" w:rsidTr="004858AE">
        <w:trPr>
          <w:trHeight w:val="1023"/>
        </w:trPr>
        <w:tc>
          <w:tcPr>
            <w:tcW w:w="380"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Kód NČI</w:t>
            </w:r>
          </w:p>
        </w:tc>
        <w:tc>
          <w:tcPr>
            <w:tcW w:w="844" w:type="pct"/>
            <w:shd w:val="clear" w:color="000000" w:fill="C4D79B"/>
            <w:vAlign w:val="center"/>
            <w:hideMark/>
          </w:tcPr>
          <w:p w:rsidR="004858AE" w:rsidRPr="006428B0" w:rsidRDefault="004858AE" w:rsidP="006428B0">
            <w:pPr>
              <w:jc w:val="center"/>
              <w:rPr>
                <w:b/>
                <w:bCs/>
                <w:color w:val="000000"/>
              </w:rPr>
            </w:pPr>
            <w:r w:rsidRPr="006428B0">
              <w:rPr>
                <w:b/>
                <w:bCs/>
                <w:color w:val="000000"/>
              </w:rPr>
              <w:t>Název indikátoru</w:t>
            </w:r>
          </w:p>
        </w:tc>
        <w:tc>
          <w:tcPr>
            <w:tcW w:w="380" w:type="pct"/>
            <w:shd w:val="clear" w:color="000000" w:fill="C4D79B"/>
            <w:vAlign w:val="center"/>
            <w:hideMark/>
          </w:tcPr>
          <w:p w:rsidR="004858AE" w:rsidRPr="006428B0" w:rsidRDefault="004858AE" w:rsidP="006428B0">
            <w:pPr>
              <w:jc w:val="center"/>
              <w:rPr>
                <w:b/>
                <w:bCs/>
                <w:color w:val="000000"/>
              </w:rPr>
            </w:pPr>
            <w:r w:rsidRPr="006428B0">
              <w:rPr>
                <w:b/>
                <w:bCs/>
                <w:color w:val="000000"/>
              </w:rPr>
              <w:t>Měrná jednotka</w:t>
            </w:r>
          </w:p>
        </w:tc>
        <w:tc>
          <w:tcPr>
            <w:tcW w:w="380"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 xml:space="preserve">Zdroj </w:t>
            </w:r>
          </w:p>
        </w:tc>
        <w:tc>
          <w:tcPr>
            <w:tcW w:w="380"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 xml:space="preserve">Hodnota </w:t>
            </w:r>
          </w:p>
        </w:tc>
        <w:tc>
          <w:tcPr>
            <w:tcW w:w="245"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2007</w:t>
            </w:r>
          </w:p>
        </w:tc>
        <w:tc>
          <w:tcPr>
            <w:tcW w:w="245"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2008</w:t>
            </w:r>
          </w:p>
        </w:tc>
        <w:tc>
          <w:tcPr>
            <w:tcW w:w="245"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2009</w:t>
            </w:r>
          </w:p>
        </w:tc>
        <w:tc>
          <w:tcPr>
            <w:tcW w:w="245"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2010</w:t>
            </w:r>
          </w:p>
        </w:tc>
        <w:tc>
          <w:tcPr>
            <w:tcW w:w="245"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2011</w:t>
            </w:r>
          </w:p>
        </w:tc>
        <w:tc>
          <w:tcPr>
            <w:tcW w:w="245"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2012</w:t>
            </w:r>
          </w:p>
        </w:tc>
        <w:tc>
          <w:tcPr>
            <w:tcW w:w="245"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2013</w:t>
            </w:r>
          </w:p>
        </w:tc>
        <w:tc>
          <w:tcPr>
            <w:tcW w:w="250" w:type="pct"/>
            <w:shd w:val="clear" w:color="000000" w:fill="C4D79B"/>
            <w:noWrap/>
            <w:vAlign w:val="center"/>
            <w:hideMark/>
          </w:tcPr>
          <w:p w:rsidR="004858AE" w:rsidRPr="006428B0" w:rsidRDefault="004858AE" w:rsidP="006428B0">
            <w:pPr>
              <w:jc w:val="center"/>
              <w:rPr>
                <w:b/>
                <w:bCs/>
                <w:color w:val="000000"/>
              </w:rPr>
            </w:pPr>
            <w:r w:rsidRPr="006428B0">
              <w:rPr>
                <w:b/>
                <w:bCs/>
                <w:color w:val="000000"/>
              </w:rPr>
              <w:t>2014</w:t>
            </w:r>
          </w:p>
        </w:tc>
        <w:tc>
          <w:tcPr>
            <w:tcW w:w="335" w:type="pct"/>
            <w:shd w:val="clear" w:color="000000" w:fill="C4D79B"/>
            <w:vAlign w:val="center"/>
            <w:hideMark/>
          </w:tcPr>
          <w:p w:rsidR="004858AE" w:rsidRPr="006428B0" w:rsidRDefault="004858AE" w:rsidP="000713DF">
            <w:pPr>
              <w:jc w:val="center"/>
              <w:rPr>
                <w:b/>
                <w:bCs/>
                <w:color w:val="000000"/>
              </w:rPr>
            </w:pPr>
            <w:r w:rsidRPr="006428B0">
              <w:rPr>
                <w:b/>
                <w:bCs/>
                <w:color w:val="000000"/>
              </w:rPr>
              <w:t xml:space="preserve">Cílová hodnota 2015 </w:t>
            </w:r>
          </w:p>
        </w:tc>
        <w:tc>
          <w:tcPr>
            <w:tcW w:w="335" w:type="pct"/>
            <w:shd w:val="clear" w:color="000000" w:fill="C4D79B"/>
            <w:vAlign w:val="center"/>
            <w:hideMark/>
          </w:tcPr>
          <w:p w:rsidR="004858AE" w:rsidRPr="006428B0" w:rsidRDefault="000713DF" w:rsidP="006428B0">
            <w:pPr>
              <w:jc w:val="center"/>
              <w:rPr>
                <w:b/>
                <w:bCs/>
                <w:color w:val="000000"/>
              </w:rPr>
            </w:pPr>
            <w:r>
              <w:rPr>
                <w:b/>
                <w:bCs/>
                <w:color w:val="000000"/>
              </w:rPr>
              <w:t>Celkem</w:t>
            </w:r>
          </w:p>
        </w:tc>
      </w:tr>
      <w:tr w:rsidR="004858AE" w:rsidRPr="006428B0" w:rsidTr="004858AE">
        <w:trPr>
          <w:trHeight w:val="316"/>
        </w:trPr>
        <w:tc>
          <w:tcPr>
            <w:tcW w:w="380" w:type="pct"/>
            <w:vMerge w:val="restart"/>
            <w:shd w:val="clear" w:color="auto" w:fill="auto"/>
            <w:vAlign w:val="center"/>
            <w:hideMark/>
          </w:tcPr>
          <w:p w:rsidR="004858AE" w:rsidRPr="006428B0" w:rsidRDefault="004858AE" w:rsidP="006428B0">
            <w:pPr>
              <w:rPr>
                <w:color w:val="000000"/>
                <w:sz w:val="18"/>
                <w:szCs w:val="18"/>
              </w:rPr>
            </w:pPr>
            <w:r w:rsidRPr="006428B0">
              <w:rPr>
                <w:color w:val="000000"/>
                <w:sz w:val="18"/>
                <w:szCs w:val="18"/>
              </w:rPr>
              <w:t>410100</w:t>
            </w:r>
            <w:r w:rsidRPr="006428B0">
              <w:rPr>
                <w:color w:val="000000"/>
                <w:sz w:val="18"/>
                <w:szCs w:val="18"/>
              </w:rPr>
              <w:br/>
            </w:r>
            <w:proofErr w:type="spellStart"/>
            <w:r w:rsidRPr="006428B0">
              <w:rPr>
                <w:color w:val="000000"/>
                <w:sz w:val="18"/>
                <w:szCs w:val="18"/>
              </w:rPr>
              <w:t>Core</w:t>
            </w:r>
            <w:proofErr w:type="spellEnd"/>
            <w:r w:rsidRPr="006428B0">
              <w:rPr>
                <w:color w:val="000000"/>
                <w:sz w:val="18"/>
                <w:szCs w:val="18"/>
              </w:rPr>
              <w:t xml:space="preserve"> 34</w:t>
            </w:r>
          </w:p>
        </w:tc>
        <w:tc>
          <w:tcPr>
            <w:tcW w:w="844" w:type="pct"/>
            <w:vMerge w:val="restart"/>
            <w:shd w:val="clear" w:color="000000" w:fill="FFFFFF"/>
            <w:vAlign w:val="center"/>
            <w:hideMark/>
          </w:tcPr>
          <w:p w:rsidR="004858AE" w:rsidRPr="006428B0" w:rsidRDefault="004858AE" w:rsidP="006428B0">
            <w:pPr>
              <w:rPr>
                <w:color w:val="000000"/>
                <w:sz w:val="18"/>
                <w:szCs w:val="18"/>
              </w:rPr>
            </w:pPr>
            <w:r w:rsidRPr="006428B0">
              <w:rPr>
                <w:color w:val="000000"/>
                <w:sz w:val="18"/>
                <w:szCs w:val="18"/>
              </w:rPr>
              <w:t>Počet projektů zaměřených na rozvoj cestovního ruchu</w:t>
            </w:r>
          </w:p>
        </w:tc>
        <w:tc>
          <w:tcPr>
            <w:tcW w:w="380" w:type="pct"/>
            <w:vMerge w:val="restart"/>
            <w:shd w:val="clear" w:color="auto" w:fill="auto"/>
            <w:vAlign w:val="center"/>
            <w:hideMark/>
          </w:tcPr>
          <w:p w:rsidR="004858AE" w:rsidRPr="006428B0" w:rsidRDefault="004858AE" w:rsidP="006428B0">
            <w:pPr>
              <w:rPr>
                <w:color w:val="000000"/>
                <w:sz w:val="18"/>
                <w:szCs w:val="18"/>
              </w:rPr>
            </w:pPr>
            <w:r w:rsidRPr="006428B0">
              <w:rPr>
                <w:color w:val="000000"/>
                <w:sz w:val="18"/>
                <w:szCs w:val="18"/>
              </w:rPr>
              <w:t>Počet</w:t>
            </w:r>
          </w:p>
        </w:tc>
        <w:tc>
          <w:tcPr>
            <w:tcW w:w="380" w:type="pct"/>
            <w:vMerge w:val="restart"/>
            <w:shd w:val="clear" w:color="auto" w:fill="auto"/>
            <w:vAlign w:val="center"/>
            <w:hideMark/>
          </w:tcPr>
          <w:p w:rsidR="004858AE" w:rsidRPr="006428B0" w:rsidRDefault="004858AE" w:rsidP="006428B0">
            <w:pPr>
              <w:rPr>
                <w:color w:val="000000"/>
                <w:sz w:val="18"/>
                <w:szCs w:val="18"/>
              </w:rPr>
            </w:pPr>
            <w:r w:rsidRPr="006428B0">
              <w:rPr>
                <w:color w:val="000000"/>
                <w:sz w:val="18"/>
                <w:szCs w:val="18"/>
              </w:rPr>
              <w:t>ŘO IOP</w:t>
            </w:r>
          </w:p>
        </w:tc>
        <w:tc>
          <w:tcPr>
            <w:tcW w:w="380" w:type="pct"/>
            <w:shd w:val="clear" w:color="000000" w:fill="FFFFFF"/>
            <w:noWrap/>
            <w:vAlign w:val="bottom"/>
            <w:hideMark/>
          </w:tcPr>
          <w:p w:rsidR="004858AE" w:rsidRPr="006428B0" w:rsidRDefault="004858AE" w:rsidP="006428B0">
            <w:pPr>
              <w:jc w:val="center"/>
              <w:rPr>
                <w:color w:val="000000"/>
                <w:sz w:val="18"/>
                <w:szCs w:val="18"/>
              </w:rPr>
            </w:pPr>
            <w:r w:rsidRPr="006428B0">
              <w:rPr>
                <w:color w:val="000000"/>
                <w:sz w:val="18"/>
                <w:szCs w:val="18"/>
              </w:rPr>
              <w:t>Dosažená</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12</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12</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8</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14</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32</w:t>
            </w:r>
          </w:p>
        </w:tc>
        <w:tc>
          <w:tcPr>
            <w:tcW w:w="250"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50</w:t>
            </w:r>
          </w:p>
        </w:tc>
        <w:tc>
          <w:tcPr>
            <w:tcW w:w="33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FFFFFF"/>
            <w:noWrap/>
            <w:vAlign w:val="bottom"/>
            <w:hideMark/>
          </w:tcPr>
          <w:p w:rsidR="004858AE" w:rsidRPr="006428B0" w:rsidRDefault="000713DF" w:rsidP="006428B0">
            <w:pPr>
              <w:jc w:val="right"/>
              <w:rPr>
                <w:color w:val="000000"/>
                <w:sz w:val="18"/>
                <w:szCs w:val="18"/>
              </w:rPr>
            </w:pPr>
            <w:r>
              <w:rPr>
                <w:color w:val="000000"/>
                <w:sz w:val="18"/>
                <w:szCs w:val="18"/>
              </w:rPr>
              <w:t>50</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000000" w:fill="D8E4BC"/>
            <w:noWrap/>
            <w:vAlign w:val="bottom"/>
            <w:hideMark/>
          </w:tcPr>
          <w:p w:rsidR="004858AE" w:rsidRPr="006428B0" w:rsidRDefault="004858AE" w:rsidP="006428B0">
            <w:pPr>
              <w:jc w:val="center"/>
              <w:rPr>
                <w:color w:val="000000"/>
                <w:sz w:val="18"/>
                <w:szCs w:val="18"/>
              </w:rPr>
            </w:pPr>
            <w:r w:rsidRPr="006428B0">
              <w:rPr>
                <w:color w:val="000000"/>
                <w:sz w:val="18"/>
                <w:szCs w:val="18"/>
              </w:rPr>
              <w:t>Výchozí</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12</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12</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8</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14</w:t>
            </w:r>
          </w:p>
        </w:tc>
        <w:tc>
          <w:tcPr>
            <w:tcW w:w="250"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32</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Plánovaná</w:t>
            </w:r>
          </w:p>
        </w:tc>
        <w:tc>
          <w:tcPr>
            <w:tcW w:w="1965" w:type="pct"/>
            <w:gridSpan w:val="8"/>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N/A</w:t>
            </w:r>
          </w:p>
        </w:tc>
        <w:tc>
          <w:tcPr>
            <w:tcW w:w="335" w:type="pct"/>
            <w:shd w:val="clear" w:color="auto" w:fill="auto"/>
            <w:noWrap/>
            <w:vAlign w:val="bottom"/>
            <w:hideMark/>
          </w:tcPr>
          <w:p w:rsidR="004858AE" w:rsidRPr="006428B0" w:rsidRDefault="00C44B98" w:rsidP="006428B0">
            <w:pPr>
              <w:jc w:val="right"/>
              <w:rPr>
                <w:color w:val="000000"/>
                <w:sz w:val="18"/>
                <w:szCs w:val="18"/>
              </w:rPr>
            </w:pPr>
            <w:r>
              <w:rPr>
                <w:color w:val="000000"/>
                <w:sz w:val="18"/>
                <w:szCs w:val="18"/>
              </w:rPr>
              <w:t>88</w:t>
            </w:r>
          </w:p>
        </w:tc>
        <w:tc>
          <w:tcPr>
            <w:tcW w:w="335" w:type="pct"/>
            <w:shd w:val="clear" w:color="auto" w:fill="auto"/>
            <w:noWrap/>
            <w:vAlign w:val="bottom"/>
            <w:hideMark/>
          </w:tcPr>
          <w:p w:rsidR="004858AE" w:rsidRPr="006428B0" w:rsidRDefault="00C44B98" w:rsidP="006428B0">
            <w:pPr>
              <w:jc w:val="right"/>
              <w:rPr>
                <w:color w:val="000000"/>
                <w:sz w:val="18"/>
                <w:szCs w:val="18"/>
              </w:rPr>
            </w:pPr>
            <w:r>
              <w:rPr>
                <w:color w:val="000000"/>
                <w:sz w:val="18"/>
                <w:szCs w:val="18"/>
              </w:rPr>
              <w:t>88</w:t>
            </w:r>
          </w:p>
        </w:tc>
      </w:tr>
      <w:tr w:rsidR="004858AE" w:rsidRPr="006428B0" w:rsidTr="004858AE">
        <w:trPr>
          <w:trHeight w:val="301"/>
        </w:trPr>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413305</w:t>
            </w:r>
          </w:p>
        </w:tc>
        <w:tc>
          <w:tcPr>
            <w:tcW w:w="844" w:type="pct"/>
            <w:vMerge w:val="restart"/>
            <w:shd w:val="clear" w:color="000000" w:fill="FFFFFF"/>
            <w:vAlign w:val="center"/>
            <w:hideMark/>
          </w:tcPr>
          <w:p w:rsidR="004858AE" w:rsidRPr="006428B0" w:rsidRDefault="004858AE" w:rsidP="006428B0">
            <w:pPr>
              <w:rPr>
                <w:color w:val="000000"/>
                <w:sz w:val="18"/>
                <w:szCs w:val="18"/>
              </w:rPr>
            </w:pPr>
            <w:r w:rsidRPr="006428B0">
              <w:rPr>
                <w:color w:val="000000"/>
                <w:sz w:val="18"/>
                <w:szCs w:val="18"/>
              </w:rPr>
              <w:t>Počet informačních portálů</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Počet</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ŘO IOP</w:t>
            </w:r>
          </w:p>
        </w:tc>
        <w:tc>
          <w:tcPr>
            <w:tcW w:w="380" w:type="pct"/>
            <w:shd w:val="clear" w:color="000000" w:fill="FFFFFF"/>
            <w:noWrap/>
            <w:vAlign w:val="bottom"/>
            <w:hideMark/>
          </w:tcPr>
          <w:p w:rsidR="004858AE" w:rsidRPr="006428B0" w:rsidRDefault="004858AE" w:rsidP="006428B0">
            <w:pPr>
              <w:jc w:val="center"/>
              <w:rPr>
                <w:color w:val="000000"/>
                <w:sz w:val="18"/>
                <w:szCs w:val="18"/>
              </w:rPr>
            </w:pPr>
            <w:r w:rsidRPr="006428B0">
              <w:rPr>
                <w:color w:val="000000"/>
                <w:sz w:val="18"/>
                <w:szCs w:val="18"/>
              </w:rPr>
              <w:t>Dosažená</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50"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335" w:type="pct"/>
            <w:shd w:val="clear" w:color="000000" w:fill="FFFFFF"/>
            <w:noWrap/>
            <w:vAlign w:val="bottom"/>
            <w:hideMark/>
          </w:tcPr>
          <w:p w:rsidR="004858AE" w:rsidRPr="006428B0" w:rsidRDefault="004858AE" w:rsidP="006428B0">
            <w:pPr>
              <w:jc w:val="right"/>
              <w:rPr>
                <w:color w:val="000000"/>
                <w:sz w:val="18"/>
                <w:szCs w:val="18"/>
              </w:rPr>
            </w:pPr>
            <w:r>
              <w:rPr>
                <w:color w:val="000000"/>
                <w:sz w:val="18"/>
                <w:szCs w:val="18"/>
              </w:rPr>
              <w:t>N/A</w:t>
            </w:r>
          </w:p>
        </w:tc>
        <w:tc>
          <w:tcPr>
            <w:tcW w:w="335" w:type="pct"/>
            <w:shd w:val="clear" w:color="000000" w:fill="FFFFFF"/>
            <w:noWrap/>
            <w:vAlign w:val="bottom"/>
            <w:hideMark/>
          </w:tcPr>
          <w:p w:rsidR="004858AE" w:rsidRPr="006428B0" w:rsidRDefault="000713DF" w:rsidP="006428B0">
            <w:pPr>
              <w:jc w:val="right"/>
              <w:rPr>
                <w:color w:val="000000"/>
                <w:sz w:val="18"/>
                <w:szCs w:val="18"/>
              </w:rPr>
            </w:pPr>
            <w:r>
              <w:rPr>
                <w:color w:val="000000"/>
                <w:sz w:val="18"/>
                <w:szCs w:val="18"/>
              </w:rPr>
              <w:t>0</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000000" w:fill="D8E4BC"/>
            <w:noWrap/>
            <w:vAlign w:val="bottom"/>
            <w:hideMark/>
          </w:tcPr>
          <w:p w:rsidR="004858AE" w:rsidRPr="006428B0" w:rsidRDefault="004858AE" w:rsidP="006428B0">
            <w:pPr>
              <w:jc w:val="center"/>
              <w:rPr>
                <w:color w:val="000000"/>
                <w:sz w:val="18"/>
                <w:szCs w:val="18"/>
              </w:rPr>
            </w:pPr>
            <w:r w:rsidRPr="006428B0">
              <w:rPr>
                <w:color w:val="000000"/>
                <w:sz w:val="18"/>
                <w:szCs w:val="18"/>
              </w:rPr>
              <w:t>Výchozí</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50"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335" w:type="pct"/>
            <w:shd w:val="clear" w:color="000000" w:fill="D8E4BC"/>
            <w:noWrap/>
            <w:vAlign w:val="bottom"/>
            <w:hideMark/>
          </w:tcPr>
          <w:p w:rsidR="004858AE" w:rsidRPr="006428B0" w:rsidRDefault="004858AE" w:rsidP="006428B0">
            <w:pPr>
              <w:jc w:val="right"/>
              <w:rPr>
                <w:color w:val="000000"/>
                <w:sz w:val="18"/>
                <w:szCs w:val="18"/>
              </w:rPr>
            </w:pPr>
            <w:r>
              <w:rPr>
                <w:color w:val="000000"/>
                <w:sz w:val="18"/>
                <w:szCs w:val="18"/>
              </w:rPr>
              <w:t>0</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Plánovaná</w:t>
            </w:r>
          </w:p>
        </w:tc>
        <w:tc>
          <w:tcPr>
            <w:tcW w:w="1965" w:type="pct"/>
            <w:gridSpan w:val="8"/>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N/A</w:t>
            </w:r>
          </w:p>
        </w:tc>
        <w:tc>
          <w:tcPr>
            <w:tcW w:w="335" w:type="pct"/>
            <w:shd w:val="clear" w:color="auto" w:fill="auto"/>
            <w:noWrap/>
            <w:vAlign w:val="bottom"/>
            <w:hideMark/>
          </w:tcPr>
          <w:p w:rsidR="004858AE" w:rsidRPr="006428B0" w:rsidRDefault="00C44B98" w:rsidP="006428B0">
            <w:pPr>
              <w:jc w:val="right"/>
              <w:rPr>
                <w:color w:val="000000"/>
                <w:sz w:val="18"/>
                <w:szCs w:val="18"/>
              </w:rPr>
            </w:pPr>
            <w:r>
              <w:rPr>
                <w:color w:val="000000"/>
                <w:sz w:val="18"/>
                <w:szCs w:val="18"/>
              </w:rPr>
              <w:t>1</w:t>
            </w:r>
          </w:p>
        </w:tc>
        <w:tc>
          <w:tcPr>
            <w:tcW w:w="335" w:type="pct"/>
            <w:shd w:val="clear" w:color="auto" w:fill="auto"/>
            <w:noWrap/>
            <w:vAlign w:val="bottom"/>
            <w:hideMark/>
          </w:tcPr>
          <w:p w:rsidR="004858AE" w:rsidRPr="006428B0" w:rsidRDefault="00C44B98" w:rsidP="006428B0">
            <w:pPr>
              <w:jc w:val="right"/>
              <w:rPr>
                <w:color w:val="000000"/>
                <w:sz w:val="18"/>
                <w:szCs w:val="18"/>
              </w:rPr>
            </w:pPr>
            <w:r>
              <w:rPr>
                <w:color w:val="000000"/>
                <w:sz w:val="18"/>
                <w:szCs w:val="18"/>
              </w:rPr>
              <w:t>1</w:t>
            </w:r>
          </w:p>
        </w:tc>
      </w:tr>
      <w:tr w:rsidR="004858AE" w:rsidRPr="006428B0" w:rsidTr="004858AE">
        <w:trPr>
          <w:trHeight w:val="301"/>
        </w:trPr>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413315</w:t>
            </w:r>
          </w:p>
        </w:tc>
        <w:tc>
          <w:tcPr>
            <w:tcW w:w="844" w:type="pct"/>
            <w:vMerge w:val="restart"/>
            <w:shd w:val="clear" w:color="000000" w:fill="FFFFFF"/>
            <w:vAlign w:val="center"/>
            <w:hideMark/>
          </w:tcPr>
          <w:p w:rsidR="004858AE" w:rsidRPr="006428B0" w:rsidRDefault="004858AE" w:rsidP="006428B0">
            <w:pPr>
              <w:rPr>
                <w:color w:val="000000"/>
                <w:sz w:val="18"/>
                <w:szCs w:val="18"/>
              </w:rPr>
            </w:pPr>
            <w:r w:rsidRPr="006428B0">
              <w:rPr>
                <w:color w:val="000000"/>
                <w:sz w:val="18"/>
                <w:szCs w:val="18"/>
              </w:rPr>
              <w:t>Počet zavedených standardů služeb cestovního ruchu</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Počet</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ŘO IOP</w:t>
            </w:r>
          </w:p>
        </w:tc>
        <w:tc>
          <w:tcPr>
            <w:tcW w:w="380" w:type="pct"/>
            <w:shd w:val="clear" w:color="000000" w:fill="FFFFFF"/>
            <w:noWrap/>
            <w:vAlign w:val="bottom"/>
            <w:hideMark/>
          </w:tcPr>
          <w:p w:rsidR="004858AE" w:rsidRPr="006428B0" w:rsidRDefault="004858AE" w:rsidP="006428B0">
            <w:pPr>
              <w:jc w:val="center"/>
              <w:rPr>
                <w:color w:val="000000"/>
                <w:sz w:val="18"/>
                <w:szCs w:val="18"/>
              </w:rPr>
            </w:pPr>
            <w:r w:rsidRPr="006428B0">
              <w:rPr>
                <w:color w:val="000000"/>
                <w:sz w:val="18"/>
                <w:szCs w:val="18"/>
              </w:rPr>
              <w:t>Dosažená</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5</w:t>
            </w:r>
          </w:p>
        </w:tc>
        <w:tc>
          <w:tcPr>
            <w:tcW w:w="250"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5</w:t>
            </w:r>
          </w:p>
        </w:tc>
        <w:tc>
          <w:tcPr>
            <w:tcW w:w="33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FFFFFF"/>
            <w:noWrap/>
            <w:vAlign w:val="bottom"/>
            <w:hideMark/>
          </w:tcPr>
          <w:p w:rsidR="004858AE" w:rsidRPr="006428B0" w:rsidRDefault="000713DF" w:rsidP="006428B0">
            <w:pPr>
              <w:jc w:val="right"/>
              <w:rPr>
                <w:color w:val="000000"/>
                <w:sz w:val="18"/>
                <w:szCs w:val="18"/>
              </w:rPr>
            </w:pPr>
            <w:r>
              <w:rPr>
                <w:color w:val="000000"/>
                <w:sz w:val="18"/>
                <w:szCs w:val="18"/>
              </w:rPr>
              <w:t>5</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000000" w:fill="D8E4BC"/>
            <w:noWrap/>
            <w:vAlign w:val="bottom"/>
            <w:hideMark/>
          </w:tcPr>
          <w:p w:rsidR="004858AE" w:rsidRPr="006428B0" w:rsidRDefault="004858AE" w:rsidP="006428B0">
            <w:pPr>
              <w:jc w:val="center"/>
              <w:rPr>
                <w:color w:val="000000"/>
                <w:sz w:val="18"/>
                <w:szCs w:val="18"/>
              </w:rPr>
            </w:pPr>
            <w:r w:rsidRPr="006428B0">
              <w:rPr>
                <w:color w:val="000000"/>
                <w:sz w:val="18"/>
                <w:szCs w:val="18"/>
              </w:rPr>
              <w:t>Výchozí</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50"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5</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Plánovaná</w:t>
            </w:r>
          </w:p>
        </w:tc>
        <w:tc>
          <w:tcPr>
            <w:tcW w:w="1965" w:type="pct"/>
            <w:gridSpan w:val="8"/>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N/A</w:t>
            </w:r>
          </w:p>
        </w:tc>
        <w:tc>
          <w:tcPr>
            <w:tcW w:w="335" w:type="pct"/>
            <w:shd w:val="clear" w:color="auto" w:fill="auto"/>
            <w:noWrap/>
            <w:vAlign w:val="bottom"/>
            <w:hideMark/>
          </w:tcPr>
          <w:p w:rsidR="004858AE" w:rsidRPr="006428B0" w:rsidRDefault="008062E1" w:rsidP="006428B0">
            <w:pPr>
              <w:jc w:val="right"/>
              <w:rPr>
                <w:color w:val="000000"/>
                <w:sz w:val="18"/>
                <w:szCs w:val="18"/>
              </w:rPr>
            </w:pPr>
            <w:r>
              <w:rPr>
                <w:color w:val="000000"/>
                <w:sz w:val="18"/>
                <w:szCs w:val="18"/>
              </w:rPr>
              <w:t>5</w:t>
            </w:r>
          </w:p>
        </w:tc>
        <w:tc>
          <w:tcPr>
            <w:tcW w:w="335" w:type="pct"/>
            <w:shd w:val="clear" w:color="auto" w:fill="auto"/>
            <w:noWrap/>
            <w:vAlign w:val="bottom"/>
            <w:hideMark/>
          </w:tcPr>
          <w:p w:rsidR="004858AE" w:rsidRPr="006428B0" w:rsidRDefault="008062E1" w:rsidP="006428B0">
            <w:pPr>
              <w:jc w:val="right"/>
              <w:rPr>
                <w:color w:val="000000"/>
                <w:sz w:val="18"/>
                <w:szCs w:val="18"/>
              </w:rPr>
            </w:pPr>
            <w:r>
              <w:rPr>
                <w:color w:val="000000"/>
                <w:sz w:val="18"/>
                <w:szCs w:val="18"/>
              </w:rPr>
              <w:t>5</w:t>
            </w:r>
          </w:p>
        </w:tc>
      </w:tr>
      <w:tr w:rsidR="004858AE" w:rsidRPr="006428B0" w:rsidTr="004858AE">
        <w:trPr>
          <w:trHeight w:val="301"/>
        </w:trPr>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410304</w:t>
            </w:r>
          </w:p>
        </w:tc>
        <w:tc>
          <w:tcPr>
            <w:tcW w:w="844" w:type="pct"/>
            <w:vMerge w:val="restart"/>
            <w:shd w:val="clear" w:color="000000" w:fill="FFFFFF"/>
            <w:vAlign w:val="center"/>
            <w:hideMark/>
          </w:tcPr>
          <w:p w:rsidR="004858AE" w:rsidRPr="006428B0" w:rsidRDefault="004858AE" w:rsidP="006428B0">
            <w:pPr>
              <w:rPr>
                <w:color w:val="000000"/>
                <w:sz w:val="18"/>
                <w:szCs w:val="18"/>
              </w:rPr>
            </w:pPr>
            <w:r w:rsidRPr="006428B0">
              <w:rPr>
                <w:color w:val="000000"/>
                <w:sz w:val="18"/>
                <w:szCs w:val="18"/>
              </w:rPr>
              <w:t xml:space="preserve">Počet marketingových </w:t>
            </w:r>
            <w:r w:rsidR="00AE4209">
              <w:rPr>
                <w:color w:val="000000"/>
                <w:sz w:val="18"/>
                <w:szCs w:val="18"/>
              </w:rPr>
              <w:br/>
            </w:r>
            <w:r w:rsidRPr="006428B0">
              <w:rPr>
                <w:color w:val="000000"/>
                <w:sz w:val="18"/>
                <w:szCs w:val="18"/>
              </w:rPr>
              <w:t>a statistických šetření</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Počet</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ŘO IOP</w:t>
            </w:r>
          </w:p>
        </w:tc>
        <w:tc>
          <w:tcPr>
            <w:tcW w:w="380" w:type="pct"/>
            <w:shd w:val="clear" w:color="000000" w:fill="FFFFFF"/>
            <w:noWrap/>
            <w:vAlign w:val="bottom"/>
            <w:hideMark/>
          </w:tcPr>
          <w:p w:rsidR="004858AE" w:rsidRPr="006428B0" w:rsidRDefault="004858AE" w:rsidP="006428B0">
            <w:pPr>
              <w:jc w:val="center"/>
              <w:rPr>
                <w:color w:val="000000"/>
                <w:sz w:val="18"/>
                <w:szCs w:val="18"/>
              </w:rPr>
            </w:pPr>
            <w:r w:rsidRPr="006428B0">
              <w:rPr>
                <w:color w:val="000000"/>
                <w:sz w:val="18"/>
                <w:szCs w:val="18"/>
              </w:rPr>
              <w:t>Dosažená</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1</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3</w:t>
            </w:r>
          </w:p>
        </w:tc>
        <w:tc>
          <w:tcPr>
            <w:tcW w:w="250"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11</w:t>
            </w:r>
          </w:p>
        </w:tc>
        <w:tc>
          <w:tcPr>
            <w:tcW w:w="33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FFFFFF"/>
            <w:noWrap/>
            <w:vAlign w:val="bottom"/>
            <w:hideMark/>
          </w:tcPr>
          <w:p w:rsidR="004858AE" w:rsidRPr="006428B0" w:rsidRDefault="000713DF" w:rsidP="006428B0">
            <w:pPr>
              <w:jc w:val="right"/>
              <w:rPr>
                <w:color w:val="000000"/>
                <w:sz w:val="18"/>
                <w:szCs w:val="18"/>
              </w:rPr>
            </w:pPr>
            <w:r>
              <w:rPr>
                <w:color w:val="000000"/>
                <w:sz w:val="18"/>
                <w:szCs w:val="18"/>
              </w:rPr>
              <w:t>11</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000000" w:fill="D8E4BC"/>
            <w:noWrap/>
            <w:vAlign w:val="bottom"/>
            <w:hideMark/>
          </w:tcPr>
          <w:p w:rsidR="004858AE" w:rsidRPr="006428B0" w:rsidRDefault="004858AE" w:rsidP="006428B0">
            <w:pPr>
              <w:jc w:val="center"/>
              <w:rPr>
                <w:color w:val="000000"/>
                <w:sz w:val="18"/>
                <w:szCs w:val="18"/>
              </w:rPr>
            </w:pPr>
            <w:r w:rsidRPr="006428B0">
              <w:rPr>
                <w:color w:val="000000"/>
                <w:sz w:val="18"/>
                <w:szCs w:val="18"/>
              </w:rPr>
              <w:t>Výchozí</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1</w:t>
            </w:r>
          </w:p>
        </w:tc>
        <w:tc>
          <w:tcPr>
            <w:tcW w:w="250"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3</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Plánovaná</w:t>
            </w:r>
          </w:p>
        </w:tc>
        <w:tc>
          <w:tcPr>
            <w:tcW w:w="1965" w:type="pct"/>
            <w:gridSpan w:val="8"/>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N/A</w:t>
            </w:r>
          </w:p>
        </w:tc>
        <w:tc>
          <w:tcPr>
            <w:tcW w:w="335" w:type="pct"/>
            <w:shd w:val="clear" w:color="auto" w:fill="auto"/>
            <w:noWrap/>
            <w:vAlign w:val="bottom"/>
            <w:hideMark/>
          </w:tcPr>
          <w:p w:rsidR="004858AE" w:rsidRPr="006428B0" w:rsidRDefault="008062E1" w:rsidP="006428B0">
            <w:pPr>
              <w:jc w:val="right"/>
              <w:rPr>
                <w:color w:val="000000"/>
                <w:sz w:val="18"/>
                <w:szCs w:val="18"/>
              </w:rPr>
            </w:pPr>
            <w:r>
              <w:rPr>
                <w:color w:val="000000"/>
                <w:sz w:val="18"/>
                <w:szCs w:val="18"/>
              </w:rPr>
              <w:t>6</w:t>
            </w:r>
          </w:p>
        </w:tc>
        <w:tc>
          <w:tcPr>
            <w:tcW w:w="335" w:type="pct"/>
            <w:shd w:val="clear" w:color="auto" w:fill="auto"/>
            <w:noWrap/>
            <w:vAlign w:val="bottom"/>
            <w:hideMark/>
          </w:tcPr>
          <w:p w:rsidR="004858AE" w:rsidRPr="006428B0" w:rsidRDefault="008062E1" w:rsidP="006428B0">
            <w:pPr>
              <w:jc w:val="right"/>
              <w:rPr>
                <w:color w:val="000000"/>
                <w:sz w:val="18"/>
                <w:szCs w:val="18"/>
              </w:rPr>
            </w:pPr>
            <w:r>
              <w:rPr>
                <w:color w:val="000000"/>
                <w:sz w:val="18"/>
                <w:szCs w:val="18"/>
              </w:rPr>
              <w:t>6</w:t>
            </w:r>
          </w:p>
        </w:tc>
      </w:tr>
      <w:tr w:rsidR="004858AE" w:rsidRPr="006428B0" w:rsidTr="004858AE">
        <w:trPr>
          <w:trHeight w:val="301"/>
        </w:trPr>
        <w:tc>
          <w:tcPr>
            <w:tcW w:w="380" w:type="pct"/>
            <w:vMerge w:val="restart"/>
            <w:shd w:val="clear" w:color="auto" w:fill="auto"/>
            <w:vAlign w:val="center"/>
            <w:hideMark/>
          </w:tcPr>
          <w:p w:rsidR="004858AE" w:rsidRPr="006428B0" w:rsidRDefault="004858AE" w:rsidP="006428B0">
            <w:pPr>
              <w:rPr>
                <w:color w:val="000000"/>
                <w:sz w:val="18"/>
                <w:szCs w:val="18"/>
              </w:rPr>
            </w:pPr>
            <w:r w:rsidRPr="006428B0">
              <w:rPr>
                <w:color w:val="000000"/>
                <w:sz w:val="18"/>
                <w:szCs w:val="18"/>
              </w:rPr>
              <w:t>410303</w:t>
            </w:r>
          </w:p>
        </w:tc>
        <w:tc>
          <w:tcPr>
            <w:tcW w:w="844" w:type="pct"/>
            <w:vMerge w:val="restart"/>
            <w:shd w:val="clear" w:color="000000" w:fill="FFFFFF"/>
            <w:vAlign w:val="center"/>
            <w:hideMark/>
          </w:tcPr>
          <w:p w:rsidR="004858AE" w:rsidRPr="006428B0" w:rsidRDefault="004858AE" w:rsidP="006428B0">
            <w:pPr>
              <w:rPr>
                <w:color w:val="000000"/>
                <w:sz w:val="18"/>
                <w:szCs w:val="18"/>
              </w:rPr>
            </w:pPr>
            <w:r w:rsidRPr="006428B0">
              <w:rPr>
                <w:color w:val="000000"/>
                <w:sz w:val="18"/>
                <w:szCs w:val="18"/>
              </w:rPr>
              <w:t xml:space="preserve">Počet propagačních kampaní na produkty v oblasti CR </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Počet</w:t>
            </w:r>
          </w:p>
        </w:tc>
        <w:tc>
          <w:tcPr>
            <w:tcW w:w="380" w:type="pct"/>
            <w:vMerge w:val="restart"/>
            <w:shd w:val="clear" w:color="auto" w:fill="auto"/>
            <w:noWrap/>
            <w:vAlign w:val="center"/>
            <w:hideMark/>
          </w:tcPr>
          <w:p w:rsidR="004858AE" w:rsidRPr="006428B0" w:rsidRDefault="004858AE" w:rsidP="006428B0">
            <w:pPr>
              <w:rPr>
                <w:color w:val="000000"/>
                <w:sz w:val="18"/>
                <w:szCs w:val="18"/>
              </w:rPr>
            </w:pPr>
            <w:r w:rsidRPr="006428B0">
              <w:rPr>
                <w:color w:val="000000"/>
                <w:sz w:val="18"/>
                <w:szCs w:val="18"/>
              </w:rPr>
              <w:t>ŘO IOP</w:t>
            </w:r>
          </w:p>
        </w:tc>
        <w:tc>
          <w:tcPr>
            <w:tcW w:w="380" w:type="pct"/>
            <w:shd w:val="clear" w:color="000000" w:fill="FFFFFF"/>
            <w:noWrap/>
            <w:vAlign w:val="bottom"/>
            <w:hideMark/>
          </w:tcPr>
          <w:p w:rsidR="004858AE" w:rsidRPr="006428B0" w:rsidRDefault="004858AE" w:rsidP="006428B0">
            <w:pPr>
              <w:jc w:val="center"/>
              <w:rPr>
                <w:color w:val="000000"/>
                <w:sz w:val="18"/>
                <w:szCs w:val="18"/>
              </w:rPr>
            </w:pPr>
            <w:r w:rsidRPr="006428B0">
              <w:rPr>
                <w:color w:val="000000"/>
                <w:sz w:val="18"/>
                <w:szCs w:val="18"/>
              </w:rPr>
              <w:t>Dosažená</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5</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12</w:t>
            </w:r>
          </w:p>
        </w:tc>
        <w:tc>
          <w:tcPr>
            <w:tcW w:w="245"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22</w:t>
            </w:r>
          </w:p>
        </w:tc>
        <w:tc>
          <w:tcPr>
            <w:tcW w:w="250" w:type="pct"/>
            <w:shd w:val="clear" w:color="000000" w:fill="FFFFFF"/>
            <w:vAlign w:val="bottom"/>
            <w:hideMark/>
          </w:tcPr>
          <w:p w:rsidR="004858AE" w:rsidRPr="006428B0" w:rsidRDefault="004858AE" w:rsidP="006428B0">
            <w:pPr>
              <w:jc w:val="right"/>
              <w:rPr>
                <w:color w:val="000000"/>
                <w:sz w:val="18"/>
                <w:szCs w:val="18"/>
              </w:rPr>
            </w:pPr>
            <w:r w:rsidRPr="006428B0">
              <w:rPr>
                <w:color w:val="000000"/>
                <w:sz w:val="18"/>
                <w:szCs w:val="18"/>
              </w:rPr>
              <w:t>31</w:t>
            </w:r>
          </w:p>
        </w:tc>
        <w:tc>
          <w:tcPr>
            <w:tcW w:w="335" w:type="pct"/>
            <w:shd w:val="clear" w:color="000000" w:fill="FFFFFF"/>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FFFFFF"/>
            <w:noWrap/>
            <w:vAlign w:val="bottom"/>
            <w:hideMark/>
          </w:tcPr>
          <w:p w:rsidR="004858AE" w:rsidRPr="006428B0" w:rsidRDefault="000713DF" w:rsidP="006428B0">
            <w:pPr>
              <w:jc w:val="right"/>
              <w:rPr>
                <w:color w:val="000000"/>
                <w:sz w:val="18"/>
                <w:szCs w:val="18"/>
              </w:rPr>
            </w:pPr>
            <w:r>
              <w:rPr>
                <w:color w:val="000000"/>
                <w:sz w:val="18"/>
                <w:szCs w:val="18"/>
              </w:rPr>
              <w:t>31</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000000" w:fill="D8E4BC"/>
            <w:noWrap/>
            <w:vAlign w:val="bottom"/>
            <w:hideMark/>
          </w:tcPr>
          <w:p w:rsidR="004858AE" w:rsidRPr="006428B0" w:rsidRDefault="004858AE" w:rsidP="006428B0">
            <w:pPr>
              <w:jc w:val="center"/>
              <w:rPr>
                <w:color w:val="000000"/>
                <w:sz w:val="18"/>
                <w:szCs w:val="18"/>
              </w:rPr>
            </w:pPr>
            <w:r w:rsidRPr="006428B0">
              <w:rPr>
                <w:color w:val="000000"/>
                <w:sz w:val="18"/>
                <w:szCs w:val="18"/>
              </w:rPr>
              <w:t>Výchozí</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Pr>
                <w:color w:val="000000"/>
                <w:sz w:val="18"/>
                <w:szCs w:val="18"/>
              </w:rPr>
              <w:t>0</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5</w:t>
            </w:r>
          </w:p>
        </w:tc>
        <w:tc>
          <w:tcPr>
            <w:tcW w:w="245"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12</w:t>
            </w:r>
          </w:p>
        </w:tc>
        <w:tc>
          <w:tcPr>
            <w:tcW w:w="250" w:type="pct"/>
            <w:shd w:val="clear" w:color="000000" w:fill="D8E4BC"/>
            <w:vAlign w:val="bottom"/>
            <w:hideMark/>
          </w:tcPr>
          <w:p w:rsidR="004858AE" w:rsidRPr="006428B0" w:rsidRDefault="004858AE" w:rsidP="006428B0">
            <w:pPr>
              <w:jc w:val="right"/>
              <w:rPr>
                <w:color w:val="000000"/>
                <w:sz w:val="18"/>
                <w:szCs w:val="18"/>
              </w:rPr>
            </w:pPr>
            <w:r w:rsidRPr="006428B0">
              <w:rPr>
                <w:color w:val="000000"/>
                <w:sz w:val="18"/>
                <w:szCs w:val="18"/>
              </w:rPr>
              <w:t>22</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c>
          <w:tcPr>
            <w:tcW w:w="335" w:type="pct"/>
            <w:shd w:val="clear" w:color="000000" w:fill="D8E4BC"/>
            <w:noWrap/>
            <w:vAlign w:val="bottom"/>
            <w:hideMark/>
          </w:tcPr>
          <w:p w:rsidR="004858AE" w:rsidRPr="006428B0" w:rsidRDefault="004858AE" w:rsidP="006428B0">
            <w:pPr>
              <w:jc w:val="right"/>
              <w:rPr>
                <w:color w:val="000000"/>
                <w:sz w:val="18"/>
                <w:szCs w:val="18"/>
              </w:rPr>
            </w:pPr>
            <w:r w:rsidRPr="006428B0">
              <w:rPr>
                <w:color w:val="000000"/>
                <w:sz w:val="18"/>
                <w:szCs w:val="18"/>
              </w:rPr>
              <w:t>N/A</w:t>
            </w:r>
          </w:p>
        </w:tc>
      </w:tr>
      <w:tr w:rsidR="004858AE" w:rsidRPr="006428B0" w:rsidTr="004858AE">
        <w:trPr>
          <w:trHeight w:val="301"/>
        </w:trPr>
        <w:tc>
          <w:tcPr>
            <w:tcW w:w="380" w:type="pct"/>
            <w:vMerge/>
            <w:vAlign w:val="center"/>
            <w:hideMark/>
          </w:tcPr>
          <w:p w:rsidR="004858AE" w:rsidRPr="006428B0" w:rsidRDefault="004858AE" w:rsidP="006428B0">
            <w:pPr>
              <w:rPr>
                <w:color w:val="000000"/>
                <w:sz w:val="18"/>
                <w:szCs w:val="18"/>
              </w:rPr>
            </w:pPr>
          </w:p>
        </w:tc>
        <w:tc>
          <w:tcPr>
            <w:tcW w:w="844"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vMerge/>
            <w:vAlign w:val="center"/>
            <w:hideMark/>
          </w:tcPr>
          <w:p w:rsidR="004858AE" w:rsidRPr="006428B0" w:rsidRDefault="004858AE" w:rsidP="006428B0">
            <w:pPr>
              <w:rPr>
                <w:color w:val="000000"/>
                <w:sz w:val="18"/>
                <w:szCs w:val="18"/>
              </w:rPr>
            </w:pPr>
          </w:p>
        </w:tc>
        <w:tc>
          <w:tcPr>
            <w:tcW w:w="380" w:type="pct"/>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Plánovaná</w:t>
            </w:r>
          </w:p>
        </w:tc>
        <w:tc>
          <w:tcPr>
            <w:tcW w:w="1965" w:type="pct"/>
            <w:gridSpan w:val="8"/>
            <w:shd w:val="clear" w:color="auto" w:fill="auto"/>
            <w:noWrap/>
            <w:vAlign w:val="bottom"/>
            <w:hideMark/>
          </w:tcPr>
          <w:p w:rsidR="004858AE" w:rsidRPr="006428B0" w:rsidRDefault="004858AE" w:rsidP="006428B0">
            <w:pPr>
              <w:jc w:val="center"/>
              <w:rPr>
                <w:color w:val="000000"/>
                <w:sz w:val="18"/>
                <w:szCs w:val="18"/>
              </w:rPr>
            </w:pPr>
            <w:r w:rsidRPr="006428B0">
              <w:rPr>
                <w:color w:val="000000"/>
                <w:sz w:val="18"/>
                <w:szCs w:val="18"/>
              </w:rPr>
              <w:t>N/A</w:t>
            </w:r>
          </w:p>
        </w:tc>
        <w:tc>
          <w:tcPr>
            <w:tcW w:w="335" w:type="pct"/>
            <w:shd w:val="clear" w:color="auto" w:fill="auto"/>
            <w:noWrap/>
            <w:vAlign w:val="bottom"/>
            <w:hideMark/>
          </w:tcPr>
          <w:p w:rsidR="004858AE" w:rsidRPr="006428B0" w:rsidRDefault="008062E1" w:rsidP="006428B0">
            <w:pPr>
              <w:jc w:val="right"/>
              <w:rPr>
                <w:color w:val="000000"/>
                <w:sz w:val="18"/>
                <w:szCs w:val="18"/>
              </w:rPr>
            </w:pPr>
            <w:r>
              <w:rPr>
                <w:color w:val="000000"/>
                <w:sz w:val="18"/>
                <w:szCs w:val="18"/>
              </w:rPr>
              <w:t>32</w:t>
            </w:r>
          </w:p>
        </w:tc>
        <w:tc>
          <w:tcPr>
            <w:tcW w:w="335" w:type="pct"/>
            <w:shd w:val="clear" w:color="auto" w:fill="auto"/>
            <w:noWrap/>
            <w:vAlign w:val="bottom"/>
            <w:hideMark/>
          </w:tcPr>
          <w:p w:rsidR="004858AE" w:rsidRPr="006428B0" w:rsidRDefault="008062E1" w:rsidP="006428B0">
            <w:pPr>
              <w:jc w:val="right"/>
              <w:rPr>
                <w:color w:val="000000"/>
                <w:sz w:val="18"/>
                <w:szCs w:val="18"/>
              </w:rPr>
            </w:pPr>
            <w:r>
              <w:rPr>
                <w:color w:val="000000"/>
                <w:sz w:val="18"/>
                <w:szCs w:val="18"/>
              </w:rPr>
              <w:t>32</w:t>
            </w:r>
          </w:p>
        </w:tc>
      </w:tr>
    </w:tbl>
    <w:p w:rsidR="00A75862" w:rsidRPr="00F11395" w:rsidRDefault="00A75862" w:rsidP="000C6057">
      <w:pPr>
        <w:rPr>
          <w:i/>
          <w:sz w:val="18"/>
          <w:szCs w:val="18"/>
        </w:rPr>
      </w:pPr>
      <w:r w:rsidRPr="00555962">
        <w:rPr>
          <w:i/>
          <w:sz w:val="18"/>
          <w:szCs w:val="18"/>
        </w:rPr>
        <w:t>Zdroj: MSC 2007 k</w:t>
      </w:r>
      <w:r w:rsidR="00BB47D7">
        <w:rPr>
          <w:i/>
          <w:sz w:val="18"/>
          <w:szCs w:val="18"/>
        </w:rPr>
        <w:t>e dni</w:t>
      </w:r>
      <w:r w:rsidRPr="00555962">
        <w:rPr>
          <w:i/>
          <w:sz w:val="18"/>
          <w:szCs w:val="18"/>
        </w:rPr>
        <w:t xml:space="preserve"> </w:t>
      </w:r>
      <w:r w:rsidR="00AE4209">
        <w:rPr>
          <w:i/>
          <w:sz w:val="18"/>
          <w:szCs w:val="18"/>
        </w:rPr>
        <w:t>2. 3. 2015</w:t>
      </w:r>
    </w:p>
    <w:p w:rsidR="00A75862" w:rsidRDefault="00A75862" w:rsidP="000C6057"/>
    <w:p w:rsidR="00AD00DA" w:rsidRDefault="00D3474F" w:rsidP="0036460E">
      <w:pPr>
        <w:pStyle w:val="Tabulkanzev"/>
      </w:pPr>
      <w:bookmarkStart w:id="206" w:name="_Toc416431848"/>
      <w:r>
        <w:t>Indikátory výsledku</w:t>
      </w:r>
      <w:r w:rsidR="00C13604">
        <w:t xml:space="preserve"> v PO 4</w:t>
      </w:r>
      <w:bookmarkEnd w:id="206"/>
    </w:p>
    <w:tbl>
      <w:tblPr>
        <w:tblW w:w="14096" w:type="dxa"/>
        <w:tblInd w:w="65" w:type="dxa"/>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1073"/>
        <w:gridCol w:w="2376"/>
        <w:gridCol w:w="1073"/>
        <w:gridCol w:w="1073"/>
        <w:gridCol w:w="1073"/>
        <w:gridCol w:w="693"/>
        <w:gridCol w:w="693"/>
        <w:gridCol w:w="693"/>
        <w:gridCol w:w="693"/>
        <w:gridCol w:w="693"/>
        <w:gridCol w:w="693"/>
        <w:gridCol w:w="693"/>
        <w:gridCol w:w="697"/>
        <w:gridCol w:w="940"/>
        <w:gridCol w:w="940"/>
      </w:tblGrid>
      <w:tr w:rsidR="00FB2F38" w:rsidRPr="00AD00DA" w:rsidTr="007A66C3">
        <w:trPr>
          <w:trHeight w:val="1018"/>
          <w:tblHeader/>
        </w:trPr>
        <w:tc>
          <w:tcPr>
            <w:tcW w:w="107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Kód NČI</w:t>
            </w:r>
          </w:p>
        </w:tc>
        <w:tc>
          <w:tcPr>
            <w:tcW w:w="2376" w:type="dxa"/>
            <w:shd w:val="clear" w:color="000000" w:fill="C4D79B"/>
            <w:vAlign w:val="center"/>
            <w:hideMark/>
          </w:tcPr>
          <w:p w:rsidR="000713DF" w:rsidRPr="00AD00DA" w:rsidRDefault="000713DF" w:rsidP="00AD00DA">
            <w:pPr>
              <w:jc w:val="center"/>
              <w:rPr>
                <w:b/>
                <w:bCs/>
                <w:color w:val="000000"/>
              </w:rPr>
            </w:pPr>
            <w:r w:rsidRPr="00AD00DA">
              <w:rPr>
                <w:b/>
                <w:bCs/>
                <w:color w:val="000000"/>
              </w:rPr>
              <w:t>Název indikátoru</w:t>
            </w:r>
          </w:p>
        </w:tc>
        <w:tc>
          <w:tcPr>
            <w:tcW w:w="1073" w:type="dxa"/>
            <w:shd w:val="clear" w:color="000000" w:fill="C4D79B"/>
            <w:vAlign w:val="center"/>
            <w:hideMark/>
          </w:tcPr>
          <w:p w:rsidR="000713DF" w:rsidRPr="00AD00DA" w:rsidRDefault="000713DF" w:rsidP="00AD00DA">
            <w:pPr>
              <w:jc w:val="center"/>
              <w:rPr>
                <w:b/>
                <w:bCs/>
                <w:color w:val="000000"/>
              </w:rPr>
            </w:pPr>
            <w:r w:rsidRPr="00AD00DA">
              <w:rPr>
                <w:b/>
                <w:bCs/>
                <w:color w:val="000000"/>
              </w:rPr>
              <w:t>Měrná jednotka</w:t>
            </w:r>
          </w:p>
        </w:tc>
        <w:tc>
          <w:tcPr>
            <w:tcW w:w="107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 xml:space="preserve">Zdroj </w:t>
            </w:r>
          </w:p>
        </w:tc>
        <w:tc>
          <w:tcPr>
            <w:tcW w:w="107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 xml:space="preserve">Hodnota </w:t>
            </w:r>
          </w:p>
        </w:tc>
        <w:tc>
          <w:tcPr>
            <w:tcW w:w="69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2007</w:t>
            </w:r>
          </w:p>
        </w:tc>
        <w:tc>
          <w:tcPr>
            <w:tcW w:w="69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2008</w:t>
            </w:r>
          </w:p>
        </w:tc>
        <w:tc>
          <w:tcPr>
            <w:tcW w:w="69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2009</w:t>
            </w:r>
          </w:p>
        </w:tc>
        <w:tc>
          <w:tcPr>
            <w:tcW w:w="69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2010</w:t>
            </w:r>
          </w:p>
        </w:tc>
        <w:tc>
          <w:tcPr>
            <w:tcW w:w="69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2011</w:t>
            </w:r>
          </w:p>
        </w:tc>
        <w:tc>
          <w:tcPr>
            <w:tcW w:w="69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2012</w:t>
            </w:r>
          </w:p>
        </w:tc>
        <w:tc>
          <w:tcPr>
            <w:tcW w:w="693"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2013</w:t>
            </w:r>
          </w:p>
        </w:tc>
        <w:tc>
          <w:tcPr>
            <w:tcW w:w="697" w:type="dxa"/>
            <w:shd w:val="clear" w:color="000000" w:fill="C4D79B"/>
            <w:noWrap/>
            <w:vAlign w:val="center"/>
            <w:hideMark/>
          </w:tcPr>
          <w:p w:rsidR="000713DF" w:rsidRPr="00AD00DA" w:rsidRDefault="000713DF" w:rsidP="00AD00DA">
            <w:pPr>
              <w:jc w:val="center"/>
              <w:rPr>
                <w:b/>
                <w:bCs/>
                <w:color w:val="000000"/>
              </w:rPr>
            </w:pPr>
            <w:r w:rsidRPr="00AD00DA">
              <w:rPr>
                <w:b/>
                <w:bCs/>
                <w:color w:val="000000"/>
              </w:rPr>
              <w:t>2014</w:t>
            </w:r>
          </w:p>
        </w:tc>
        <w:tc>
          <w:tcPr>
            <w:tcW w:w="940" w:type="dxa"/>
            <w:shd w:val="clear" w:color="000000" w:fill="C4D79B"/>
            <w:vAlign w:val="center"/>
            <w:hideMark/>
          </w:tcPr>
          <w:p w:rsidR="000713DF" w:rsidRPr="00AD00DA" w:rsidRDefault="000713DF" w:rsidP="00FB2F38">
            <w:pPr>
              <w:jc w:val="center"/>
              <w:rPr>
                <w:b/>
                <w:bCs/>
                <w:color w:val="000000"/>
              </w:rPr>
            </w:pPr>
            <w:r w:rsidRPr="00AD00DA">
              <w:rPr>
                <w:b/>
                <w:bCs/>
                <w:color w:val="000000"/>
              </w:rPr>
              <w:t xml:space="preserve">Cílová hodnota 2015 </w:t>
            </w:r>
          </w:p>
        </w:tc>
        <w:tc>
          <w:tcPr>
            <w:tcW w:w="940" w:type="dxa"/>
            <w:shd w:val="clear" w:color="000000" w:fill="C4D79B"/>
            <w:vAlign w:val="center"/>
            <w:hideMark/>
          </w:tcPr>
          <w:p w:rsidR="000713DF" w:rsidRPr="00AD00DA" w:rsidRDefault="00FB2F38" w:rsidP="00AD00DA">
            <w:pPr>
              <w:jc w:val="center"/>
              <w:rPr>
                <w:b/>
                <w:bCs/>
                <w:color w:val="000000"/>
              </w:rPr>
            </w:pPr>
            <w:r>
              <w:rPr>
                <w:b/>
                <w:bCs/>
                <w:color w:val="000000"/>
              </w:rPr>
              <w:t>Celkem</w:t>
            </w:r>
          </w:p>
        </w:tc>
      </w:tr>
      <w:tr w:rsidR="00FB2F38" w:rsidRPr="00AD00DA" w:rsidTr="00FB2F38">
        <w:trPr>
          <w:trHeight w:val="300"/>
        </w:trPr>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413311</w:t>
            </w:r>
          </w:p>
        </w:tc>
        <w:tc>
          <w:tcPr>
            <w:tcW w:w="2376" w:type="dxa"/>
            <w:vMerge w:val="restart"/>
            <w:shd w:val="clear" w:color="000000" w:fill="FFFFFF"/>
            <w:vAlign w:val="center"/>
            <w:hideMark/>
          </w:tcPr>
          <w:p w:rsidR="000713DF" w:rsidRPr="00AD00DA" w:rsidRDefault="0095318B" w:rsidP="0030702B">
            <w:pPr>
              <w:rPr>
                <w:color w:val="000000"/>
                <w:sz w:val="18"/>
                <w:szCs w:val="18"/>
              </w:rPr>
            </w:pPr>
            <w:hyperlink r:id="rId39" w:anchor="RANGE!_ftn1" w:history="1">
              <w:r w:rsidR="000713DF" w:rsidRPr="00AD00DA">
                <w:rPr>
                  <w:color w:val="000000"/>
                  <w:sz w:val="18"/>
                  <w:szCs w:val="18"/>
                </w:rPr>
                <w:t>Podíl subjektů CR v ČR, které budou napojeny na informační systém</w:t>
              </w:r>
            </w:hyperlink>
          </w:p>
        </w:tc>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w:t>
            </w:r>
          </w:p>
        </w:tc>
        <w:tc>
          <w:tcPr>
            <w:tcW w:w="1073" w:type="dxa"/>
            <w:vMerge w:val="restart"/>
            <w:shd w:val="clear" w:color="auto" w:fill="auto"/>
            <w:vAlign w:val="center"/>
            <w:hideMark/>
          </w:tcPr>
          <w:p w:rsidR="000713DF" w:rsidRPr="00AD00DA" w:rsidRDefault="000713DF" w:rsidP="00AD00DA">
            <w:pPr>
              <w:rPr>
                <w:color w:val="000000"/>
                <w:sz w:val="18"/>
                <w:szCs w:val="18"/>
              </w:rPr>
            </w:pPr>
            <w:r w:rsidRPr="00AD00DA">
              <w:rPr>
                <w:color w:val="000000"/>
                <w:sz w:val="18"/>
                <w:szCs w:val="18"/>
              </w:rPr>
              <w:t>ŘO IOP</w:t>
            </w:r>
          </w:p>
        </w:tc>
        <w:tc>
          <w:tcPr>
            <w:tcW w:w="1073" w:type="dxa"/>
            <w:shd w:val="clear" w:color="000000" w:fill="FFFFFF"/>
            <w:noWrap/>
            <w:vAlign w:val="bottom"/>
            <w:hideMark/>
          </w:tcPr>
          <w:p w:rsidR="000713DF" w:rsidRPr="00AD00DA" w:rsidRDefault="000713DF" w:rsidP="00AD00DA">
            <w:pPr>
              <w:jc w:val="center"/>
              <w:rPr>
                <w:color w:val="000000"/>
                <w:sz w:val="18"/>
                <w:szCs w:val="18"/>
              </w:rPr>
            </w:pPr>
            <w:r w:rsidRPr="00AD00DA">
              <w:rPr>
                <w:color w:val="000000"/>
                <w:sz w:val="18"/>
                <w:szCs w:val="18"/>
              </w:rPr>
              <w:t>Dosažená</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7"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940"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c>
          <w:tcPr>
            <w:tcW w:w="940" w:type="dxa"/>
            <w:shd w:val="clear" w:color="000000" w:fill="FFFFFF"/>
            <w:noWrap/>
            <w:vAlign w:val="bottom"/>
            <w:hideMark/>
          </w:tcPr>
          <w:p w:rsidR="000713DF" w:rsidRPr="00AD00DA" w:rsidRDefault="00FB2F38" w:rsidP="00AD00DA">
            <w:pPr>
              <w:jc w:val="right"/>
              <w:rPr>
                <w:color w:val="000000"/>
                <w:sz w:val="18"/>
                <w:szCs w:val="18"/>
              </w:rPr>
            </w:pPr>
            <w:r>
              <w:rPr>
                <w:color w:val="000000"/>
                <w:sz w:val="18"/>
                <w:szCs w:val="18"/>
              </w:rPr>
              <w:t>0</w:t>
            </w:r>
          </w:p>
        </w:tc>
      </w:tr>
      <w:tr w:rsidR="00FB2F38" w:rsidRPr="00AD00DA" w:rsidTr="00FB2F38">
        <w:trPr>
          <w:trHeight w:val="300"/>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000000" w:fill="D8E4BC"/>
            <w:noWrap/>
            <w:vAlign w:val="bottom"/>
            <w:hideMark/>
          </w:tcPr>
          <w:p w:rsidR="000713DF" w:rsidRPr="00AD00DA" w:rsidRDefault="000713DF" w:rsidP="00AD00DA">
            <w:pPr>
              <w:jc w:val="center"/>
              <w:rPr>
                <w:color w:val="000000"/>
                <w:sz w:val="18"/>
                <w:szCs w:val="18"/>
              </w:rPr>
            </w:pPr>
            <w:r w:rsidRPr="00AD00DA">
              <w:rPr>
                <w:color w:val="000000"/>
                <w:sz w:val="18"/>
                <w:szCs w:val="18"/>
              </w:rPr>
              <w:t>Výchozí</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7"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940" w:type="dxa"/>
            <w:shd w:val="clear" w:color="000000" w:fill="D8E4BC"/>
            <w:noWrap/>
            <w:vAlign w:val="bottom"/>
            <w:hideMark/>
          </w:tcPr>
          <w:p w:rsidR="000713DF" w:rsidRPr="00AD00DA" w:rsidRDefault="000713DF" w:rsidP="00AD00DA">
            <w:pPr>
              <w:jc w:val="right"/>
              <w:rPr>
                <w:color w:val="000000"/>
                <w:sz w:val="18"/>
                <w:szCs w:val="18"/>
              </w:rPr>
            </w:pPr>
            <w:r>
              <w:rPr>
                <w:color w:val="000000"/>
                <w:sz w:val="18"/>
                <w:szCs w:val="18"/>
              </w:rPr>
              <w:t>0</w:t>
            </w:r>
          </w:p>
        </w:tc>
        <w:tc>
          <w:tcPr>
            <w:tcW w:w="940"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r>
      <w:tr w:rsidR="000713DF" w:rsidRPr="00AD00DA" w:rsidTr="00FB2F38">
        <w:trPr>
          <w:trHeight w:val="300"/>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Plánovaná</w:t>
            </w:r>
          </w:p>
        </w:tc>
        <w:tc>
          <w:tcPr>
            <w:tcW w:w="5548" w:type="dxa"/>
            <w:gridSpan w:val="8"/>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N/A</w:t>
            </w:r>
          </w:p>
        </w:tc>
        <w:tc>
          <w:tcPr>
            <w:tcW w:w="940" w:type="dxa"/>
            <w:shd w:val="clear" w:color="auto" w:fill="auto"/>
            <w:noWrap/>
            <w:vAlign w:val="bottom"/>
            <w:hideMark/>
          </w:tcPr>
          <w:p w:rsidR="000713DF" w:rsidRPr="00AD00DA" w:rsidRDefault="008062E1" w:rsidP="00AD00DA">
            <w:pPr>
              <w:jc w:val="right"/>
              <w:rPr>
                <w:color w:val="000000"/>
                <w:sz w:val="18"/>
                <w:szCs w:val="18"/>
              </w:rPr>
            </w:pPr>
            <w:r>
              <w:rPr>
                <w:color w:val="000000"/>
                <w:sz w:val="18"/>
                <w:szCs w:val="18"/>
              </w:rPr>
              <w:t>50</w:t>
            </w:r>
          </w:p>
        </w:tc>
        <w:tc>
          <w:tcPr>
            <w:tcW w:w="940" w:type="dxa"/>
            <w:shd w:val="clear" w:color="auto" w:fill="auto"/>
            <w:noWrap/>
            <w:vAlign w:val="bottom"/>
            <w:hideMark/>
          </w:tcPr>
          <w:p w:rsidR="000713DF" w:rsidRPr="00AD00DA" w:rsidRDefault="008062E1" w:rsidP="00AD00DA">
            <w:pPr>
              <w:jc w:val="right"/>
              <w:rPr>
                <w:color w:val="000000"/>
                <w:sz w:val="18"/>
                <w:szCs w:val="18"/>
              </w:rPr>
            </w:pPr>
            <w:r>
              <w:rPr>
                <w:color w:val="000000"/>
                <w:sz w:val="18"/>
                <w:szCs w:val="18"/>
              </w:rPr>
              <w:t>50</w:t>
            </w:r>
          </w:p>
        </w:tc>
      </w:tr>
      <w:tr w:rsidR="00FB2F38" w:rsidRPr="00AD00DA" w:rsidTr="00FB2F38">
        <w:trPr>
          <w:trHeight w:val="300"/>
        </w:trPr>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413320</w:t>
            </w:r>
          </w:p>
        </w:tc>
        <w:tc>
          <w:tcPr>
            <w:tcW w:w="2376" w:type="dxa"/>
            <w:vMerge w:val="restart"/>
            <w:shd w:val="clear" w:color="000000" w:fill="FFFFFF"/>
            <w:vAlign w:val="center"/>
            <w:hideMark/>
          </w:tcPr>
          <w:p w:rsidR="000713DF" w:rsidRPr="00AD00DA" w:rsidRDefault="000713DF" w:rsidP="00AD00DA">
            <w:pPr>
              <w:rPr>
                <w:color w:val="000000"/>
                <w:sz w:val="18"/>
                <w:szCs w:val="18"/>
              </w:rPr>
            </w:pPr>
            <w:r w:rsidRPr="00AD00DA">
              <w:rPr>
                <w:color w:val="000000"/>
                <w:sz w:val="18"/>
                <w:szCs w:val="18"/>
              </w:rPr>
              <w:t xml:space="preserve">Počet nově klasifikovaných </w:t>
            </w:r>
            <w:r w:rsidR="00AE4209">
              <w:rPr>
                <w:color w:val="000000"/>
                <w:sz w:val="18"/>
                <w:szCs w:val="18"/>
              </w:rPr>
              <w:br/>
            </w:r>
            <w:r w:rsidRPr="00AD00DA">
              <w:rPr>
                <w:color w:val="000000"/>
                <w:sz w:val="18"/>
                <w:szCs w:val="18"/>
              </w:rPr>
              <w:lastRenderedPageBreak/>
              <w:t>a certifikovaných subjektů v oblasti CR</w:t>
            </w:r>
          </w:p>
        </w:tc>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lastRenderedPageBreak/>
              <w:t>Počet</w:t>
            </w:r>
          </w:p>
        </w:tc>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ŘO IOP</w:t>
            </w:r>
          </w:p>
        </w:tc>
        <w:tc>
          <w:tcPr>
            <w:tcW w:w="1073" w:type="dxa"/>
            <w:shd w:val="clear" w:color="000000" w:fill="FFFFFF"/>
            <w:noWrap/>
            <w:vAlign w:val="bottom"/>
            <w:hideMark/>
          </w:tcPr>
          <w:p w:rsidR="000713DF" w:rsidRPr="00AD00DA" w:rsidRDefault="000713DF" w:rsidP="00AD00DA">
            <w:pPr>
              <w:jc w:val="center"/>
              <w:rPr>
                <w:color w:val="000000"/>
                <w:sz w:val="18"/>
                <w:szCs w:val="18"/>
              </w:rPr>
            </w:pPr>
            <w:r w:rsidRPr="00AD00DA">
              <w:rPr>
                <w:color w:val="000000"/>
                <w:sz w:val="18"/>
                <w:szCs w:val="18"/>
              </w:rPr>
              <w:t>Dosažená</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389</w:t>
            </w:r>
          </w:p>
        </w:tc>
        <w:tc>
          <w:tcPr>
            <w:tcW w:w="697"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853</w:t>
            </w:r>
          </w:p>
        </w:tc>
        <w:tc>
          <w:tcPr>
            <w:tcW w:w="940"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c>
          <w:tcPr>
            <w:tcW w:w="940" w:type="dxa"/>
            <w:shd w:val="clear" w:color="000000" w:fill="FFFFFF"/>
            <w:noWrap/>
            <w:vAlign w:val="bottom"/>
            <w:hideMark/>
          </w:tcPr>
          <w:p w:rsidR="000713DF" w:rsidRPr="00AD00DA" w:rsidRDefault="00FB2F38" w:rsidP="00AD00DA">
            <w:pPr>
              <w:jc w:val="right"/>
              <w:rPr>
                <w:color w:val="000000"/>
                <w:sz w:val="18"/>
                <w:szCs w:val="18"/>
              </w:rPr>
            </w:pPr>
            <w:r>
              <w:rPr>
                <w:color w:val="000000"/>
                <w:sz w:val="18"/>
                <w:szCs w:val="18"/>
              </w:rPr>
              <w:t>853</w:t>
            </w:r>
          </w:p>
        </w:tc>
      </w:tr>
      <w:tr w:rsidR="00FB2F38" w:rsidRPr="00AD00DA" w:rsidTr="00FB2F38">
        <w:trPr>
          <w:trHeight w:val="300"/>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000000" w:fill="D8E4BC"/>
            <w:noWrap/>
            <w:vAlign w:val="bottom"/>
            <w:hideMark/>
          </w:tcPr>
          <w:p w:rsidR="000713DF" w:rsidRPr="00AD00DA" w:rsidRDefault="000713DF" w:rsidP="00AD00DA">
            <w:pPr>
              <w:jc w:val="center"/>
              <w:rPr>
                <w:color w:val="000000"/>
                <w:sz w:val="18"/>
                <w:szCs w:val="18"/>
              </w:rPr>
            </w:pPr>
            <w:r w:rsidRPr="00AD00DA">
              <w:rPr>
                <w:color w:val="000000"/>
                <w:sz w:val="18"/>
                <w:szCs w:val="18"/>
              </w:rPr>
              <w:t>Výchozí</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7"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389</w:t>
            </w:r>
          </w:p>
        </w:tc>
        <w:tc>
          <w:tcPr>
            <w:tcW w:w="940"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c>
          <w:tcPr>
            <w:tcW w:w="940"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r>
      <w:tr w:rsidR="000713DF" w:rsidRPr="00AD00DA" w:rsidTr="00FB2F38">
        <w:trPr>
          <w:trHeight w:val="300"/>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Plánovaná</w:t>
            </w:r>
          </w:p>
        </w:tc>
        <w:tc>
          <w:tcPr>
            <w:tcW w:w="5548" w:type="dxa"/>
            <w:gridSpan w:val="8"/>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N/A</w:t>
            </w:r>
          </w:p>
        </w:tc>
        <w:tc>
          <w:tcPr>
            <w:tcW w:w="940" w:type="dxa"/>
            <w:shd w:val="clear" w:color="auto" w:fill="auto"/>
            <w:noWrap/>
            <w:vAlign w:val="bottom"/>
            <w:hideMark/>
          </w:tcPr>
          <w:p w:rsidR="000713DF" w:rsidRPr="00AD00DA" w:rsidRDefault="00FB2F38" w:rsidP="00AD00DA">
            <w:pPr>
              <w:jc w:val="right"/>
              <w:rPr>
                <w:color w:val="000000"/>
                <w:sz w:val="18"/>
                <w:szCs w:val="18"/>
              </w:rPr>
            </w:pPr>
            <w:r>
              <w:rPr>
                <w:color w:val="000000"/>
                <w:sz w:val="18"/>
                <w:szCs w:val="18"/>
              </w:rPr>
              <w:t>2000</w:t>
            </w:r>
          </w:p>
        </w:tc>
        <w:tc>
          <w:tcPr>
            <w:tcW w:w="940" w:type="dxa"/>
            <w:shd w:val="clear" w:color="auto" w:fill="auto"/>
            <w:noWrap/>
            <w:vAlign w:val="bottom"/>
            <w:hideMark/>
          </w:tcPr>
          <w:p w:rsidR="000713DF" w:rsidRPr="00AD00DA" w:rsidRDefault="00FB2F38" w:rsidP="00AD00DA">
            <w:pPr>
              <w:jc w:val="right"/>
              <w:rPr>
                <w:color w:val="000000"/>
                <w:sz w:val="18"/>
                <w:szCs w:val="18"/>
              </w:rPr>
            </w:pPr>
            <w:r>
              <w:rPr>
                <w:color w:val="000000"/>
                <w:sz w:val="18"/>
                <w:szCs w:val="18"/>
              </w:rPr>
              <w:t>2000</w:t>
            </w:r>
          </w:p>
        </w:tc>
      </w:tr>
      <w:tr w:rsidR="00FB2F38" w:rsidRPr="00AD00DA" w:rsidTr="00FB2F38">
        <w:trPr>
          <w:trHeight w:val="300"/>
        </w:trPr>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413321</w:t>
            </w:r>
          </w:p>
        </w:tc>
        <w:tc>
          <w:tcPr>
            <w:tcW w:w="2376" w:type="dxa"/>
            <w:vMerge w:val="restart"/>
            <w:shd w:val="clear" w:color="000000" w:fill="FFFFFF"/>
            <w:vAlign w:val="center"/>
            <w:hideMark/>
          </w:tcPr>
          <w:p w:rsidR="000713DF" w:rsidRPr="00AD00DA" w:rsidRDefault="000713DF" w:rsidP="00AD00DA">
            <w:pPr>
              <w:rPr>
                <w:color w:val="000000"/>
                <w:sz w:val="18"/>
                <w:szCs w:val="18"/>
              </w:rPr>
            </w:pPr>
            <w:r w:rsidRPr="00AD00DA">
              <w:rPr>
                <w:color w:val="000000"/>
                <w:sz w:val="18"/>
                <w:szCs w:val="18"/>
              </w:rPr>
              <w:t>Počet vytvořených zdrojových databází</w:t>
            </w:r>
          </w:p>
        </w:tc>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Počet</w:t>
            </w:r>
          </w:p>
        </w:tc>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ŘO IOP</w:t>
            </w:r>
          </w:p>
        </w:tc>
        <w:tc>
          <w:tcPr>
            <w:tcW w:w="1073" w:type="dxa"/>
            <w:shd w:val="clear" w:color="000000" w:fill="FFFFFF"/>
            <w:noWrap/>
            <w:vAlign w:val="bottom"/>
            <w:hideMark/>
          </w:tcPr>
          <w:p w:rsidR="000713DF" w:rsidRPr="00AD00DA" w:rsidRDefault="000713DF" w:rsidP="00AD00DA">
            <w:pPr>
              <w:jc w:val="center"/>
              <w:rPr>
                <w:color w:val="000000"/>
                <w:sz w:val="18"/>
                <w:szCs w:val="18"/>
              </w:rPr>
            </w:pPr>
            <w:r w:rsidRPr="00AD00DA">
              <w:rPr>
                <w:color w:val="000000"/>
                <w:sz w:val="18"/>
                <w:szCs w:val="18"/>
              </w:rPr>
              <w:t>Dosažená</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FB2F38"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7"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6</w:t>
            </w:r>
          </w:p>
        </w:tc>
        <w:tc>
          <w:tcPr>
            <w:tcW w:w="940"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c>
          <w:tcPr>
            <w:tcW w:w="940" w:type="dxa"/>
            <w:shd w:val="clear" w:color="000000" w:fill="FFFFFF"/>
            <w:noWrap/>
            <w:vAlign w:val="bottom"/>
            <w:hideMark/>
          </w:tcPr>
          <w:p w:rsidR="000713DF" w:rsidRPr="00AD00DA" w:rsidRDefault="00FB2F38" w:rsidP="00AD00DA">
            <w:pPr>
              <w:jc w:val="right"/>
              <w:rPr>
                <w:color w:val="000000"/>
                <w:sz w:val="18"/>
                <w:szCs w:val="18"/>
              </w:rPr>
            </w:pPr>
            <w:r>
              <w:rPr>
                <w:color w:val="000000"/>
                <w:sz w:val="18"/>
                <w:szCs w:val="18"/>
              </w:rPr>
              <w:t>6</w:t>
            </w:r>
          </w:p>
        </w:tc>
      </w:tr>
      <w:tr w:rsidR="00FB2F38" w:rsidRPr="00AD00DA" w:rsidTr="00FB2F38">
        <w:trPr>
          <w:trHeight w:val="300"/>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000000" w:fill="D8E4BC"/>
            <w:noWrap/>
            <w:vAlign w:val="bottom"/>
            <w:hideMark/>
          </w:tcPr>
          <w:p w:rsidR="000713DF" w:rsidRPr="00AD00DA" w:rsidRDefault="000713DF" w:rsidP="00AD00DA">
            <w:pPr>
              <w:jc w:val="center"/>
              <w:rPr>
                <w:color w:val="000000"/>
                <w:sz w:val="18"/>
                <w:szCs w:val="18"/>
              </w:rPr>
            </w:pPr>
            <w:r w:rsidRPr="00AD00DA">
              <w:rPr>
                <w:color w:val="000000"/>
                <w:sz w:val="18"/>
                <w:szCs w:val="18"/>
              </w:rPr>
              <w:t>Výchozí</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D8E4BC"/>
            <w:vAlign w:val="bottom"/>
            <w:hideMark/>
          </w:tcPr>
          <w:p w:rsidR="000713DF" w:rsidRPr="00AD00DA" w:rsidRDefault="00FB2F38" w:rsidP="00AD00DA">
            <w:pPr>
              <w:jc w:val="right"/>
              <w:rPr>
                <w:color w:val="000000"/>
                <w:sz w:val="18"/>
                <w:szCs w:val="18"/>
              </w:rPr>
            </w:pPr>
            <w:r>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7"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940"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c>
          <w:tcPr>
            <w:tcW w:w="940"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r>
      <w:tr w:rsidR="000713DF" w:rsidRPr="00AD00DA" w:rsidTr="00FB2F38">
        <w:trPr>
          <w:trHeight w:val="375"/>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Plánovaná</w:t>
            </w:r>
          </w:p>
        </w:tc>
        <w:tc>
          <w:tcPr>
            <w:tcW w:w="5548" w:type="dxa"/>
            <w:gridSpan w:val="8"/>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N/A</w:t>
            </w:r>
          </w:p>
        </w:tc>
        <w:tc>
          <w:tcPr>
            <w:tcW w:w="940" w:type="dxa"/>
            <w:shd w:val="clear" w:color="auto" w:fill="auto"/>
            <w:noWrap/>
            <w:vAlign w:val="bottom"/>
            <w:hideMark/>
          </w:tcPr>
          <w:p w:rsidR="000713DF" w:rsidRPr="00AD00DA" w:rsidRDefault="008062E1" w:rsidP="00AD00DA">
            <w:pPr>
              <w:jc w:val="right"/>
              <w:rPr>
                <w:color w:val="000000"/>
                <w:sz w:val="18"/>
                <w:szCs w:val="18"/>
              </w:rPr>
            </w:pPr>
            <w:r>
              <w:rPr>
                <w:color w:val="000000"/>
                <w:sz w:val="18"/>
                <w:szCs w:val="18"/>
              </w:rPr>
              <w:t>6</w:t>
            </w:r>
          </w:p>
        </w:tc>
        <w:tc>
          <w:tcPr>
            <w:tcW w:w="940" w:type="dxa"/>
            <w:shd w:val="clear" w:color="auto" w:fill="auto"/>
            <w:noWrap/>
            <w:vAlign w:val="bottom"/>
            <w:hideMark/>
          </w:tcPr>
          <w:p w:rsidR="000713DF" w:rsidRPr="00AD00DA" w:rsidRDefault="008062E1" w:rsidP="00AD00DA">
            <w:pPr>
              <w:jc w:val="right"/>
              <w:rPr>
                <w:color w:val="000000"/>
                <w:sz w:val="18"/>
                <w:szCs w:val="18"/>
              </w:rPr>
            </w:pPr>
            <w:r>
              <w:rPr>
                <w:color w:val="000000"/>
                <w:sz w:val="18"/>
                <w:szCs w:val="18"/>
              </w:rPr>
              <w:t>6</w:t>
            </w:r>
          </w:p>
        </w:tc>
      </w:tr>
      <w:tr w:rsidR="00FB2F38" w:rsidRPr="00AD00DA" w:rsidTr="00FB2F38">
        <w:trPr>
          <w:trHeight w:val="315"/>
        </w:trPr>
        <w:tc>
          <w:tcPr>
            <w:tcW w:w="1073" w:type="dxa"/>
            <w:vMerge w:val="restart"/>
            <w:shd w:val="clear" w:color="auto" w:fill="auto"/>
            <w:noWrap/>
            <w:vAlign w:val="center"/>
            <w:hideMark/>
          </w:tcPr>
          <w:p w:rsidR="000713DF" w:rsidRPr="00AD00DA" w:rsidRDefault="000713DF" w:rsidP="00AD00DA">
            <w:pPr>
              <w:rPr>
                <w:color w:val="000000"/>
                <w:sz w:val="18"/>
                <w:szCs w:val="18"/>
              </w:rPr>
            </w:pPr>
            <w:r w:rsidRPr="00AD00DA">
              <w:rPr>
                <w:color w:val="000000"/>
                <w:sz w:val="18"/>
                <w:szCs w:val="18"/>
              </w:rPr>
              <w:t>410302</w:t>
            </w:r>
          </w:p>
        </w:tc>
        <w:tc>
          <w:tcPr>
            <w:tcW w:w="2376" w:type="dxa"/>
            <w:vMerge w:val="restart"/>
            <w:shd w:val="clear" w:color="000000" w:fill="FFFFFF"/>
            <w:vAlign w:val="center"/>
            <w:hideMark/>
          </w:tcPr>
          <w:p w:rsidR="000713DF" w:rsidRPr="00AD00DA" w:rsidRDefault="000713DF" w:rsidP="00AD00DA">
            <w:pPr>
              <w:rPr>
                <w:color w:val="000000"/>
                <w:sz w:val="18"/>
                <w:szCs w:val="18"/>
              </w:rPr>
            </w:pPr>
            <w:r w:rsidRPr="00AD00DA">
              <w:rPr>
                <w:color w:val="000000"/>
                <w:sz w:val="18"/>
                <w:szCs w:val="18"/>
              </w:rPr>
              <w:t>Počet vytvořených propagačních nebo marketingových produktů pro CR</w:t>
            </w:r>
          </w:p>
        </w:tc>
        <w:tc>
          <w:tcPr>
            <w:tcW w:w="1073" w:type="dxa"/>
            <w:vMerge w:val="restart"/>
            <w:shd w:val="clear" w:color="auto" w:fill="auto"/>
            <w:vAlign w:val="center"/>
            <w:hideMark/>
          </w:tcPr>
          <w:p w:rsidR="000713DF" w:rsidRPr="00AD00DA" w:rsidRDefault="000713DF" w:rsidP="00AD00DA">
            <w:pPr>
              <w:rPr>
                <w:color w:val="000000"/>
                <w:sz w:val="18"/>
                <w:szCs w:val="18"/>
              </w:rPr>
            </w:pPr>
            <w:r w:rsidRPr="00AD00DA">
              <w:rPr>
                <w:color w:val="000000"/>
                <w:sz w:val="18"/>
                <w:szCs w:val="18"/>
              </w:rPr>
              <w:t>Počet</w:t>
            </w:r>
          </w:p>
        </w:tc>
        <w:tc>
          <w:tcPr>
            <w:tcW w:w="1073" w:type="dxa"/>
            <w:vMerge w:val="restart"/>
            <w:shd w:val="clear" w:color="auto" w:fill="auto"/>
            <w:vAlign w:val="center"/>
            <w:hideMark/>
          </w:tcPr>
          <w:p w:rsidR="000713DF" w:rsidRPr="00AD00DA" w:rsidRDefault="000713DF" w:rsidP="00AD00DA">
            <w:pPr>
              <w:rPr>
                <w:color w:val="000000"/>
                <w:sz w:val="18"/>
                <w:szCs w:val="18"/>
              </w:rPr>
            </w:pPr>
            <w:r w:rsidRPr="00AD00DA">
              <w:rPr>
                <w:color w:val="000000"/>
                <w:sz w:val="18"/>
                <w:szCs w:val="18"/>
              </w:rPr>
              <w:t>ŘO IOP</w:t>
            </w:r>
          </w:p>
        </w:tc>
        <w:tc>
          <w:tcPr>
            <w:tcW w:w="1073" w:type="dxa"/>
            <w:shd w:val="clear" w:color="000000" w:fill="FFFFFF"/>
            <w:noWrap/>
            <w:vAlign w:val="bottom"/>
            <w:hideMark/>
          </w:tcPr>
          <w:p w:rsidR="000713DF" w:rsidRPr="00AD00DA" w:rsidRDefault="000713DF" w:rsidP="00AD00DA">
            <w:pPr>
              <w:jc w:val="center"/>
              <w:rPr>
                <w:color w:val="000000"/>
                <w:sz w:val="18"/>
                <w:szCs w:val="18"/>
              </w:rPr>
            </w:pPr>
            <w:r w:rsidRPr="00AD00DA">
              <w:rPr>
                <w:color w:val="000000"/>
                <w:sz w:val="18"/>
                <w:szCs w:val="18"/>
              </w:rPr>
              <w:t>Dosažená</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8</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14</w:t>
            </w:r>
          </w:p>
        </w:tc>
        <w:tc>
          <w:tcPr>
            <w:tcW w:w="693"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17</w:t>
            </w:r>
          </w:p>
        </w:tc>
        <w:tc>
          <w:tcPr>
            <w:tcW w:w="697" w:type="dxa"/>
            <w:shd w:val="clear" w:color="000000" w:fill="FFFFFF"/>
            <w:vAlign w:val="bottom"/>
            <w:hideMark/>
          </w:tcPr>
          <w:p w:rsidR="000713DF" w:rsidRPr="00AD00DA" w:rsidRDefault="000713DF" w:rsidP="00AD00DA">
            <w:pPr>
              <w:jc w:val="right"/>
              <w:rPr>
                <w:color w:val="000000"/>
                <w:sz w:val="18"/>
                <w:szCs w:val="18"/>
              </w:rPr>
            </w:pPr>
            <w:r w:rsidRPr="00AD00DA">
              <w:rPr>
                <w:color w:val="000000"/>
                <w:sz w:val="18"/>
                <w:szCs w:val="18"/>
              </w:rPr>
              <w:t>23</w:t>
            </w:r>
          </w:p>
        </w:tc>
        <w:tc>
          <w:tcPr>
            <w:tcW w:w="940" w:type="dxa"/>
            <w:shd w:val="clear" w:color="000000" w:fill="FFFFFF"/>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c>
          <w:tcPr>
            <w:tcW w:w="940" w:type="dxa"/>
            <w:shd w:val="clear" w:color="000000" w:fill="FFFFFF"/>
            <w:noWrap/>
            <w:vAlign w:val="bottom"/>
            <w:hideMark/>
          </w:tcPr>
          <w:p w:rsidR="000713DF" w:rsidRPr="00AD00DA" w:rsidRDefault="00FB2F38" w:rsidP="00AD00DA">
            <w:pPr>
              <w:jc w:val="right"/>
              <w:rPr>
                <w:color w:val="000000"/>
                <w:sz w:val="18"/>
                <w:szCs w:val="18"/>
              </w:rPr>
            </w:pPr>
            <w:r>
              <w:rPr>
                <w:color w:val="000000"/>
                <w:sz w:val="18"/>
                <w:szCs w:val="18"/>
              </w:rPr>
              <w:t>23</w:t>
            </w:r>
          </w:p>
        </w:tc>
      </w:tr>
      <w:tr w:rsidR="00FB2F38" w:rsidRPr="00AD00DA" w:rsidTr="00FB2F38">
        <w:trPr>
          <w:trHeight w:val="300"/>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000000" w:fill="D8E4BC"/>
            <w:noWrap/>
            <w:vAlign w:val="bottom"/>
            <w:hideMark/>
          </w:tcPr>
          <w:p w:rsidR="000713DF" w:rsidRPr="00AD00DA" w:rsidRDefault="000713DF" w:rsidP="00AD00DA">
            <w:pPr>
              <w:jc w:val="center"/>
              <w:rPr>
                <w:color w:val="000000"/>
                <w:sz w:val="18"/>
                <w:szCs w:val="18"/>
              </w:rPr>
            </w:pPr>
            <w:r w:rsidRPr="00AD00DA">
              <w:rPr>
                <w:color w:val="000000"/>
                <w:sz w:val="18"/>
                <w:szCs w:val="18"/>
              </w:rPr>
              <w:t>Výchozí</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0</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8</w:t>
            </w:r>
          </w:p>
        </w:tc>
        <w:tc>
          <w:tcPr>
            <w:tcW w:w="693"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14</w:t>
            </w:r>
          </w:p>
        </w:tc>
        <w:tc>
          <w:tcPr>
            <w:tcW w:w="697" w:type="dxa"/>
            <w:shd w:val="clear" w:color="000000" w:fill="D8E4BC"/>
            <w:vAlign w:val="bottom"/>
            <w:hideMark/>
          </w:tcPr>
          <w:p w:rsidR="000713DF" w:rsidRPr="00AD00DA" w:rsidRDefault="000713DF" w:rsidP="00AD00DA">
            <w:pPr>
              <w:jc w:val="right"/>
              <w:rPr>
                <w:color w:val="000000"/>
                <w:sz w:val="18"/>
                <w:szCs w:val="18"/>
              </w:rPr>
            </w:pPr>
            <w:r w:rsidRPr="00AD00DA">
              <w:rPr>
                <w:color w:val="000000"/>
                <w:sz w:val="18"/>
                <w:szCs w:val="18"/>
              </w:rPr>
              <w:t>17</w:t>
            </w:r>
          </w:p>
        </w:tc>
        <w:tc>
          <w:tcPr>
            <w:tcW w:w="940"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c>
          <w:tcPr>
            <w:tcW w:w="940" w:type="dxa"/>
            <w:shd w:val="clear" w:color="000000" w:fill="D8E4BC"/>
            <w:noWrap/>
            <w:vAlign w:val="bottom"/>
            <w:hideMark/>
          </w:tcPr>
          <w:p w:rsidR="000713DF" w:rsidRPr="00AD00DA" w:rsidRDefault="000713DF" w:rsidP="00AD00DA">
            <w:pPr>
              <w:jc w:val="right"/>
              <w:rPr>
                <w:color w:val="000000"/>
                <w:sz w:val="18"/>
                <w:szCs w:val="18"/>
              </w:rPr>
            </w:pPr>
            <w:r w:rsidRPr="00AD00DA">
              <w:rPr>
                <w:color w:val="000000"/>
                <w:sz w:val="18"/>
                <w:szCs w:val="18"/>
              </w:rPr>
              <w:t>N/A</w:t>
            </w:r>
          </w:p>
        </w:tc>
      </w:tr>
      <w:tr w:rsidR="000713DF" w:rsidRPr="00AD00DA" w:rsidTr="00FB2F38">
        <w:trPr>
          <w:trHeight w:val="405"/>
        </w:trPr>
        <w:tc>
          <w:tcPr>
            <w:tcW w:w="1073" w:type="dxa"/>
            <w:vMerge/>
            <w:vAlign w:val="center"/>
            <w:hideMark/>
          </w:tcPr>
          <w:p w:rsidR="000713DF" w:rsidRPr="00AD00DA" w:rsidRDefault="000713DF" w:rsidP="00AD00DA">
            <w:pPr>
              <w:rPr>
                <w:color w:val="000000"/>
                <w:sz w:val="18"/>
                <w:szCs w:val="18"/>
              </w:rPr>
            </w:pPr>
          </w:p>
        </w:tc>
        <w:tc>
          <w:tcPr>
            <w:tcW w:w="2376"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vMerge/>
            <w:vAlign w:val="center"/>
            <w:hideMark/>
          </w:tcPr>
          <w:p w:rsidR="000713DF" w:rsidRPr="00AD00DA" w:rsidRDefault="000713DF" w:rsidP="00AD00DA">
            <w:pPr>
              <w:rPr>
                <w:color w:val="000000"/>
                <w:sz w:val="18"/>
                <w:szCs w:val="18"/>
              </w:rPr>
            </w:pPr>
          </w:p>
        </w:tc>
        <w:tc>
          <w:tcPr>
            <w:tcW w:w="1073" w:type="dxa"/>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Plánovaná</w:t>
            </w:r>
          </w:p>
        </w:tc>
        <w:tc>
          <w:tcPr>
            <w:tcW w:w="5548" w:type="dxa"/>
            <w:gridSpan w:val="8"/>
            <w:shd w:val="clear" w:color="auto" w:fill="auto"/>
            <w:noWrap/>
            <w:vAlign w:val="bottom"/>
            <w:hideMark/>
          </w:tcPr>
          <w:p w:rsidR="000713DF" w:rsidRPr="00AD00DA" w:rsidRDefault="000713DF" w:rsidP="00AD00DA">
            <w:pPr>
              <w:jc w:val="center"/>
              <w:rPr>
                <w:color w:val="000000"/>
                <w:sz w:val="18"/>
                <w:szCs w:val="18"/>
              </w:rPr>
            </w:pPr>
            <w:r w:rsidRPr="00AD00DA">
              <w:rPr>
                <w:color w:val="000000"/>
                <w:sz w:val="18"/>
                <w:szCs w:val="18"/>
              </w:rPr>
              <w:t>N/A</w:t>
            </w:r>
          </w:p>
        </w:tc>
        <w:tc>
          <w:tcPr>
            <w:tcW w:w="940" w:type="dxa"/>
            <w:shd w:val="clear" w:color="auto" w:fill="auto"/>
            <w:noWrap/>
            <w:vAlign w:val="bottom"/>
            <w:hideMark/>
          </w:tcPr>
          <w:p w:rsidR="000713DF" w:rsidRPr="00AD00DA" w:rsidRDefault="008062E1" w:rsidP="00AD00DA">
            <w:pPr>
              <w:jc w:val="right"/>
              <w:rPr>
                <w:color w:val="000000"/>
                <w:sz w:val="18"/>
                <w:szCs w:val="18"/>
              </w:rPr>
            </w:pPr>
            <w:r>
              <w:rPr>
                <w:color w:val="000000"/>
                <w:sz w:val="18"/>
                <w:szCs w:val="18"/>
              </w:rPr>
              <w:t>10</w:t>
            </w:r>
          </w:p>
        </w:tc>
        <w:tc>
          <w:tcPr>
            <w:tcW w:w="940" w:type="dxa"/>
            <w:shd w:val="clear" w:color="auto" w:fill="auto"/>
            <w:noWrap/>
            <w:vAlign w:val="bottom"/>
            <w:hideMark/>
          </w:tcPr>
          <w:p w:rsidR="000713DF" w:rsidRPr="00AD00DA" w:rsidRDefault="008062E1" w:rsidP="00AD00DA">
            <w:pPr>
              <w:jc w:val="right"/>
              <w:rPr>
                <w:color w:val="000000"/>
                <w:sz w:val="18"/>
                <w:szCs w:val="18"/>
              </w:rPr>
            </w:pPr>
            <w:r>
              <w:rPr>
                <w:color w:val="000000"/>
                <w:sz w:val="18"/>
                <w:szCs w:val="18"/>
              </w:rPr>
              <w:t>10</w:t>
            </w:r>
          </w:p>
        </w:tc>
      </w:tr>
    </w:tbl>
    <w:p w:rsidR="00A75862" w:rsidRDefault="00A75862" w:rsidP="000C6057">
      <w:pPr>
        <w:sectPr w:rsidR="00A75862" w:rsidSect="00763B39">
          <w:pgSz w:w="16838" w:h="11906" w:orient="landscape"/>
          <w:pgMar w:top="1417" w:right="1417" w:bottom="1417" w:left="1417" w:header="708" w:footer="708" w:gutter="0"/>
          <w:cols w:space="708"/>
          <w:docGrid w:linePitch="272"/>
        </w:sectPr>
      </w:pPr>
      <w:r w:rsidRPr="0001374B">
        <w:rPr>
          <w:i/>
          <w:sz w:val="18"/>
          <w:szCs w:val="18"/>
        </w:rPr>
        <w:t>Zdroj: MSC 2007 k</w:t>
      </w:r>
      <w:r w:rsidR="00BB47D7">
        <w:rPr>
          <w:i/>
          <w:sz w:val="18"/>
          <w:szCs w:val="18"/>
        </w:rPr>
        <w:t>e dni</w:t>
      </w:r>
      <w:r w:rsidRPr="0001374B">
        <w:rPr>
          <w:i/>
          <w:sz w:val="18"/>
          <w:szCs w:val="18"/>
        </w:rPr>
        <w:t xml:space="preserve"> </w:t>
      </w:r>
      <w:r w:rsidR="00DA1251">
        <w:rPr>
          <w:i/>
          <w:sz w:val="18"/>
          <w:szCs w:val="18"/>
        </w:rPr>
        <w:t>2. 3. 2015</w:t>
      </w:r>
    </w:p>
    <w:p w:rsidR="00A75862" w:rsidRDefault="00E227E1" w:rsidP="00184E0A">
      <w:pPr>
        <w:jc w:val="both"/>
        <w:rPr>
          <w:b/>
          <w:sz w:val="24"/>
          <w:szCs w:val="24"/>
        </w:rPr>
      </w:pPr>
      <w:r w:rsidRPr="00796E0A">
        <w:rPr>
          <w:b/>
          <w:sz w:val="24"/>
          <w:szCs w:val="24"/>
        </w:rPr>
        <w:lastRenderedPageBreak/>
        <w:t>3.</w:t>
      </w:r>
      <w:r>
        <w:rPr>
          <w:b/>
          <w:sz w:val="24"/>
          <w:szCs w:val="24"/>
        </w:rPr>
        <w:t>4</w:t>
      </w:r>
      <w:r w:rsidRPr="00796E0A">
        <w:rPr>
          <w:b/>
          <w:sz w:val="24"/>
          <w:szCs w:val="24"/>
        </w:rPr>
        <w:t>.</w:t>
      </w:r>
      <w:r>
        <w:rPr>
          <w:b/>
          <w:sz w:val="24"/>
          <w:szCs w:val="24"/>
        </w:rPr>
        <w:t>1.</w:t>
      </w:r>
      <w:r w:rsidRPr="00796E0A">
        <w:rPr>
          <w:b/>
          <w:sz w:val="24"/>
          <w:szCs w:val="24"/>
        </w:rPr>
        <w:t xml:space="preserve"> B Kvalitativní</w:t>
      </w:r>
      <w:r w:rsidR="00A75862" w:rsidRPr="00796E0A">
        <w:rPr>
          <w:b/>
          <w:sz w:val="24"/>
          <w:szCs w:val="24"/>
        </w:rPr>
        <w:t xml:space="preserve"> analýza</w:t>
      </w:r>
    </w:p>
    <w:p w:rsidR="002C77C3" w:rsidRPr="00F479B5" w:rsidRDefault="002C77C3" w:rsidP="002C77C3">
      <w:pPr>
        <w:spacing w:after="120"/>
        <w:jc w:val="both"/>
        <w:rPr>
          <w:sz w:val="22"/>
          <w:szCs w:val="22"/>
        </w:rPr>
      </w:pPr>
      <w:r>
        <w:rPr>
          <w:sz w:val="22"/>
          <w:szCs w:val="22"/>
        </w:rPr>
        <w:t xml:space="preserve">V oblasti intervence 4.1a (cíl Konvergence) byly k 31. 12. 2014 vydány právní akty k poskytnutí dotace na 96,6 % alokace. Jedná se téměř o 7% nárůst oproti předešlému období, daný schválením projektových žádostí předložených do 12. kontinuální výzvy. V oblasti intervence 4.1b (cíl </w:t>
      </w:r>
      <w:proofErr w:type="spellStart"/>
      <w:r>
        <w:rPr>
          <w:sz w:val="22"/>
          <w:szCs w:val="22"/>
        </w:rPr>
        <w:t>RKaZ</w:t>
      </w:r>
      <w:proofErr w:type="spellEnd"/>
      <w:r>
        <w:rPr>
          <w:sz w:val="22"/>
          <w:szCs w:val="22"/>
        </w:rPr>
        <w:t xml:space="preserve">) představují finanční nároky vydaných právních aktů 146 % alokace. Rozdíl mezi cíli je způsoben revizí programového dokumentu v roce 2014, respektive </w:t>
      </w:r>
      <w:r w:rsidRPr="00F479B5">
        <w:rPr>
          <w:sz w:val="22"/>
          <w:szCs w:val="22"/>
        </w:rPr>
        <w:t>snížením</w:t>
      </w:r>
      <w:r>
        <w:rPr>
          <w:sz w:val="22"/>
          <w:szCs w:val="22"/>
        </w:rPr>
        <w:t xml:space="preserve"> příspěvku EU</w:t>
      </w:r>
      <w:r>
        <w:rPr>
          <w:sz w:val="22"/>
          <w:szCs w:val="22"/>
        </w:rPr>
        <w:br/>
        <w:t xml:space="preserve">v cíli </w:t>
      </w:r>
      <w:proofErr w:type="spellStart"/>
      <w:r>
        <w:rPr>
          <w:sz w:val="22"/>
          <w:szCs w:val="22"/>
        </w:rPr>
        <w:t>RKaZ</w:t>
      </w:r>
      <w:proofErr w:type="spellEnd"/>
      <w:r>
        <w:rPr>
          <w:sz w:val="22"/>
          <w:szCs w:val="22"/>
        </w:rPr>
        <w:t xml:space="preserve"> v</w:t>
      </w:r>
      <w:r w:rsidRPr="00F479B5">
        <w:rPr>
          <w:sz w:val="22"/>
          <w:szCs w:val="22"/>
        </w:rPr>
        <w:t> sou</w:t>
      </w:r>
      <w:r>
        <w:rPr>
          <w:sz w:val="22"/>
          <w:szCs w:val="22"/>
        </w:rPr>
        <w:t xml:space="preserve">vislosti s vyčíslením ztráty alokace </w:t>
      </w:r>
      <w:r w:rsidRPr="00F479B5">
        <w:rPr>
          <w:sz w:val="22"/>
          <w:szCs w:val="22"/>
        </w:rPr>
        <w:t xml:space="preserve">za rok 2013. </w:t>
      </w:r>
    </w:p>
    <w:p w:rsidR="002C77C3" w:rsidRDefault="002C77C3" w:rsidP="002C77C3">
      <w:pPr>
        <w:spacing w:after="120"/>
        <w:jc w:val="both"/>
        <w:rPr>
          <w:sz w:val="22"/>
          <w:szCs w:val="22"/>
        </w:rPr>
      </w:pPr>
      <w:r>
        <w:rPr>
          <w:sz w:val="22"/>
          <w:szCs w:val="22"/>
        </w:rPr>
        <w:t xml:space="preserve">V roce 2014 pokračoval pozitivní trend v čerpání finančních prostředků, nastartovaný v předešlém roce. K 31. 12. 2014 bylo příjemcům proplaceno celkem 42,4 mil. EUR (ERDF), což představuje 66,5 % alokace oblastí intervence 4.1a a 4.1b a téměř 20% </w:t>
      </w:r>
      <w:r w:rsidR="008F360F">
        <w:rPr>
          <w:sz w:val="22"/>
          <w:szCs w:val="22"/>
        </w:rPr>
        <w:t xml:space="preserve">růst v porovnání </w:t>
      </w:r>
      <w:r>
        <w:rPr>
          <w:sz w:val="22"/>
          <w:szCs w:val="22"/>
        </w:rPr>
        <w:t xml:space="preserve">s rokem 2013. Obdobný posun byl zaznamenán v objemu certifikovaných prostředků. Pokrok byl dán jednak nastavenými plány čerpání, kdy příjemce Česká centrála cestovního ruchu – </w:t>
      </w:r>
      <w:proofErr w:type="spellStart"/>
      <w:r>
        <w:rPr>
          <w:sz w:val="22"/>
          <w:szCs w:val="22"/>
        </w:rPr>
        <w:t>CzechTourism</w:t>
      </w:r>
      <w:proofErr w:type="spellEnd"/>
      <w:r>
        <w:rPr>
          <w:sz w:val="22"/>
          <w:szCs w:val="22"/>
        </w:rPr>
        <w:t xml:space="preserve"> („</w:t>
      </w:r>
      <w:proofErr w:type="spellStart"/>
      <w:r>
        <w:rPr>
          <w:sz w:val="22"/>
          <w:szCs w:val="22"/>
        </w:rPr>
        <w:t>CzT</w:t>
      </w:r>
      <w:proofErr w:type="spellEnd"/>
      <w:r>
        <w:rPr>
          <w:sz w:val="22"/>
          <w:szCs w:val="22"/>
        </w:rPr>
        <w:t xml:space="preserve">“) měl pro projekty s plánovaným ukončením realizace k 31. 12. 2014 nastaveno významné čerpání prostředků právě v posledním roce realizace, rovněž mimořádným termínem certifikace výdajů a intenzivní </w:t>
      </w:r>
      <w:r w:rsidR="008F360F">
        <w:rPr>
          <w:sz w:val="22"/>
          <w:szCs w:val="22"/>
        </w:rPr>
        <w:br/>
      </w:r>
      <w:r>
        <w:rPr>
          <w:sz w:val="22"/>
          <w:szCs w:val="22"/>
        </w:rPr>
        <w:t>a úzkou spoluprací</w:t>
      </w:r>
      <w:r w:rsidRPr="00DC196B">
        <w:rPr>
          <w:sz w:val="22"/>
          <w:szCs w:val="22"/>
        </w:rPr>
        <w:t xml:space="preserve"> pracovníků </w:t>
      </w:r>
      <w:r>
        <w:rPr>
          <w:sz w:val="22"/>
          <w:szCs w:val="22"/>
        </w:rPr>
        <w:t>CRR</w:t>
      </w:r>
      <w:r w:rsidRPr="00DC196B">
        <w:rPr>
          <w:sz w:val="22"/>
          <w:szCs w:val="22"/>
        </w:rPr>
        <w:t xml:space="preserve">. </w:t>
      </w:r>
      <w:r>
        <w:rPr>
          <w:sz w:val="22"/>
          <w:szCs w:val="22"/>
        </w:rPr>
        <w:t xml:space="preserve"> </w:t>
      </w:r>
    </w:p>
    <w:p w:rsidR="002C77C3" w:rsidRDefault="002C77C3" w:rsidP="002C77C3">
      <w:pPr>
        <w:spacing w:after="120"/>
        <w:jc w:val="both"/>
        <w:rPr>
          <w:sz w:val="22"/>
          <w:szCs w:val="22"/>
        </w:rPr>
      </w:pPr>
      <w:r>
        <w:rPr>
          <w:sz w:val="22"/>
          <w:szCs w:val="22"/>
        </w:rPr>
        <w:t xml:space="preserve">Přes uvedený pokrok byla v roce 2014 v cíli </w:t>
      </w:r>
      <w:proofErr w:type="spellStart"/>
      <w:r>
        <w:rPr>
          <w:sz w:val="22"/>
          <w:szCs w:val="22"/>
        </w:rPr>
        <w:t>RKaZ</w:t>
      </w:r>
      <w:proofErr w:type="spellEnd"/>
      <w:r>
        <w:rPr>
          <w:sz w:val="22"/>
          <w:szCs w:val="22"/>
        </w:rPr>
        <w:t xml:space="preserve"> v oblasti intervence 4.1 zaznamenána ztráta ve výši </w:t>
      </w:r>
      <w:r w:rsidRPr="00B554E0">
        <w:rPr>
          <w:sz w:val="22"/>
          <w:szCs w:val="22"/>
        </w:rPr>
        <w:t>4,51 mil. Kč (ERDF).</w:t>
      </w:r>
    </w:p>
    <w:p w:rsidR="002C77C3" w:rsidRPr="00B554E0" w:rsidRDefault="002C77C3" w:rsidP="002C77C3">
      <w:pPr>
        <w:spacing w:after="120"/>
        <w:jc w:val="both"/>
        <w:rPr>
          <w:sz w:val="22"/>
          <w:szCs w:val="22"/>
        </w:rPr>
      </w:pPr>
      <w:r>
        <w:rPr>
          <w:sz w:val="22"/>
          <w:szCs w:val="22"/>
        </w:rPr>
        <w:t>P</w:t>
      </w:r>
      <w:r w:rsidRPr="00B554E0">
        <w:rPr>
          <w:sz w:val="22"/>
          <w:szCs w:val="22"/>
        </w:rPr>
        <w:t xml:space="preserve">okrok v čerpání v roce 2015 bude záviset především na úspěšnosti </w:t>
      </w:r>
      <w:r>
        <w:rPr>
          <w:sz w:val="22"/>
          <w:szCs w:val="22"/>
        </w:rPr>
        <w:t xml:space="preserve">další </w:t>
      </w:r>
      <w:r w:rsidRPr="00B554E0">
        <w:rPr>
          <w:sz w:val="22"/>
          <w:szCs w:val="22"/>
        </w:rPr>
        <w:t xml:space="preserve">realizace projektů </w:t>
      </w:r>
      <w:r>
        <w:rPr>
          <w:sz w:val="22"/>
          <w:szCs w:val="22"/>
        </w:rPr>
        <w:t xml:space="preserve">nejvýznamnějších </w:t>
      </w:r>
      <w:r w:rsidRPr="00B554E0">
        <w:rPr>
          <w:sz w:val="22"/>
          <w:szCs w:val="22"/>
        </w:rPr>
        <w:t>příjemců</w:t>
      </w:r>
      <w:r>
        <w:rPr>
          <w:sz w:val="22"/>
          <w:szCs w:val="22"/>
        </w:rPr>
        <w:t xml:space="preserve"> – </w:t>
      </w:r>
      <w:proofErr w:type="spellStart"/>
      <w:r>
        <w:rPr>
          <w:sz w:val="22"/>
          <w:szCs w:val="22"/>
        </w:rPr>
        <w:t>CzT</w:t>
      </w:r>
      <w:proofErr w:type="spellEnd"/>
      <w:r>
        <w:rPr>
          <w:sz w:val="22"/>
          <w:szCs w:val="22"/>
        </w:rPr>
        <w:t xml:space="preserve"> a odboru cestovního ruchu MMR</w:t>
      </w:r>
      <w:r w:rsidRPr="00B554E0">
        <w:rPr>
          <w:sz w:val="22"/>
          <w:szCs w:val="22"/>
        </w:rPr>
        <w:t xml:space="preserve">. Zejména projekty, </w:t>
      </w:r>
      <w:r>
        <w:rPr>
          <w:sz w:val="22"/>
          <w:szCs w:val="22"/>
        </w:rPr>
        <w:t>ve kterých</w:t>
      </w:r>
      <w:r w:rsidRPr="00B554E0">
        <w:rPr>
          <w:sz w:val="22"/>
          <w:szCs w:val="22"/>
        </w:rPr>
        <w:t xml:space="preserve"> v minulosti docházelo k termínovým </w:t>
      </w:r>
      <w:r>
        <w:rPr>
          <w:sz w:val="22"/>
          <w:szCs w:val="22"/>
        </w:rPr>
        <w:t>a</w:t>
      </w:r>
      <w:r w:rsidRPr="00B554E0">
        <w:rPr>
          <w:sz w:val="22"/>
          <w:szCs w:val="22"/>
        </w:rPr>
        <w:t xml:space="preserve"> finančním posunům a projekty s termínem ukončení realizace 31. 12. 2015 budou vyžadovat stabilitu v projektových týmech, bezchybné projektové řízení a striktní dodržování harmonogramů realizace.    </w:t>
      </w:r>
    </w:p>
    <w:p w:rsidR="002C77C3" w:rsidRPr="00B554E0" w:rsidRDefault="002C77C3" w:rsidP="002C77C3">
      <w:pPr>
        <w:spacing w:after="120"/>
        <w:jc w:val="both"/>
        <w:rPr>
          <w:sz w:val="22"/>
          <w:szCs w:val="22"/>
        </w:rPr>
      </w:pPr>
      <w:r w:rsidRPr="00B554E0">
        <w:rPr>
          <w:sz w:val="22"/>
          <w:szCs w:val="22"/>
        </w:rPr>
        <w:t xml:space="preserve">Další riziko ve vztahu k čerpání alokace představují projekty 25. výzvy, kterým s ohledem na nejzazší termín způsobilosti výdajů nezbývá v případě komplikací prostor k posunům. I zde platí nutnost bezchybného projektového řízení. </w:t>
      </w:r>
    </w:p>
    <w:p w:rsidR="002C77C3" w:rsidRPr="00B554E0" w:rsidRDefault="002C77C3" w:rsidP="002C77C3">
      <w:pPr>
        <w:spacing w:after="120"/>
        <w:jc w:val="both"/>
        <w:rPr>
          <w:sz w:val="22"/>
          <w:szCs w:val="22"/>
        </w:rPr>
      </w:pPr>
      <w:r w:rsidRPr="00B554E0">
        <w:rPr>
          <w:sz w:val="22"/>
          <w:szCs w:val="22"/>
        </w:rPr>
        <w:t xml:space="preserve">Odstoupení projektů a navrácení dotace z důvodu nenaplnění cílů je, vedle úspor v projektech, faktorem, který i přes </w:t>
      </w:r>
      <w:proofErr w:type="spellStart"/>
      <w:r w:rsidRPr="00B554E0">
        <w:rPr>
          <w:sz w:val="22"/>
          <w:szCs w:val="22"/>
        </w:rPr>
        <w:t>přezávazkování</w:t>
      </w:r>
      <w:proofErr w:type="spellEnd"/>
      <w:r w:rsidRPr="00B554E0">
        <w:rPr>
          <w:sz w:val="22"/>
          <w:szCs w:val="22"/>
        </w:rPr>
        <w:t xml:space="preserve"> </w:t>
      </w:r>
      <w:r>
        <w:rPr>
          <w:sz w:val="22"/>
          <w:szCs w:val="22"/>
        </w:rPr>
        <w:t>na základě schválení projektů z 25. výzvy</w:t>
      </w:r>
      <w:r w:rsidRPr="00B554E0">
        <w:rPr>
          <w:sz w:val="22"/>
          <w:szCs w:val="22"/>
        </w:rPr>
        <w:t xml:space="preserve"> může znamenat ztrátu alokace, neboť ŘO IOP nebude mít v případě uvolnění prostředků dostatek času a možností negativní vývoj korigovat.</w:t>
      </w:r>
    </w:p>
    <w:p w:rsidR="007E22C3" w:rsidRDefault="002C77C3" w:rsidP="002317FF">
      <w:pPr>
        <w:jc w:val="both"/>
        <w:rPr>
          <w:sz w:val="22"/>
          <w:szCs w:val="22"/>
        </w:rPr>
      </w:pPr>
      <w:r>
        <w:rPr>
          <w:sz w:val="22"/>
          <w:szCs w:val="22"/>
        </w:rPr>
        <w:t>V</w:t>
      </w:r>
      <w:r w:rsidRPr="00B554E0">
        <w:rPr>
          <w:sz w:val="22"/>
          <w:szCs w:val="22"/>
        </w:rPr>
        <w:t xml:space="preserve"> roce 2015 budou </w:t>
      </w:r>
      <w:r>
        <w:rPr>
          <w:sz w:val="22"/>
          <w:szCs w:val="22"/>
        </w:rPr>
        <w:t xml:space="preserve">pokračovat konzultace </w:t>
      </w:r>
      <w:r w:rsidRPr="00B554E0">
        <w:rPr>
          <w:sz w:val="22"/>
          <w:szCs w:val="22"/>
        </w:rPr>
        <w:t xml:space="preserve">hlavních příjemců se zástupci ŘO IOP </w:t>
      </w:r>
      <w:r>
        <w:rPr>
          <w:sz w:val="22"/>
          <w:szCs w:val="22"/>
        </w:rPr>
        <w:br/>
      </w:r>
      <w:r w:rsidRPr="00B554E0">
        <w:rPr>
          <w:sz w:val="22"/>
          <w:szCs w:val="22"/>
        </w:rPr>
        <w:t>a CRR</w:t>
      </w:r>
      <w:r>
        <w:rPr>
          <w:sz w:val="22"/>
          <w:szCs w:val="22"/>
        </w:rPr>
        <w:t xml:space="preserve"> k řešení</w:t>
      </w:r>
      <w:r w:rsidRPr="00B554E0">
        <w:rPr>
          <w:sz w:val="22"/>
          <w:szCs w:val="22"/>
        </w:rPr>
        <w:t xml:space="preserve"> problém</w:t>
      </w:r>
      <w:r>
        <w:rPr>
          <w:sz w:val="22"/>
          <w:szCs w:val="22"/>
        </w:rPr>
        <w:t>ů</w:t>
      </w:r>
      <w:r w:rsidRPr="00B554E0">
        <w:rPr>
          <w:sz w:val="22"/>
          <w:szCs w:val="22"/>
        </w:rPr>
        <w:t xml:space="preserve"> v realizaci projektů</w:t>
      </w:r>
      <w:r>
        <w:rPr>
          <w:sz w:val="22"/>
          <w:szCs w:val="22"/>
        </w:rPr>
        <w:t>.</w:t>
      </w:r>
    </w:p>
    <w:p w:rsidR="002C77C3" w:rsidRDefault="002C77C3" w:rsidP="002317FF">
      <w:pPr>
        <w:jc w:val="both"/>
        <w:rPr>
          <w:sz w:val="22"/>
          <w:szCs w:val="22"/>
          <w:u w:val="single"/>
        </w:rPr>
      </w:pPr>
    </w:p>
    <w:p w:rsidR="00801F59" w:rsidRDefault="00801F59" w:rsidP="0036460E">
      <w:pPr>
        <w:pStyle w:val="Tabulkanzev"/>
      </w:pPr>
      <w:bookmarkStart w:id="207" w:name="_Toc416431849"/>
      <w:r>
        <w:t>Finanční stav PO 4 k </w:t>
      </w:r>
      <w:r w:rsidR="0036460E">
        <w:t>31. 12. 2014</w:t>
      </w:r>
      <w:r>
        <w:t xml:space="preserve"> (CZV)</w:t>
      </w:r>
      <w:bookmarkEnd w:id="207"/>
    </w:p>
    <w:tbl>
      <w:tblPr>
        <w:tblW w:w="9198"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9"/>
        <w:gridCol w:w="1448"/>
        <w:gridCol w:w="1352"/>
        <w:gridCol w:w="917"/>
        <w:gridCol w:w="1376"/>
        <w:gridCol w:w="797"/>
        <w:gridCol w:w="1376"/>
        <w:gridCol w:w="773"/>
      </w:tblGrid>
      <w:tr w:rsidR="00553AB8" w:rsidRPr="000236E4" w:rsidTr="001352F9">
        <w:trPr>
          <w:trHeight w:val="1166"/>
        </w:trPr>
        <w:tc>
          <w:tcPr>
            <w:tcW w:w="1159" w:type="dxa"/>
            <w:vMerge w:val="restart"/>
            <w:shd w:val="clear" w:color="auto" w:fill="C2D69B" w:themeFill="accent3" w:themeFillTint="99"/>
            <w:vAlign w:val="center"/>
            <w:hideMark/>
          </w:tcPr>
          <w:p w:rsidR="000236E4" w:rsidRPr="000236E4" w:rsidRDefault="000236E4" w:rsidP="000236E4">
            <w:pPr>
              <w:jc w:val="center"/>
              <w:rPr>
                <w:b/>
                <w:bCs/>
                <w:color w:val="000000"/>
                <w:sz w:val="18"/>
                <w:szCs w:val="18"/>
              </w:rPr>
            </w:pPr>
            <w:r w:rsidRPr="000236E4">
              <w:rPr>
                <w:b/>
                <w:bCs/>
                <w:color w:val="000000"/>
                <w:sz w:val="18"/>
                <w:szCs w:val="18"/>
              </w:rPr>
              <w:t>Oblast podpory</w:t>
            </w:r>
          </w:p>
        </w:tc>
        <w:tc>
          <w:tcPr>
            <w:tcW w:w="1448" w:type="dxa"/>
            <w:shd w:val="clear" w:color="auto" w:fill="C2D69B" w:themeFill="accent3" w:themeFillTint="99"/>
            <w:vAlign w:val="center"/>
            <w:hideMark/>
          </w:tcPr>
          <w:p w:rsidR="000236E4" w:rsidRPr="000236E4" w:rsidRDefault="000236E4" w:rsidP="000236E4">
            <w:pPr>
              <w:jc w:val="center"/>
              <w:rPr>
                <w:b/>
                <w:bCs/>
                <w:color w:val="000000"/>
                <w:sz w:val="18"/>
                <w:szCs w:val="18"/>
              </w:rPr>
            </w:pPr>
            <w:r w:rsidRPr="000236E4">
              <w:rPr>
                <w:b/>
                <w:bCs/>
                <w:color w:val="000000"/>
                <w:sz w:val="18"/>
                <w:szCs w:val="18"/>
              </w:rPr>
              <w:t>Alokace podpory 2007-2013</w:t>
            </w:r>
          </w:p>
        </w:tc>
        <w:tc>
          <w:tcPr>
            <w:tcW w:w="2269" w:type="dxa"/>
            <w:gridSpan w:val="2"/>
            <w:shd w:val="clear" w:color="auto" w:fill="C2D69B" w:themeFill="accent3" w:themeFillTint="99"/>
            <w:vAlign w:val="center"/>
            <w:hideMark/>
          </w:tcPr>
          <w:p w:rsidR="000236E4" w:rsidRPr="000236E4" w:rsidRDefault="000236E4" w:rsidP="000236E4">
            <w:pPr>
              <w:jc w:val="center"/>
              <w:rPr>
                <w:b/>
                <w:bCs/>
                <w:color w:val="000000"/>
                <w:sz w:val="18"/>
                <w:szCs w:val="18"/>
              </w:rPr>
            </w:pPr>
            <w:r w:rsidRPr="000236E4">
              <w:rPr>
                <w:b/>
                <w:bCs/>
                <w:color w:val="000000"/>
                <w:sz w:val="18"/>
                <w:szCs w:val="18"/>
              </w:rPr>
              <w:t>Prostředky kryté Rozhodnutím / Smlouvou (dodatkem)</w:t>
            </w:r>
          </w:p>
        </w:tc>
        <w:tc>
          <w:tcPr>
            <w:tcW w:w="2173" w:type="dxa"/>
            <w:gridSpan w:val="2"/>
            <w:shd w:val="clear" w:color="auto" w:fill="C2D69B" w:themeFill="accent3" w:themeFillTint="99"/>
            <w:vAlign w:val="center"/>
            <w:hideMark/>
          </w:tcPr>
          <w:p w:rsidR="000236E4" w:rsidRPr="000236E4" w:rsidRDefault="000236E4" w:rsidP="000236E4">
            <w:pPr>
              <w:jc w:val="center"/>
              <w:rPr>
                <w:b/>
                <w:bCs/>
                <w:color w:val="000000"/>
                <w:sz w:val="18"/>
                <w:szCs w:val="18"/>
              </w:rPr>
            </w:pPr>
            <w:r w:rsidRPr="000236E4">
              <w:rPr>
                <w:b/>
                <w:bCs/>
                <w:color w:val="000000"/>
                <w:sz w:val="18"/>
                <w:szCs w:val="18"/>
              </w:rPr>
              <w:t>Proplacené prostředky příjemcům (vyúčtované prostředky)</w:t>
            </w:r>
          </w:p>
        </w:tc>
        <w:tc>
          <w:tcPr>
            <w:tcW w:w="2149" w:type="dxa"/>
            <w:gridSpan w:val="2"/>
            <w:shd w:val="clear" w:color="auto" w:fill="C2D69B" w:themeFill="accent3" w:themeFillTint="99"/>
            <w:vAlign w:val="center"/>
            <w:hideMark/>
          </w:tcPr>
          <w:p w:rsidR="000236E4" w:rsidRPr="000236E4" w:rsidRDefault="000236E4" w:rsidP="000236E4">
            <w:pPr>
              <w:jc w:val="center"/>
              <w:rPr>
                <w:b/>
                <w:bCs/>
                <w:color w:val="000000"/>
                <w:sz w:val="18"/>
                <w:szCs w:val="18"/>
              </w:rPr>
            </w:pPr>
            <w:r w:rsidRPr="000236E4">
              <w:rPr>
                <w:b/>
                <w:bCs/>
                <w:color w:val="000000"/>
                <w:sz w:val="18"/>
                <w:szCs w:val="18"/>
              </w:rPr>
              <w:t>Certifikované prostředky (včetně vratek)</w:t>
            </w:r>
          </w:p>
        </w:tc>
      </w:tr>
      <w:tr w:rsidR="00CC16FD" w:rsidRPr="000236E4" w:rsidTr="001352F9">
        <w:trPr>
          <w:trHeight w:val="307"/>
        </w:trPr>
        <w:tc>
          <w:tcPr>
            <w:tcW w:w="1159" w:type="dxa"/>
            <w:vMerge/>
            <w:shd w:val="clear" w:color="auto" w:fill="C2D69B" w:themeFill="accent3" w:themeFillTint="99"/>
            <w:vAlign w:val="center"/>
            <w:hideMark/>
          </w:tcPr>
          <w:p w:rsidR="000236E4" w:rsidRPr="000236E4" w:rsidRDefault="000236E4" w:rsidP="000236E4">
            <w:pPr>
              <w:rPr>
                <w:b/>
                <w:bCs/>
                <w:color w:val="000000"/>
                <w:sz w:val="16"/>
                <w:szCs w:val="16"/>
              </w:rPr>
            </w:pPr>
          </w:p>
        </w:tc>
        <w:tc>
          <w:tcPr>
            <w:tcW w:w="1448" w:type="dxa"/>
            <w:shd w:val="clear" w:color="auto" w:fill="C2D69B" w:themeFill="accent3" w:themeFillTint="99"/>
            <w:vAlign w:val="bottom"/>
            <w:hideMark/>
          </w:tcPr>
          <w:p w:rsidR="000236E4" w:rsidRPr="000236E4" w:rsidRDefault="000236E4" w:rsidP="000236E4">
            <w:pPr>
              <w:jc w:val="center"/>
              <w:rPr>
                <w:color w:val="000000"/>
                <w:sz w:val="18"/>
                <w:szCs w:val="18"/>
              </w:rPr>
            </w:pPr>
            <w:r w:rsidRPr="000236E4">
              <w:rPr>
                <w:color w:val="000000"/>
                <w:sz w:val="18"/>
                <w:szCs w:val="18"/>
              </w:rPr>
              <w:t>EUR</w:t>
            </w:r>
          </w:p>
        </w:tc>
        <w:tc>
          <w:tcPr>
            <w:tcW w:w="1352" w:type="dxa"/>
            <w:shd w:val="clear" w:color="auto" w:fill="C2D69B" w:themeFill="accent3" w:themeFillTint="99"/>
            <w:vAlign w:val="bottom"/>
            <w:hideMark/>
          </w:tcPr>
          <w:p w:rsidR="000236E4" w:rsidRPr="000236E4" w:rsidRDefault="000236E4" w:rsidP="000236E4">
            <w:pPr>
              <w:jc w:val="center"/>
              <w:rPr>
                <w:color w:val="000000"/>
                <w:sz w:val="18"/>
                <w:szCs w:val="18"/>
              </w:rPr>
            </w:pPr>
            <w:r w:rsidRPr="000236E4">
              <w:rPr>
                <w:color w:val="000000"/>
                <w:sz w:val="18"/>
                <w:szCs w:val="18"/>
              </w:rPr>
              <w:t>EUR</w:t>
            </w:r>
          </w:p>
        </w:tc>
        <w:tc>
          <w:tcPr>
            <w:tcW w:w="917" w:type="dxa"/>
            <w:shd w:val="clear" w:color="auto" w:fill="C2D69B" w:themeFill="accent3" w:themeFillTint="99"/>
            <w:vAlign w:val="bottom"/>
            <w:hideMark/>
          </w:tcPr>
          <w:p w:rsidR="000236E4" w:rsidRPr="000236E4" w:rsidRDefault="000236E4" w:rsidP="000236E4">
            <w:pPr>
              <w:jc w:val="center"/>
              <w:rPr>
                <w:color w:val="000000"/>
                <w:sz w:val="18"/>
                <w:szCs w:val="18"/>
              </w:rPr>
            </w:pPr>
            <w:r w:rsidRPr="000236E4">
              <w:rPr>
                <w:color w:val="000000"/>
                <w:sz w:val="18"/>
                <w:szCs w:val="18"/>
              </w:rPr>
              <w:t>%</w:t>
            </w:r>
          </w:p>
        </w:tc>
        <w:tc>
          <w:tcPr>
            <w:tcW w:w="1376" w:type="dxa"/>
            <w:shd w:val="clear" w:color="auto" w:fill="C2D69B" w:themeFill="accent3" w:themeFillTint="99"/>
            <w:vAlign w:val="bottom"/>
            <w:hideMark/>
          </w:tcPr>
          <w:p w:rsidR="000236E4" w:rsidRPr="000236E4" w:rsidRDefault="000236E4" w:rsidP="000236E4">
            <w:pPr>
              <w:jc w:val="center"/>
              <w:rPr>
                <w:color w:val="000000"/>
                <w:sz w:val="18"/>
                <w:szCs w:val="18"/>
              </w:rPr>
            </w:pPr>
            <w:r w:rsidRPr="000236E4">
              <w:rPr>
                <w:color w:val="000000"/>
                <w:sz w:val="18"/>
                <w:szCs w:val="18"/>
              </w:rPr>
              <w:t>EUR</w:t>
            </w:r>
          </w:p>
        </w:tc>
        <w:tc>
          <w:tcPr>
            <w:tcW w:w="797" w:type="dxa"/>
            <w:shd w:val="clear" w:color="auto" w:fill="C2D69B" w:themeFill="accent3" w:themeFillTint="99"/>
            <w:vAlign w:val="bottom"/>
            <w:hideMark/>
          </w:tcPr>
          <w:p w:rsidR="000236E4" w:rsidRPr="000236E4" w:rsidRDefault="000236E4" w:rsidP="000236E4">
            <w:pPr>
              <w:jc w:val="center"/>
              <w:rPr>
                <w:color w:val="000000"/>
                <w:sz w:val="18"/>
                <w:szCs w:val="18"/>
              </w:rPr>
            </w:pPr>
            <w:r w:rsidRPr="000236E4">
              <w:rPr>
                <w:color w:val="000000"/>
                <w:sz w:val="18"/>
                <w:szCs w:val="18"/>
              </w:rPr>
              <w:t>%</w:t>
            </w:r>
          </w:p>
        </w:tc>
        <w:tc>
          <w:tcPr>
            <w:tcW w:w="1376" w:type="dxa"/>
            <w:shd w:val="clear" w:color="auto" w:fill="C2D69B" w:themeFill="accent3" w:themeFillTint="99"/>
            <w:vAlign w:val="bottom"/>
            <w:hideMark/>
          </w:tcPr>
          <w:p w:rsidR="000236E4" w:rsidRPr="000236E4" w:rsidRDefault="000236E4" w:rsidP="000236E4">
            <w:pPr>
              <w:jc w:val="center"/>
              <w:rPr>
                <w:color w:val="000000"/>
                <w:sz w:val="18"/>
                <w:szCs w:val="18"/>
              </w:rPr>
            </w:pPr>
            <w:r w:rsidRPr="000236E4">
              <w:rPr>
                <w:color w:val="000000"/>
                <w:sz w:val="18"/>
                <w:szCs w:val="18"/>
              </w:rPr>
              <w:t>EUR</w:t>
            </w:r>
          </w:p>
        </w:tc>
        <w:tc>
          <w:tcPr>
            <w:tcW w:w="773" w:type="dxa"/>
            <w:shd w:val="clear" w:color="auto" w:fill="C2D69B" w:themeFill="accent3" w:themeFillTint="99"/>
            <w:vAlign w:val="bottom"/>
            <w:hideMark/>
          </w:tcPr>
          <w:p w:rsidR="000236E4" w:rsidRPr="000236E4" w:rsidRDefault="000236E4" w:rsidP="000236E4">
            <w:pPr>
              <w:jc w:val="center"/>
              <w:rPr>
                <w:color w:val="000000"/>
                <w:sz w:val="18"/>
                <w:szCs w:val="18"/>
              </w:rPr>
            </w:pPr>
            <w:r w:rsidRPr="000236E4">
              <w:rPr>
                <w:color w:val="000000"/>
                <w:sz w:val="18"/>
                <w:szCs w:val="18"/>
              </w:rPr>
              <w:t>%</w:t>
            </w:r>
          </w:p>
        </w:tc>
      </w:tr>
      <w:tr w:rsidR="00CC16FD" w:rsidRPr="000236E4" w:rsidTr="001352F9">
        <w:trPr>
          <w:trHeight w:val="307"/>
        </w:trPr>
        <w:tc>
          <w:tcPr>
            <w:tcW w:w="1159" w:type="dxa"/>
            <w:vMerge/>
            <w:shd w:val="clear" w:color="auto" w:fill="C2D69B" w:themeFill="accent3" w:themeFillTint="99"/>
            <w:vAlign w:val="center"/>
            <w:hideMark/>
          </w:tcPr>
          <w:p w:rsidR="000236E4" w:rsidRPr="000236E4" w:rsidRDefault="000236E4" w:rsidP="000236E4">
            <w:pPr>
              <w:rPr>
                <w:b/>
                <w:bCs/>
                <w:color w:val="000000"/>
                <w:sz w:val="16"/>
                <w:szCs w:val="16"/>
              </w:rPr>
            </w:pPr>
          </w:p>
        </w:tc>
        <w:tc>
          <w:tcPr>
            <w:tcW w:w="1448" w:type="dxa"/>
            <w:shd w:val="clear" w:color="auto" w:fill="C2D69B" w:themeFill="accent3" w:themeFillTint="99"/>
            <w:vAlign w:val="bottom"/>
            <w:hideMark/>
          </w:tcPr>
          <w:p w:rsidR="000236E4" w:rsidRPr="000236E4" w:rsidRDefault="000236E4" w:rsidP="000236E4">
            <w:pPr>
              <w:jc w:val="center"/>
              <w:rPr>
                <w:b/>
                <w:bCs/>
                <w:color w:val="000000"/>
                <w:sz w:val="18"/>
                <w:szCs w:val="18"/>
              </w:rPr>
            </w:pPr>
            <w:r w:rsidRPr="000236E4">
              <w:rPr>
                <w:b/>
                <w:bCs/>
                <w:color w:val="000000"/>
                <w:sz w:val="18"/>
                <w:szCs w:val="18"/>
              </w:rPr>
              <w:t xml:space="preserve">a </w:t>
            </w:r>
          </w:p>
        </w:tc>
        <w:tc>
          <w:tcPr>
            <w:tcW w:w="1352" w:type="dxa"/>
            <w:shd w:val="clear" w:color="auto" w:fill="C2D69B" w:themeFill="accent3" w:themeFillTint="99"/>
            <w:vAlign w:val="bottom"/>
            <w:hideMark/>
          </w:tcPr>
          <w:p w:rsidR="000236E4" w:rsidRPr="000236E4" w:rsidRDefault="000236E4" w:rsidP="000236E4">
            <w:pPr>
              <w:jc w:val="center"/>
              <w:rPr>
                <w:b/>
                <w:bCs/>
                <w:color w:val="000000"/>
                <w:sz w:val="18"/>
                <w:szCs w:val="18"/>
              </w:rPr>
            </w:pPr>
            <w:r w:rsidRPr="000236E4">
              <w:rPr>
                <w:b/>
                <w:bCs/>
                <w:color w:val="000000"/>
                <w:sz w:val="18"/>
                <w:szCs w:val="18"/>
              </w:rPr>
              <w:t xml:space="preserve">b </w:t>
            </w:r>
          </w:p>
        </w:tc>
        <w:tc>
          <w:tcPr>
            <w:tcW w:w="917" w:type="dxa"/>
            <w:shd w:val="clear" w:color="auto" w:fill="C2D69B" w:themeFill="accent3" w:themeFillTint="99"/>
            <w:vAlign w:val="bottom"/>
            <w:hideMark/>
          </w:tcPr>
          <w:p w:rsidR="000236E4" w:rsidRPr="000236E4" w:rsidRDefault="000236E4" w:rsidP="000236E4">
            <w:pPr>
              <w:jc w:val="center"/>
              <w:rPr>
                <w:b/>
                <w:bCs/>
                <w:color w:val="000000"/>
                <w:sz w:val="18"/>
                <w:szCs w:val="18"/>
              </w:rPr>
            </w:pPr>
            <w:r w:rsidRPr="000236E4">
              <w:rPr>
                <w:b/>
                <w:bCs/>
                <w:color w:val="000000"/>
                <w:sz w:val="18"/>
                <w:szCs w:val="18"/>
              </w:rPr>
              <w:t xml:space="preserve">b/a </w:t>
            </w:r>
          </w:p>
        </w:tc>
        <w:tc>
          <w:tcPr>
            <w:tcW w:w="1376" w:type="dxa"/>
            <w:shd w:val="clear" w:color="auto" w:fill="C2D69B" w:themeFill="accent3" w:themeFillTint="99"/>
            <w:vAlign w:val="bottom"/>
            <w:hideMark/>
          </w:tcPr>
          <w:p w:rsidR="000236E4" w:rsidRPr="000236E4" w:rsidRDefault="000236E4" w:rsidP="000236E4">
            <w:pPr>
              <w:jc w:val="center"/>
              <w:rPr>
                <w:b/>
                <w:bCs/>
                <w:color w:val="000000"/>
                <w:sz w:val="18"/>
                <w:szCs w:val="18"/>
              </w:rPr>
            </w:pPr>
            <w:r w:rsidRPr="000236E4">
              <w:rPr>
                <w:b/>
                <w:bCs/>
                <w:color w:val="000000"/>
                <w:sz w:val="18"/>
                <w:szCs w:val="18"/>
              </w:rPr>
              <w:t xml:space="preserve">c </w:t>
            </w:r>
          </w:p>
        </w:tc>
        <w:tc>
          <w:tcPr>
            <w:tcW w:w="797" w:type="dxa"/>
            <w:shd w:val="clear" w:color="auto" w:fill="C2D69B" w:themeFill="accent3" w:themeFillTint="99"/>
            <w:vAlign w:val="bottom"/>
            <w:hideMark/>
          </w:tcPr>
          <w:p w:rsidR="000236E4" w:rsidRPr="000236E4" w:rsidRDefault="000236E4" w:rsidP="000236E4">
            <w:pPr>
              <w:jc w:val="center"/>
              <w:rPr>
                <w:b/>
                <w:bCs/>
                <w:color w:val="000000"/>
                <w:sz w:val="18"/>
                <w:szCs w:val="18"/>
              </w:rPr>
            </w:pPr>
            <w:r w:rsidRPr="000236E4">
              <w:rPr>
                <w:b/>
                <w:bCs/>
                <w:color w:val="000000"/>
                <w:sz w:val="18"/>
                <w:szCs w:val="18"/>
              </w:rPr>
              <w:t xml:space="preserve">c/a </w:t>
            </w:r>
          </w:p>
        </w:tc>
        <w:tc>
          <w:tcPr>
            <w:tcW w:w="1376" w:type="dxa"/>
            <w:shd w:val="clear" w:color="auto" w:fill="C2D69B" w:themeFill="accent3" w:themeFillTint="99"/>
            <w:vAlign w:val="bottom"/>
            <w:hideMark/>
          </w:tcPr>
          <w:p w:rsidR="000236E4" w:rsidRPr="000236E4" w:rsidRDefault="000236E4" w:rsidP="000236E4">
            <w:pPr>
              <w:jc w:val="center"/>
              <w:rPr>
                <w:b/>
                <w:bCs/>
                <w:color w:val="000000"/>
                <w:sz w:val="18"/>
                <w:szCs w:val="18"/>
              </w:rPr>
            </w:pPr>
            <w:r w:rsidRPr="000236E4">
              <w:rPr>
                <w:b/>
                <w:bCs/>
                <w:color w:val="000000"/>
                <w:sz w:val="18"/>
                <w:szCs w:val="18"/>
              </w:rPr>
              <w:t xml:space="preserve">d </w:t>
            </w:r>
          </w:p>
        </w:tc>
        <w:tc>
          <w:tcPr>
            <w:tcW w:w="773" w:type="dxa"/>
            <w:shd w:val="clear" w:color="auto" w:fill="C2D69B" w:themeFill="accent3" w:themeFillTint="99"/>
            <w:vAlign w:val="bottom"/>
            <w:hideMark/>
          </w:tcPr>
          <w:p w:rsidR="000236E4" w:rsidRPr="000236E4" w:rsidRDefault="000236E4" w:rsidP="000236E4">
            <w:pPr>
              <w:jc w:val="center"/>
              <w:rPr>
                <w:b/>
                <w:bCs/>
                <w:color w:val="000000"/>
                <w:sz w:val="18"/>
                <w:szCs w:val="18"/>
              </w:rPr>
            </w:pPr>
            <w:r w:rsidRPr="000236E4">
              <w:rPr>
                <w:b/>
                <w:bCs/>
                <w:color w:val="000000"/>
                <w:sz w:val="18"/>
                <w:szCs w:val="18"/>
              </w:rPr>
              <w:t xml:space="preserve">d/a </w:t>
            </w:r>
          </w:p>
        </w:tc>
      </w:tr>
      <w:tr w:rsidR="00CC16FD" w:rsidRPr="000236E4" w:rsidTr="001352F9">
        <w:trPr>
          <w:trHeight w:val="231"/>
        </w:trPr>
        <w:tc>
          <w:tcPr>
            <w:tcW w:w="1159" w:type="dxa"/>
            <w:shd w:val="clear" w:color="000000" w:fill="FFFFFF"/>
            <w:vAlign w:val="center"/>
            <w:hideMark/>
          </w:tcPr>
          <w:p w:rsidR="000236E4" w:rsidRPr="000236E4" w:rsidRDefault="000236E4" w:rsidP="000236E4">
            <w:pPr>
              <w:jc w:val="center"/>
              <w:rPr>
                <w:color w:val="000000"/>
                <w:sz w:val="18"/>
                <w:szCs w:val="18"/>
              </w:rPr>
            </w:pPr>
            <w:r w:rsidRPr="000236E4">
              <w:rPr>
                <w:color w:val="000000"/>
                <w:sz w:val="18"/>
                <w:szCs w:val="18"/>
              </w:rPr>
              <w:t>4.1a</w:t>
            </w:r>
          </w:p>
        </w:tc>
        <w:tc>
          <w:tcPr>
            <w:tcW w:w="1448"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71 255 784</w:t>
            </w:r>
          </w:p>
        </w:tc>
        <w:tc>
          <w:tcPr>
            <w:tcW w:w="1352"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68 922 211</w:t>
            </w:r>
          </w:p>
        </w:tc>
        <w:tc>
          <w:tcPr>
            <w:tcW w:w="917"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96,7%</w:t>
            </w:r>
          </w:p>
        </w:tc>
        <w:tc>
          <w:tcPr>
            <w:tcW w:w="1376"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46 384 360</w:t>
            </w:r>
          </w:p>
        </w:tc>
        <w:tc>
          <w:tcPr>
            <w:tcW w:w="797"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65,1%</w:t>
            </w:r>
          </w:p>
        </w:tc>
        <w:tc>
          <w:tcPr>
            <w:tcW w:w="1376"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46 084 553</w:t>
            </w:r>
          </w:p>
        </w:tc>
        <w:tc>
          <w:tcPr>
            <w:tcW w:w="773"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64,7%</w:t>
            </w:r>
          </w:p>
        </w:tc>
      </w:tr>
      <w:tr w:rsidR="00CC16FD" w:rsidRPr="000236E4" w:rsidTr="001352F9">
        <w:trPr>
          <w:trHeight w:val="320"/>
        </w:trPr>
        <w:tc>
          <w:tcPr>
            <w:tcW w:w="1159" w:type="dxa"/>
            <w:shd w:val="clear" w:color="000000" w:fill="D9D9D9"/>
            <w:vAlign w:val="center"/>
            <w:hideMark/>
          </w:tcPr>
          <w:p w:rsidR="000236E4" w:rsidRPr="000236E4" w:rsidRDefault="000236E4" w:rsidP="000236E4">
            <w:pPr>
              <w:jc w:val="center"/>
              <w:rPr>
                <w:b/>
                <w:bCs/>
                <w:color w:val="000000"/>
                <w:sz w:val="18"/>
                <w:szCs w:val="18"/>
              </w:rPr>
            </w:pPr>
            <w:r w:rsidRPr="000236E4">
              <w:rPr>
                <w:b/>
                <w:bCs/>
                <w:color w:val="000000"/>
                <w:sz w:val="18"/>
                <w:szCs w:val="18"/>
              </w:rPr>
              <w:t>Celkem 4.1a</w:t>
            </w:r>
          </w:p>
        </w:tc>
        <w:tc>
          <w:tcPr>
            <w:tcW w:w="1448"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71 255 784</w:t>
            </w:r>
          </w:p>
        </w:tc>
        <w:tc>
          <w:tcPr>
            <w:tcW w:w="1352"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68 922 211</w:t>
            </w:r>
          </w:p>
        </w:tc>
        <w:tc>
          <w:tcPr>
            <w:tcW w:w="917"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96,7%</w:t>
            </w:r>
          </w:p>
        </w:tc>
        <w:tc>
          <w:tcPr>
            <w:tcW w:w="1376"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46 384 360</w:t>
            </w:r>
          </w:p>
        </w:tc>
        <w:tc>
          <w:tcPr>
            <w:tcW w:w="797"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65,1%</w:t>
            </w:r>
          </w:p>
        </w:tc>
        <w:tc>
          <w:tcPr>
            <w:tcW w:w="1376"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46 084 553</w:t>
            </w:r>
          </w:p>
        </w:tc>
        <w:tc>
          <w:tcPr>
            <w:tcW w:w="773"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64,7%</w:t>
            </w:r>
          </w:p>
        </w:tc>
      </w:tr>
      <w:tr w:rsidR="00CC16FD" w:rsidRPr="000236E4" w:rsidTr="001352F9">
        <w:trPr>
          <w:trHeight w:val="282"/>
        </w:trPr>
        <w:tc>
          <w:tcPr>
            <w:tcW w:w="1159" w:type="dxa"/>
            <w:shd w:val="clear" w:color="000000" w:fill="FFFFFF"/>
            <w:vAlign w:val="center"/>
            <w:hideMark/>
          </w:tcPr>
          <w:p w:rsidR="000236E4" w:rsidRPr="000236E4" w:rsidRDefault="000236E4" w:rsidP="000236E4">
            <w:pPr>
              <w:jc w:val="center"/>
              <w:rPr>
                <w:color w:val="000000"/>
                <w:sz w:val="18"/>
                <w:szCs w:val="18"/>
              </w:rPr>
            </w:pPr>
            <w:r w:rsidRPr="000236E4">
              <w:rPr>
                <w:color w:val="000000"/>
                <w:sz w:val="18"/>
                <w:szCs w:val="18"/>
              </w:rPr>
              <w:t xml:space="preserve">4.1b </w:t>
            </w:r>
          </w:p>
        </w:tc>
        <w:tc>
          <w:tcPr>
            <w:tcW w:w="1448"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3 647 971</w:t>
            </w:r>
          </w:p>
        </w:tc>
        <w:tc>
          <w:tcPr>
            <w:tcW w:w="1352"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5 334 532</w:t>
            </w:r>
          </w:p>
        </w:tc>
        <w:tc>
          <w:tcPr>
            <w:tcW w:w="917"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146,2%</w:t>
            </w:r>
          </w:p>
        </w:tc>
        <w:tc>
          <w:tcPr>
            <w:tcW w:w="1376"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3 567 901</w:t>
            </w:r>
          </w:p>
        </w:tc>
        <w:tc>
          <w:tcPr>
            <w:tcW w:w="797"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97,8%</w:t>
            </w:r>
          </w:p>
        </w:tc>
        <w:tc>
          <w:tcPr>
            <w:tcW w:w="1376"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3 544 843</w:t>
            </w:r>
          </w:p>
        </w:tc>
        <w:tc>
          <w:tcPr>
            <w:tcW w:w="773" w:type="dxa"/>
            <w:shd w:val="clear" w:color="000000" w:fill="FFFFFF"/>
            <w:noWrap/>
            <w:vAlign w:val="center"/>
            <w:hideMark/>
          </w:tcPr>
          <w:p w:rsidR="000236E4" w:rsidRPr="000236E4" w:rsidRDefault="000236E4" w:rsidP="000236E4">
            <w:pPr>
              <w:jc w:val="center"/>
              <w:rPr>
                <w:color w:val="000000"/>
                <w:sz w:val="18"/>
                <w:szCs w:val="18"/>
              </w:rPr>
            </w:pPr>
            <w:r w:rsidRPr="000236E4">
              <w:rPr>
                <w:color w:val="000000"/>
                <w:sz w:val="18"/>
                <w:szCs w:val="18"/>
              </w:rPr>
              <w:t>97,2%</w:t>
            </w:r>
          </w:p>
        </w:tc>
      </w:tr>
      <w:tr w:rsidR="00CC16FD" w:rsidRPr="000236E4" w:rsidTr="001352F9">
        <w:trPr>
          <w:trHeight w:val="230"/>
        </w:trPr>
        <w:tc>
          <w:tcPr>
            <w:tcW w:w="1159" w:type="dxa"/>
            <w:shd w:val="clear" w:color="000000" w:fill="D9D9D9"/>
            <w:vAlign w:val="center"/>
            <w:hideMark/>
          </w:tcPr>
          <w:p w:rsidR="000236E4" w:rsidRPr="000236E4" w:rsidRDefault="000236E4" w:rsidP="000236E4">
            <w:pPr>
              <w:jc w:val="center"/>
              <w:rPr>
                <w:b/>
                <w:bCs/>
                <w:color w:val="000000"/>
                <w:sz w:val="18"/>
                <w:szCs w:val="18"/>
              </w:rPr>
            </w:pPr>
            <w:r w:rsidRPr="000236E4">
              <w:rPr>
                <w:b/>
                <w:bCs/>
                <w:color w:val="000000"/>
                <w:sz w:val="18"/>
                <w:szCs w:val="18"/>
              </w:rPr>
              <w:t>Celkem 4.1b</w:t>
            </w:r>
          </w:p>
        </w:tc>
        <w:tc>
          <w:tcPr>
            <w:tcW w:w="1448"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3 647 971</w:t>
            </w:r>
          </w:p>
        </w:tc>
        <w:tc>
          <w:tcPr>
            <w:tcW w:w="1352"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5 334 532</w:t>
            </w:r>
          </w:p>
        </w:tc>
        <w:tc>
          <w:tcPr>
            <w:tcW w:w="917"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146,2%</w:t>
            </w:r>
          </w:p>
        </w:tc>
        <w:tc>
          <w:tcPr>
            <w:tcW w:w="1376"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3 567 901</w:t>
            </w:r>
          </w:p>
        </w:tc>
        <w:tc>
          <w:tcPr>
            <w:tcW w:w="797"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97,8%</w:t>
            </w:r>
          </w:p>
        </w:tc>
        <w:tc>
          <w:tcPr>
            <w:tcW w:w="1376"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3 544 843</w:t>
            </w:r>
          </w:p>
        </w:tc>
        <w:tc>
          <w:tcPr>
            <w:tcW w:w="773" w:type="dxa"/>
            <w:shd w:val="clear" w:color="000000" w:fill="D9D9D9"/>
            <w:noWrap/>
            <w:vAlign w:val="center"/>
            <w:hideMark/>
          </w:tcPr>
          <w:p w:rsidR="000236E4" w:rsidRPr="000236E4" w:rsidRDefault="000236E4" w:rsidP="000236E4">
            <w:pPr>
              <w:jc w:val="center"/>
              <w:rPr>
                <w:b/>
                <w:bCs/>
                <w:color w:val="000000"/>
                <w:sz w:val="18"/>
                <w:szCs w:val="18"/>
              </w:rPr>
            </w:pPr>
            <w:r w:rsidRPr="000236E4">
              <w:rPr>
                <w:b/>
                <w:bCs/>
                <w:color w:val="000000"/>
                <w:sz w:val="18"/>
                <w:szCs w:val="18"/>
              </w:rPr>
              <w:t>97,2%</w:t>
            </w:r>
          </w:p>
        </w:tc>
      </w:tr>
    </w:tbl>
    <w:p w:rsidR="00A75862" w:rsidRPr="00D95A18" w:rsidRDefault="00A75862" w:rsidP="0022733E">
      <w:pPr>
        <w:spacing w:before="60"/>
        <w:rPr>
          <w:i/>
          <w:sz w:val="18"/>
          <w:szCs w:val="18"/>
        </w:rPr>
      </w:pPr>
      <w:r w:rsidRPr="00D95A18">
        <w:rPr>
          <w:i/>
          <w:sz w:val="18"/>
          <w:szCs w:val="18"/>
        </w:rPr>
        <w:t xml:space="preserve">Zdroj: MSC2007 ke dni </w:t>
      </w:r>
      <w:r w:rsidR="00AE4209">
        <w:rPr>
          <w:i/>
          <w:sz w:val="18"/>
          <w:szCs w:val="18"/>
        </w:rPr>
        <w:t>31</w:t>
      </w:r>
      <w:r w:rsidR="00AE4209" w:rsidRPr="00D95A18">
        <w:rPr>
          <w:i/>
          <w:sz w:val="18"/>
          <w:szCs w:val="18"/>
        </w:rPr>
        <w:t>. 12. 2014</w:t>
      </w:r>
    </w:p>
    <w:p w:rsidR="00A75862" w:rsidRPr="00D95A18" w:rsidRDefault="00A75862" w:rsidP="0022733E">
      <w:pPr>
        <w:rPr>
          <w:i/>
          <w:sz w:val="18"/>
          <w:szCs w:val="18"/>
        </w:rPr>
      </w:pPr>
      <w:r w:rsidRPr="00D95A18">
        <w:rPr>
          <w:i/>
          <w:sz w:val="18"/>
          <w:szCs w:val="18"/>
        </w:rPr>
        <w:t xml:space="preserve">Kurz CZK/EUR: </w:t>
      </w:r>
      <w:r w:rsidR="00CC16FD">
        <w:rPr>
          <w:i/>
          <w:sz w:val="18"/>
          <w:szCs w:val="18"/>
        </w:rPr>
        <w:t>27,728</w:t>
      </w:r>
    </w:p>
    <w:p w:rsidR="00D62FA6" w:rsidRDefault="00D62FA6" w:rsidP="0022733E">
      <w:pPr>
        <w:jc w:val="both"/>
        <w:rPr>
          <w:i/>
          <w:color w:val="000000"/>
          <w:sz w:val="18"/>
          <w:szCs w:val="18"/>
        </w:rPr>
      </w:pPr>
      <w:r w:rsidRPr="000435AC">
        <w:rPr>
          <w:i/>
          <w:color w:val="000000"/>
          <w:sz w:val="18"/>
          <w:szCs w:val="18"/>
        </w:rPr>
        <w:t xml:space="preserve">Zdroj financování: </w:t>
      </w:r>
      <w:r w:rsidR="003A2C08">
        <w:rPr>
          <w:i/>
          <w:color w:val="000000"/>
          <w:sz w:val="18"/>
          <w:szCs w:val="18"/>
        </w:rPr>
        <w:t>p</w:t>
      </w:r>
      <w:r w:rsidRPr="000435AC">
        <w:rPr>
          <w:i/>
          <w:color w:val="000000"/>
          <w:sz w:val="18"/>
          <w:szCs w:val="18"/>
        </w:rPr>
        <w:t>odíl EU</w:t>
      </w:r>
      <w:r w:rsidR="00B83CB9">
        <w:rPr>
          <w:i/>
          <w:color w:val="000000"/>
          <w:sz w:val="18"/>
          <w:szCs w:val="18"/>
        </w:rPr>
        <w:t xml:space="preserve"> </w:t>
      </w:r>
      <w:r>
        <w:rPr>
          <w:i/>
          <w:color w:val="000000"/>
          <w:sz w:val="18"/>
          <w:szCs w:val="18"/>
        </w:rPr>
        <w:t>+</w:t>
      </w:r>
      <w:r w:rsidR="00B83CB9">
        <w:rPr>
          <w:i/>
          <w:color w:val="000000"/>
          <w:sz w:val="18"/>
          <w:szCs w:val="18"/>
        </w:rPr>
        <w:t xml:space="preserve"> </w:t>
      </w:r>
      <w:r w:rsidR="003A2C08">
        <w:rPr>
          <w:i/>
          <w:color w:val="000000"/>
          <w:sz w:val="18"/>
          <w:szCs w:val="18"/>
        </w:rPr>
        <w:t>národní veřejné zdroje</w:t>
      </w:r>
      <w:r w:rsidR="00B83CB9">
        <w:rPr>
          <w:i/>
          <w:color w:val="000000"/>
          <w:sz w:val="18"/>
          <w:szCs w:val="18"/>
        </w:rPr>
        <w:t xml:space="preserve"> </w:t>
      </w:r>
      <w:r w:rsidR="003A2C08">
        <w:rPr>
          <w:i/>
          <w:color w:val="000000"/>
          <w:sz w:val="18"/>
          <w:szCs w:val="18"/>
        </w:rPr>
        <w:t>+</w:t>
      </w:r>
      <w:r w:rsidR="00B83CB9">
        <w:rPr>
          <w:i/>
          <w:color w:val="000000"/>
          <w:sz w:val="18"/>
          <w:szCs w:val="18"/>
        </w:rPr>
        <w:t xml:space="preserve"> </w:t>
      </w:r>
      <w:r w:rsidR="003A2C08">
        <w:rPr>
          <w:i/>
          <w:color w:val="000000"/>
          <w:sz w:val="18"/>
          <w:szCs w:val="18"/>
        </w:rPr>
        <w:t>s</w:t>
      </w:r>
      <w:r>
        <w:rPr>
          <w:i/>
          <w:color w:val="000000"/>
          <w:sz w:val="18"/>
          <w:szCs w:val="18"/>
        </w:rPr>
        <w:t>oukromé výdaje</w:t>
      </w:r>
      <w:r w:rsidRPr="000435AC">
        <w:rPr>
          <w:i/>
          <w:color w:val="000000"/>
          <w:sz w:val="18"/>
          <w:szCs w:val="18"/>
        </w:rPr>
        <w:t xml:space="preserve">  </w:t>
      </w:r>
    </w:p>
    <w:p w:rsidR="00A75862" w:rsidRDefault="00A75862" w:rsidP="00F334AA"/>
    <w:p w:rsidR="00A75862" w:rsidRDefault="00A75862" w:rsidP="00F334AA"/>
    <w:p w:rsidR="007E22C3" w:rsidRDefault="007E22C3" w:rsidP="00F334AA"/>
    <w:p w:rsidR="0036460E" w:rsidRDefault="0036460E" w:rsidP="00F334AA"/>
    <w:p w:rsidR="0036460E" w:rsidRPr="00F334AA" w:rsidRDefault="0036460E" w:rsidP="00F334AA"/>
    <w:p w:rsidR="00A75862" w:rsidRDefault="00A75862" w:rsidP="0036460E">
      <w:pPr>
        <w:pStyle w:val="Tabulkanzev"/>
      </w:pPr>
      <w:bookmarkStart w:id="208" w:name="_Toc416431850"/>
      <w:r w:rsidRPr="009026D3">
        <w:lastRenderedPageBreak/>
        <w:t>F</w:t>
      </w:r>
      <w:r w:rsidR="007448FF">
        <w:t>inanční pokrok PO 4 k </w:t>
      </w:r>
      <w:r w:rsidR="0036460E">
        <w:t>31. 12. 2014</w:t>
      </w:r>
      <w:r w:rsidR="004D1732">
        <w:t xml:space="preserve"> (EU podíl)</w:t>
      </w:r>
      <w:bookmarkEnd w:id="208"/>
    </w:p>
    <w:tbl>
      <w:tblPr>
        <w:tblW w:w="9167"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1"/>
        <w:gridCol w:w="1581"/>
        <w:gridCol w:w="1345"/>
        <w:gridCol w:w="855"/>
        <w:gridCol w:w="1534"/>
        <w:gridCol w:w="897"/>
        <w:gridCol w:w="1345"/>
        <w:gridCol w:w="749"/>
      </w:tblGrid>
      <w:tr w:rsidR="007448FF" w:rsidRPr="00923544" w:rsidTr="001352F9">
        <w:trPr>
          <w:trHeight w:val="695"/>
        </w:trPr>
        <w:tc>
          <w:tcPr>
            <w:tcW w:w="861" w:type="dxa"/>
            <w:vMerge w:val="restart"/>
            <w:shd w:val="clear" w:color="auto" w:fill="C2D69B" w:themeFill="accent3" w:themeFillTint="99"/>
            <w:vAlign w:val="center"/>
            <w:hideMark/>
          </w:tcPr>
          <w:p w:rsidR="00923544" w:rsidRPr="00923544" w:rsidRDefault="00923544" w:rsidP="00923544">
            <w:pPr>
              <w:jc w:val="center"/>
              <w:rPr>
                <w:b/>
                <w:bCs/>
                <w:color w:val="000000"/>
                <w:sz w:val="18"/>
                <w:szCs w:val="18"/>
              </w:rPr>
            </w:pPr>
            <w:r w:rsidRPr="00923544">
              <w:rPr>
                <w:b/>
                <w:bCs/>
                <w:color w:val="000000"/>
                <w:sz w:val="18"/>
                <w:szCs w:val="18"/>
              </w:rPr>
              <w:t>Oblast podpory</w:t>
            </w:r>
          </w:p>
        </w:tc>
        <w:tc>
          <w:tcPr>
            <w:tcW w:w="1581" w:type="dxa"/>
            <w:shd w:val="clear" w:color="auto" w:fill="C2D69B" w:themeFill="accent3" w:themeFillTint="99"/>
            <w:vAlign w:val="center"/>
            <w:hideMark/>
          </w:tcPr>
          <w:p w:rsidR="00923544" w:rsidRPr="00923544" w:rsidRDefault="00923544" w:rsidP="00923544">
            <w:pPr>
              <w:jc w:val="center"/>
              <w:rPr>
                <w:b/>
                <w:bCs/>
                <w:color w:val="000000"/>
                <w:sz w:val="18"/>
                <w:szCs w:val="18"/>
              </w:rPr>
            </w:pPr>
            <w:r w:rsidRPr="00923544">
              <w:rPr>
                <w:b/>
                <w:bCs/>
                <w:color w:val="000000"/>
                <w:sz w:val="18"/>
                <w:szCs w:val="18"/>
              </w:rPr>
              <w:t>Alokace podpory 2007-2013</w:t>
            </w:r>
          </w:p>
        </w:tc>
        <w:tc>
          <w:tcPr>
            <w:tcW w:w="2200" w:type="dxa"/>
            <w:gridSpan w:val="2"/>
            <w:shd w:val="clear" w:color="auto" w:fill="C2D69B" w:themeFill="accent3" w:themeFillTint="99"/>
            <w:vAlign w:val="center"/>
            <w:hideMark/>
          </w:tcPr>
          <w:p w:rsidR="00923544" w:rsidRPr="00923544" w:rsidRDefault="00923544" w:rsidP="00923544">
            <w:pPr>
              <w:jc w:val="center"/>
              <w:rPr>
                <w:b/>
                <w:bCs/>
                <w:color w:val="000000"/>
                <w:sz w:val="18"/>
                <w:szCs w:val="18"/>
              </w:rPr>
            </w:pPr>
            <w:r w:rsidRPr="00923544">
              <w:rPr>
                <w:b/>
                <w:bCs/>
                <w:color w:val="000000"/>
                <w:sz w:val="18"/>
                <w:szCs w:val="18"/>
              </w:rPr>
              <w:t>Prostředky kryté Rozhodnutím / Smlouvou (dodatkem)</w:t>
            </w:r>
          </w:p>
        </w:tc>
        <w:tc>
          <w:tcPr>
            <w:tcW w:w="2431" w:type="dxa"/>
            <w:gridSpan w:val="2"/>
            <w:shd w:val="clear" w:color="auto" w:fill="C2D69B" w:themeFill="accent3" w:themeFillTint="99"/>
            <w:vAlign w:val="center"/>
            <w:hideMark/>
          </w:tcPr>
          <w:p w:rsidR="00923544" w:rsidRPr="00923544" w:rsidRDefault="00923544" w:rsidP="00923544">
            <w:pPr>
              <w:jc w:val="center"/>
              <w:rPr>
                <w:b/>
                <w:bCs/>
                <w:color w:val="000000"/>
                <w:sz w:val="18"/>
                <w:szCs w:val="18"/>
              </w:rPr>
            </w:pPr>
            <w:r w:rsidRPr="00923544">
              <w:rPr>
                <w:b/>
                <w:bCs/>
                <w:color w:val="000000"/>
                <w:sz w:val="18"/>
                <w:szCs w:val="18"/>
              </w:rPr>
              <w:t>Proplacené prostředky příjemcům (vyúčtované prostředky)</w:t>
            </w:r>
          </w:p>
        </w:tc>
        <w:tc>
          <w:tcPr>
            <w:tcW w:w="2094" w:type="dxa"/>
            <w:gridSpan w:val="2"/>
            <w:shd w:val="clear" w:color="auto" w:fill="C2D69B" w:themeFill="accent3" w:themeFillTint="99"/>
            <w:vAlign w:val="center"/>
            <w:hideMark/>
          </w:tcPr>
          <w:p w:rsidR="00923544" w:rsidRPr="00923544" w:rsidRDefault="00923544" w:rsidP="00923544">
            <w:pPr>
              <w:jc w:val="center"/>
              <w:rPr>
                <w:b/>
                <w:bCs/>
                <w:color w:val="000000"/>
                <w:sz w:val="18"/>
                <w:szCs w:val="18"/>
              </w:rPr>
            </w:pPr>
            <w:r w:rsidRPr="00923544">
              <w:rPr>
                <w:b/>
                <w:bCs/>
                <w:color w:val="000000"/>
                <w:sz w:val="18"/>
                <w:szCs w:val="18"/>
              </w:rPr>
              <w:t>Certifikované prostředky (včetně vratek)</w:t>
            </w:r>
          </w:p>
        </w:tc>
      </w:tr>
      <w:tr w:rsidR="007448FF" w:rsidRPr="00923544" w:rsidTr="001352F9">
        <w:trPr>
          <w:trHeight w:val="290"/>
        </w:trPr>
        <w:tc>
          <w:tcPr>
            <w:tcW w:w="861" w:type="dxa"/>
            <w:vMerge/>
            <w:vAlign w:val="center"/>
            <w:hideMark/>
          </w:tcPr>
          <w:p w:rsidR="00923544" w:rsidRPr="00923544" w:rsidRDefault="00923544" w:rsidP="00923544">
            <w:pPr>
              <w:rPr>
                <w:b/>
                <w:bCs/>
                <w:color w:val="000000"/>
                <w:sz w:val="16"/>
                <w:szCs w:val="16"/>
              </w:rPr>
            </w:pPr>
          </w:p>
        </w:tc>
        <w:tc>
          <w:tcPr>
            <w:tcW w:w="1581" w:type="dxa"/>
            <w:shd w:val="clear" w:color="000000" w:fill="C4D79B"/>
            <w:vAlign w:val="bottom"/>
            <w:hideMark/>
          </w:tcPr>
          <w:p w:rsidR="00923544" w:rsidRPr="00923544" w:rsidRDefault="00923544" w:rsidP="00923544">
            <w:pPr>
              <w:jc w:val="center"/>
              <w:rPr>
                <w:color w:val="000000"/>
                <w:sz w:val="18"/>
                <w:szCs w:val="18"/>
              </w:rPr>
            </w:pPr>
            <w:r w:rsidRPr="00923544">
              <w:rPr>
                <w:color w:val="000000"/>
                <w:sz w:val="18"/>
                <w:szCs w:val="18"/>
              </w:rPr>
              <w:t>EUR</w:t>
            </w:r>
          </w:p>
        </w:tc>
        <w:tc>
          <w:tcPr>
            <w:tcW w:w="1345" w:type="dxa"/>
            <w:shd w:val="clear" w:color="000000" w:fill="C4D79B"/>
            <w:vAlign w:val="bottom"/>
            <w:hideMark/>
          </w:tcPr>
          <w:p w:rsidR="00923544" w:rsidRPr="00923544" w:rsidRDefault="00923544" w:rsidP="00923544">
            <w:pPr>
              <w:jc w:val="center"/>
              <w:rPr>
                <w:color w:val="000000"/>
                <w:sz w:val="18"/>
                <w:szCs w:val="18"/>
              </w:rPr>
            </w:pPr>
            <w:r w:rsidRPr="00923544">
              <w:rPr>
                <w:color w:val="000000"/>
                <w:sz w:val="18"/>
                <w:szCs w:val="18"/>
              </w:rPr>
              <w:t>EUR</w:t>
            </w:r>
          </w:p>
        </w:tc>
        <w:tc>
          <w:tcPr>
            <w:tcW w:w="855" w:type="dxa"/>
            <w:shd w:val="clear" w:color="000000" w:fill="C4D79B"/>
            <w:vAlign w:val="bottom"/>
            <w:hideMark/>
          </w:tcPr>
          <w:p w:rsidR="00923544" w:rsidRPr="00923544" w:rsidRDefault="00923544" w:rsidP="00923544">
            <w:pPr>
              <w:jc w:val="center"/>
              <w:rPr>
                <w:color w:val="000000"/>
                <w:sz w:val="18"/>
                <w:szCs w:val="18"/>
              </w:rPr>
            </w:pPr>
            <w:r w:rsidRPr="00923544">
              <w:rPr>
                <w:color w:val="000000"/>
                <w:sz w:val="18"/>
                <w:szCs w:val="18"/>
              </w:rPr>
              <w:t>%</w:t>
            </w:r>
          </w:p>
        </w:tc>
        <w:tc>
          <w:tcPr>
            <w:tcW w:w="1534" w:type="dxa"/>
            <w:shd w:val="clear" w:color="000000" w:fill="C4D79B"/>
            <w:vAlign w:val="bottom"/>
            <w:hideMark/>
          </w:tcPr>
          <w:p w:rsidR="00923544" w:rsidRPr="00923544" w:rsidRDefault="00923544" w:rsidP="00923544">
            <w:pPr>
              <w:jc w:val="center"/>
              <w:rPr>
                <w:color w:val="000000"/>
                <w:sz w:val="18"/>
                <w:szCs w:val="18"/>
              </w:rPr>
            </w:pPr>
            <w:r w:rsidRPr="00923544">
              <w:rPr>
                <w:color w:val="000000"/>
                <w:sz w:val="18"/>
                <w:szCs w:val="18"/>
              </w:rPr>
              <w:t>EUR</w:t>
            </w:r>
          </w:p>
        </w:tc>
        <w:tc>
          <w:tcPr>
            <w:tcW w:w="897" w:type="dxa"/>
            <w:shd w:val="clear" w:color="000000" w:fill="C4D79B"/>
            <w:vAlign w:val="bottom"/>
            <w:hideMark/>
          </w:tcPr>
          <w:p w:rsidR="00923544" w:rsidRPr="00923544" w:rsidRDefault="00923544" w:rsidP="00923544">
            <w:pPr>
              <w:jc w:val="center"/>
              <w:rPr>
                <w:color w:val="000000"/>
                <w:sz w:val="18"/>
                <w:szCs w:val="18"/>
              </w:rPr>
            </w:pPr>
            <w:r w:rsidRPr="00923544">
              <w:rPr>
                <w:color w:val="000000"/>
                <w:sz w:val="18"/>
                <w:szCs w:val="18"/>
              </w:rPr>
              <w:t>%</w:t>
            </w:r>
          </w:p>
        </w:tc>
        <w:tc>
          <w:tcPr>
            <w:tcW w:w="1345" w:type="dxa"/>
            <w:shd w:val="clear" w:color="000000" w:fill="C4D79B"/>
            <w:vAlign w:val="bottom"/>
            <w:hideMark/>
          </w:tcPr>
          <w:p w:rsidR="00923544" w:rsidRPr="00923544" w:rsidRDefault="00923544" w:rsidP="00923544">
            <w:pPr>
              <w:jc w:val="center"/>
              <w:rPr>
                <w:color w:val="000000"/>
                <w:sz w:val="18"/>
                <w:szCs w:val="18"/>
              </w:rPr>
            </w:pPr>
            <w:r w:rsidRPr="00923544">
              <w:rPr>
                <w:color w:val="000000"/>
                <w:sz w:val="18"/>
                <w:szCs w:val="18"/>
              </w:rPr>
              <w:t>EUR</w:t>
            </w:r>
          </w:p>
        </w:tc>
        <w:tc>
          <w:tcPr>
            <w:tcW w:w="749" w:type="dxa"/>
            <w:shd w:val="clear" w:color="000000" w:fill="C4D79B"/>
            <w:vAlign w:val="bottom"/>
            <w:hideMark/>
          </w:tcPr>
          <w:p w:rsidR="00923544" w:rsidRPr="00923544" w:rsidRDefault="00923544" w:rsidP="00923544">
            <w:pPr>
              <w:jc w:val="center"/>
              <w:rPr>
                <w:color w:val="000000"/>
                <w:sz w:val="18"/>
                <w:szCs w:val="18"/>
              </w:rPr>
            </w:pPr>
            <w:r w:rsidRPr="00923544">
              <w:rPr>
                <w:color w:val="000000"/>
                <w:sz w:val="18"/>
                <w:szCs w:val="18"/>
              </w:rPr>
              <w:t>%</w:t>
            </w:r>
          </w:p>
        </w:tc>
      </w:tr>
      <w:tr w:rsidR="007448FF" w:rsidRPr="00923544" w:rsidTr="001352F9">
        <w:trPr>
          <w:trHeight w:val="290"/>
        </w:trPr>
        <w:tc>
          <w:tcPr>
            <w:tcW w:w="861" w:type="dxa"/>
            <w:vMerge/>
            <w:vAlign w:val="center"/>
            <w:hideMark/>
          </w:tcPr>
          <w:p w:rsidR="00923544" w:rsidRPr="00923544" w:rsidRDefault="00923544" w:rsidP="00923544">
            <w:pPr>
              <w:rPr>
                <w:b/>
                <w:bCs/>
                <w:color w:val="000000"/>
                <w:sz w:val="16"/>
                <w:szCs w:val="16"/>
              </w:rPr>
            </w:pPr>
          </w:p>
        </w:tc>
        <w:tc>
          <w:tcPr>
            <w:tcW w:w="1581" w:type="dxa"/>
            <w:shd w:val="clear" w:color="000000" w:fill="C4D79B"/>
            <w:vAlign w:val="bottom"/>
            <w:hideMark/>
          </w:tcPr>
          <w:p w:rsidR="00923544" w:rsidRPr="00923544" w:rsidRDefault="00923544" w:rsidP="00923544">
            <w:pPr>
              <w:jc w:val="center"/>
              <w:rPr>
                <w:b/>
                <w:bCs/>
                <w:color w:val="000000"/>
                <w:sz w:val="18"/>
                <w:szCs w:val="18"/>
              </w:rPr>
            </w:pPr>
            <w:r w:rsidRPr="00923544">
              <w:rPr>
                <w:b/>
                <w:bCs/>
                <w:color w:val="000000"/>
                <w:sz w:val="18"/>
                <w:szCs w:val="18"/>
              </w:rPr>
              <w:t xml:space="preserve">a </w:t>
            </w:r>
          </w:p>
        </w:tc>
        <w:tc>
          <w:tcPr>
            <w:tcW w:w="1345" w:type="dxa"/>
            <w:shd w:val="clear" w:color="000000" w:fill="C4D79B"/>
            <w:vAlign w:val="bottom"/>
            <w:hideMark/>
          </w:tcPr>
          <w:p w:rsidR="00923544" w:rsidRPr="00923544" w:rsidRDefault="00923544" w:rsidP="00923544">
            <w:pPr>
              <w:jc w:val="center"/>
              <w:rPr>
                <w:b/>
                <w:bCs/>
                <w:color w:val="000000"/>
                <w:sz w:val="18"/>
                <w:szCs w:val="18"/>
              </w:rPr>
            </w:pPr>
            <w:r w:rsidRPr="00923544">
              <w:rPr>
                <w:b/>
                <w:bCs/>
                <w:color w:val="000000"/>
                <w:sz w:val="18"/>
                <w:szCs w:val="18"/>
              </w:rPr>
              <w:t xml:space="preserve">b </w:t>
            </w:r>
          </w:p>
        </w:tc>
        <w:tc>
          <w:tcPr>
            <w:tcW w:w="855" w:type="dxa"/>
            <w:shd w:val="clear" w:color="000000" w:fill="C4D79B"/>
            <w:vAlign w:val="bottom"/>
            <w:hideMark/>
          </w:tcPr>
          <w:p w:rsidR="00923544" w:rsidRPr="00923544" w:rsidRDefault="00923544" w:rsidP="00923544">
            <w:pPr>
              <w:jc w:val="center"/>
              <w:rPr>
                <w:b/>
                <w:bCs/>
                <w:color w:val="000000"/>
                <w:sz w:val="18"/>
                <w:szCs w:val="18"/>
              </w:rPr>
            </w:pPr>
            <w:r w:rsidRPr="00923544">
              <w:rPr>
                <w:b/>
                <w:bCs/>
                <w:color w:val="000000"/>
                <w:sz w:val="18"/>
                <w:szCs w:val="18"/>
              </w:rPr>
              <w:t xml:space="preserve">b/a </w:t>
            </w:r>
          </w:p>
        </w:tc>
        <w:tc>
          <w:tcPr>
            <w:tcW w:w="1534" w:type="dxa"/>
            <w:shd w:val="clear" w:color="000000" w:fill="C4D79B"/>
            <w:vAlign w:val="bottom"/>
            <w:hideMark/>
          </w:tcPr>
          <w:p w:rsidR="00923544" w:rsidRPr="00923544" w:rsidRDefault="00923544" w:rsidP="00923544">
            <w:pPr>
              <w:jc w:val="center"/>
              <w:rPr>
                <w:b/>
                <w:bCs/>
                <w:color w:val="000000"/>
                <w:sz w:val="18"/>
                <w:szCs w:val="18"/>
              </w:rPr>
            </w:pPr>
            <w:r w:rsidRPr="00923544">
              <w:rPr>
                <w:b/>
                <w:bCs/>
                <w:color w:val="000000"/>
                <w:sz w:val="18"/>
                <w:szCs w:val="18"/>
              </w:rPr>
              <w:t xml:space="preserve">c </w:t>
            </w:r>
          </w:p>
        </w:tc>
        <w:tc>
          <w:tcPr>
            <w:tcW w:w="897" w:type="dxa"/>
            <w:shd w:val="clear" w:color="000000" w:fill="C4D79B"/>
            <w:vAlign w:val="bottom"/>
            <w:hideMark/>
          </w:tcPr>
          <w:p w:rsidR="00923544" w:rsidRPr="00923544" w:rsidRDefault="00923544" w:rsidP="00923544">
            <w:pPr>
              <w:jc w:val="center"/>
              <w:rPr>
                <w:b/>
                <w:bCs/>
                <w:color w:val="000000"/>
                <w:sz w:val="18"/>
                <w:szCs w:val="18"/>
              </w:rPr>
            </w:pPr>
            <w:r w:rsidRPr="00923544">
              <w:rPr>
                <w:b/>
                <w:bCs/>
                <w:color w:val="000000"/>
                <w:sz w:val="18"/>
                <w:szCs w:val="18"/>
              </w:rPr>
              <w:t xml:space="preserve">c/a </w:t>
            </w:r>
          </w:p>
        </w:tc>
        <w:tc>
          <w:tcPr>
            <w:tcW w:w="1345" w:type="dxa"/>
            <w:shd w:val="clear" w:color="000000" w:fill="C4D79B"/>
            <w:vAlign w:val="bottom"/>
            <w:hideMark/>
          </w:tcPr>
          <w:p w:rsidR="00923544" w:rsidRPr="00923544" w:rsidRDefault="00923544" w:rsidP="00923544">
            <w:pPr>
              <w:jc w:val="center"/>
              <w:rPr>
                <w:b/>
                <w:bCs/>
                <w:color w:val="000000"/>
                <w:sz w:val="18"/>
                <w:szCs w:val="18"/>
              </w:rPr>
            </w:pPr>
            <w:r w:rsidRPr="00923544">
              <w:rPr>
                <w:b/>
                <w:bCs/>
                <w:color w:val="000000"/>
                <w:sz w:val="18"/>
                <w:szCs w:val="18"/>
              </w:rPr>
              <w:t xml:space="preserve">d </w:t>
            </w:r>
          </w:p>
        </w:tc>
        <w:tc>
          <w:tcPr>
            <w:tcW w:w="749" w:type="dxa"/>
            <w:shd w:val="clear" w:color="000000" w:fill="C4D79B"/>
            <w:vAlign w:val="bottom"/>
            <w:hideMark/>
          </w:tcPr>
          <w:p w:rsidR="00923544" w:rsidRPr="00923544" w:rsidRDefault="00923544" w:rsidP="00923544">
            <w:pPr>
              <w:jc w:val="center"/>
              <w:rPr>
                <w:b/>
                <w:bCs/>
                <w:color w:val="000000"/>
                <w:sz w:val="18"/>
                <w:szCs w:val="18"/>
              </w:rPr>
            </w:pPr>
            <w:r w:rsidRPr="00923544">
              <w:rPr>
                <w:b/>
                <w:bCs/>
                <w:color w:val="000000"/>
                <w:sz w:val="18"/>
                <w:szCs w:val="18"/>
              </w:rPr>
              <w:t xml:space="preserve">d/a </w:t>
            </w:r>
          </w:p>
        </w:tc>
      </w:tr>
      <w:tr w:rsidR="007448FF" w:rsidRPr="00923544" w:rsidTr="001352F9">
        <w:trPr>
          <w:trHeight w:val="290"/>
        </w:trPr>
        <w:tc>
          <w:tcPr>
            <w:tcW w:w="861" w:type="dxa"/>
            <w:shd w:val="clear" w:color="000000" w:fill="FFFFFF"/>
            <w:vAlign w:val="center"/>
            <w:hideMark/>
          </w:tcPr>
          <w:p w:rsidR="00923544" w:rsidRPr="00923544" w:rsidRDefault="00923544" w:rsidP="007448FF">
            <w:pPr>
              <w:jc w:val="center"/>
              <w:rPr>
                <w:color w:val="000000"/>
                <w:sz w:val="18"/>
                <w:szCs w:val="18"/>
              </w:rPr>
            </w:pPr>
            <w:r w:rsidRPr="00923544">
              <w:rPr>
                <w:color w:val="000000"/>
                <w:sz w:val="18"/>
                <w:szCs w:val="18"/>
              </w:rPr>
              <w:t>4.1a</w:t>
            </w:r>
          </w:p>
        </w:tc>
        <w:tc>
          <w:tcPr>
            <w:tcW w:w="1581"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60 567 416</w:t>
            </w:r>
          </w:p>
        </w:tc>
        <w:tc>
          <w:tcPr>
            <w:tcW w:w="1345"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58 493 535</w:t>
            </w:r>
          </w:p>
        </w:tc>
        <w:tc>
          <w:tcPr>
            <w:tcW w:w="855"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96,6%</w:t>
            </w:r>
          </w:p>
        </w:tc>
        <w:tc>
          <w:tcPr>
            <w:tcW w:w="1534"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39 339 685</w:t>
            </w:r>
          </w:p>
        </w:tc>
        <w:tc>
          <w:tcPr>
            <w:tcW w:w="897"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65,0%</w:t>
            </w:r>
          </w:p>
        </w:tc>
        <w:tc>
          <w:tcPr>
            <w:tcW w:w="1345"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39 084 850</w:t>
            </w:r>
          </w:p>
        </w:tc>
        <w:tc>
          <w:tcPr>
            <w:tcW w:w="749"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64,5%</w:t>
            </w:r>
          </w:p>
        </w:tc>
      </w:tr>
      <w:tr w:rsidR="007448FF" w:rsidRPr="00923544" w:rsidTr="001352F9">
        <w:trPr>
          <w:trHeight w:val="290"/>
        </w:trPr>
        <w:tc>
          <w:tcPr>
            <w:tcW w:w="861" w:type="dxa"/>
            <w:shd w:val="clear" w:color="000000" w:fill="D9D9D9"/>
            <w:vAlign w:val="center"/>
            <w:hideMark/>
          </w:tcPr>
          <w:p w:rsidR="00923544" w:rsidRPr="00923544" w:rsidRDefault="00923544" w:rsidP="007448FF">
            <w:pPr>
              <w:jc w:val="center"/>
              <w:rPr>
                <w:b/>
                <w:bCs/>
                <w:color w:val="000000"/>
                <w:sz w:val="18"/>
                <w:szCs w:val="18"/>
              </w:rPr>
            </w:pPr>
            <w:r w:rsidRPr="00923544">
              <w:rPr>
                <w:b/>
                <w:bCs/>
                <w:color w:val="000000"/>
                <w:sz w:val="18"/>
                <w:szCs w:val="18"/>
              </w:rPr>
              <w:t>Celkem</w:t>
            </w:r>
          </w:p>
        </w:tc>
        <w:tc>
          <w:tcPr>
            <w:tcW w:w="1581"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60 567 416</w:t>
            </w:r>
          </w:p>
        </w:tc>
        <w:tc>
          <w:tcPr>
            <w:tcW w:w="1345"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58 493 535</w:t>
            </w:r>
          </w:p>
        </w:tc>
        <w:tc>
          <w:tcPr>
            <w:tcW w:w="855"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96,6%</w:t>
            </w:r>
          </w:p>
        </w:tc>
        <w:tc>
          <w:tcPr>
            <w:tcW w:w="1534"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39 339 685</w:t>
            </w:r>
          </w:p>
        </w:tc>
        <w:tc>
          <w:tcPr>
            <w:tcW w:w="897"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65,0%</w:t>
            </w:r>
          </w:p>
        </w:tc>
        <w:tc>
          <w:tcPr>
            <w:tcW w:w="1345"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39 084 850</w:t>
            </w:r>
          </w:p>
        </w:tc>
        <w:tc>
          <w:tcPr>
            <w:tcW w:w="749"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64,5%</w:t>
            </w:r>
          </w:p>
        </w:tc>
      </w:tr>
      <w:tr w:rsidR="007448FF" w:rsidRPr="00923544" w:rsidTr="001352F9">
        <w:trPr>
          <w:trHeight w:val="290"/>
        </w:trPr>
        <w:tc>
          <w:tcPr>
            <w:tcW w:w="861" w:type="dxa"/>
            <w:shd w:val="clear" w:color="000000" w:fill="FFFFFF"/>
            <w:vAlign w:val="center"/>
            <w:hideMark/>
          </w:tcPr>
          <w:p w:rsidR="00923544" w:rsidRPr="00923544" w:rsidRDefault="00923544" w:rsidP="007448FF">
            <w:pPr>
              <w:jc w:val="center"/>
              <w:rPr>
                <w:color w:val="000000"/>
                <w:sz w:val="18"/>
                <w:szCs w:val="18"/>
              </w:rPr>
            </w:pPr>
            <w:r w:rsidRPr="00923544">
              <w:rPr>
                <w:color w:val="000000"/>
                <w:sz w:val="18"/>
                <w:szCs w:val="18"/>
              </w:rPr>
              <w:t>4.1b</w:t>
            </w:r>
          </w:p>
        </w:tc>
        <w:tc>
          <w:tcPr>
            <w:tcW w:w="1581"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3 100 775</w:t>
            </w:r>
          </w:p>
        </w:tc>
        <w:tc>
          <w:tcPr>
            <w:tcW w:w="1345"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4 527 402</w:t>
            </w:r>
          </w:p>
        </w:tc>
        <w:tc>
          <w:tcPr>
            <w:tcW w:w="855"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146,0%</w:t>
            </w:r>
          </w:p>
        </w:tc>
        <w:tc>
          <w:tcPr>
            <w:tcW w:w="1534"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3 026 018</w:t>
            </w:r>
          </w:p>
        </w:tc>
        <w:tc>
          <w:tcPr>
            <w:tcW w:w="897"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97,6%</w:t>
            </w:r>
          </w:p>
        </w:tc>
        <w:tc>
          <w:tcPr>
            <w:tcW w:w="1345"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3 006 419</w:t>
            </w:r>
          </w:p>
        </w:tc>
        <w:tc>
          <w:tcPr>
            <w:tcW w:w="749" w:type="dxa"/>
            <w:shd w:val="clear" w:color="000000" w:fill="FFFFFF"/>
            <w:noWrap/>
            <w:vAlign w:val="center"/>
            <w:hideMark/>
          </w:tcPr>
          <w:p w:rsidR="00923544" w:rsidRPr="00923544" w:rsidRDefault="00923544" w:rsidP="007448FF">
            <w:pPr>
              <w:jc w:val="center"/>
              <w:rPr>
                <w:color w:val="000000"/>
                <w:sz w:val="18"/>
                <w:szCs w:val="18"/>
              </w:rPr>
            </w:pPr>
            <w:r w:rsidRPr="00923544">
              <w:rPr>
                <w:color w:val="000000"/>
                <w:sz w:val="18"/>
                <w:szCs w:val="18"/>
              </w:rPr>
              <w:t>97,0%</w:t>
            </w:r>
          </w:p>
        </w:tc>
      </w:tr>
      <w:tr w:rsidR="007448FF" w:rsidRPr="00923544" w:rsidTr="001352F9">
        <w:trPr>
          <w:trHeight w:val="290"/>
        </w:trPr>
        <w:tc>
          <w:tcPr>
            <w:tcW w:w="861" w:type="dxa"/>
            <w:shd w:val="clear" w:color="000000" w:fill="D9D9D9"/>
            <w:vAlign w:val="center"/>
            <w:hideMark/>
          </w:tcPr>
          <w:p w:rsidR="00923544" w:rsidRPr="00923544" w:rsidRDefault="00923544" w:rsidP="007448FF">
            <w:pPr>
              <w:jc w:val="center"/>
              <w:rPr>
                <w:b/>
                <w:bCs/>
                <w:color w:val="000000"/>
                <w:sz w:val="18"/>
                <w:szCs w:val="18"/>
              </w:rPr>
            </w:pPr>
            <w:r w:rsidRPr="00923544">
              <w:rPr>
                <w:b/>
                <w:bCs/>
                <w:color w:val="000000"/>
                <w:sz w:val="18"/>
                <w:szCs w:val="18"/>
              </w:rPr>
              <w:t>Celkem</w:t>
            </w:r>
          </w:p>
        </w:tc>
        <w:tc>
          <w:tcPr>
            <w:tcW w:w="1581"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3 100 775</w:t>
            </w:r>
          </w:p>
        </w:tc>
        <w:tc>
          <w:tcPr>
            <w:tcW w:w="1345"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4 527 402</w:t>
            </w:r>
          </w:p>
        </w:tc>
        <w:tc>
          <w:tcPr>
            <w:tcW w:w="855"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146,0%</w:t>
            </w:r>
          </w:p>
        </w:tc>
        <w:tc>
          <w:tcPr>
            <w:tcW w:w="1534"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3 026 018</w:t>
            </w:r>
          </w:p>
        </w:tc>
        <w:tc>
          <w:tcPr>
            <w:tcW w:w="897"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97,6%</w:t>
            </w:r>
          </w:p>
        </w:tc>
        <w:tc>
          <w:tcPr>
            <w:tcW w:w="1345"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3 006 419</w:t>
            </w:r>
          </w:p>
        </w:tc>
        <w:tc>
          <w:tcPr>
            <w:tcW w:w="749" w:type="dxa"/>
            <w:shd w:val="clear" w:color="000000" w:fill="D9D9D9"/>
            <w:noWrap/>
            <w:vAlign w:val="center"/>
            <w:hideMark/>
          </w:tcPr>
          <w:p w:rsidR="00923544" w:rsidRPr="00923544" w:rsidRDefault="00923544" w:rsidP="007448FF">
            <w:pPr>
              <w:jc w:val="center"/>
              <w:rPr>
                <w:b/>
                <w:bCs/>
                <w:color w:val="000000"/>
                <w:sz w:val="18"/>
                <w:szCs w:val="18"/>
              </w:rPr>
            </w:pPr>
            <w:r w:rsidRPr="00923544">
              <w:rPr>
                <w:b/>
                <w:bCs/>
                <w:color w:val="000000"/>
                <w:sz w:val="18"/>
                <w:szCs w:val="18"/>
              </w:rPr>
              <w:t>97,0%</w:t>
            </w:r>
          </w:p>
        </w:tc>
      </w:tr>
    </w:tbl>
    <w:p w:rsidR="00A75862" w:rsidRPr="00D95A18" w:rsidRDefault="00A75862" w:rsidP="0022733E">
      <w:pPr>
        <w:spacing w:before="60"/>
        <w:rPr>
          <w:i/>
          <w:sz w:val="18"/>
          <w:szCs w:val="18"/>
        </w:rPr>
      </w:pPr>
      <w:r w:rsidRPr="00D95A18">
        <w:rPr>
          <w:i/>
          <w:sz w:val="18"/>
          <w:szCs w:val="18"/>
        </w:rPr>
        <w:t xml:space="preserve">Zdroj: MSC2007 ke dni </w:t>
      </w:r>
      <w:r w:rsidR="0036460E">
        <w:rPr>
          <w:i/>
          <w:sz w:val="18"/>
          <w:szCs w:val="18"/>
        </w:rPr>
        <w:t>31</w:t>
      </w:r>
      <w:r w:rsidR="0036460E" w:rsidRPr="00D95A18">
        <w:rPr>
          <w:i/>
          <w:sz w:val="18"/>
          <w:szCs w:val="18"/>
        </w:rPr>
        <w:t>. 12. 2014</w:t>
      </w:r>
    </w:p>
    <w:p w:rsidR="00A75862" w:rsidRPr="00D95A18" w:rsidRDefault="00A75862" w:rsidP="0022733E">
      <w:pPr>
        <w:rPr>
          <w:i/>
          <w:sz w:val="18"/>
          <w:szCs w:val="18"/>
        </w:rPr>
      </w:pPr>
      <w:r w:rsidRPr="00D95A18">
        <w:rPr>
          <w:i/>
          <w:sz w:val="18"/>
          <w:szCs w:val="18"/>
        </w:rPr>
        <w:t xml:space="preserve">Kurz CZK/EUR: </w:t>
      </w:r>
      <w:r w:rsidR="007448FF">
        <w:rPr>
          <w:i/>
          <w:sz w:val="18"/>
          <w:szCs w:val="18"/>
        </w:rPr>
        <w:t>27,728</w:t>
      </w:r>
    </w:p>
    <w:p w:rsidR="007E22C3" w:rsidRDefault="003A2C08" w:rsidP="002317FF">
      <w:pPr>
        <w:jc w:val="both"/>
        <w:rPr>
          <w:i/>
          <w:color w:val="000000"/>
          <w:sz w:val="18"/>
          <w:szCs w:val="18"/>
        </w:rPr>
      </w:pPr>
      <w:r>
        <w:rPr>
          <w:i/>
          <w:color w:val="000000"/>
          <w:sz w:val="18"/>
          <w:szCs w:val="18"/>
        </w:rPr>
        <w:t>Zdroj financování: p</w:t>
      </w:r>
      <w:r w:rsidR="00327002" w:rsidRPr="000435AC">
        <w:rPr>
          <w:i/>
          <w:color w:val="000000"/>
          <w:sz w:val="18"/>
          <w:szCs w:val="18"/>
        </w:rPr>
        <w:t xml:space="preserve">odíl EU </w:t>
      </w:r>
    </w:p>
    <w:p w:rsidR="00C8469B" w:rsidRPr="00C8469B" w:rsidRDefault="00C8469B" w:rsidP="002317FF">
      <w:pPr>
        <w:jc w:val="both"/>
        <w:rPr>
          <w:i/>
          <w:color w:val="000000"/>
          <w:sz w:val="18"/>
          <w:szCs w:val="18"/>
        </w:rPr>
      </w:pPr>
    </w:p>
    <w:p w:rsidR="007E22C3" w:rsidRDefault="007E22C3" w:rsidP="002317FF">
      <w:pPr>
        <w:jc w:val="both"/>
        <w:rPr>
          <w:sz w:val="22"/>
          <w:szCs w:val="22"/>
          <w:u w:val="single"/>
        </w:rPr>
      </w:pPr>
    </w:p>
    <w:p w:rsidR="00A75862" w:rsidRDefault="00A75862" w:rsidP="002317FF">
      <w:pPr>
        <w:jc w:val="both"/>
        <w:rPr>
          <w:sz w:val="22"/>
          <w:szCs w:val="22"/>
          <w:u w:val="single"/>
        </w:rPr>
      </w:pPr>
      <w:r w:rsidRPr="002D519D">
        <w:rPr>
          <w:sz w:val="22"/>
          <w:szCs w:val="22"/>
          <w:u w:val="single"/>
        </w:rPr>
        <w:t>Statistika vyřazování projektů</w:t>
      </w:r>
    </w:p>
    <w:p w:rsidR="004E26A1" w:rsidRDefault="004E26A1" w:rsidP="004E26A1">
      <w:pPr>
        <w:spacing w:after="120"/>
        <w:jc w:val="both"/>
        <w:rPr>
          <w:sz w:val="22"/>
          <w:szCs w:val="22"/>
        </w:rPr>
      </w:pPr>
      <w:r w:rsidRPr="0022733E">
        <w:rPr>
          <w:b/>
          <w:sz w:val="22"/>
          <w:szCs w:val="22"/>
        </w:rPr>
        <w:t>Oblast intervence 4.1</w:t>
      </w:r>
      <w:r w:rsidRPr="0022733E">
        <w:rPr>
          <w:sz w:val="22"/>
          <w:szCs w:val="22"/>
        </w:rPr>
        <w:t xml:space="preserve"> </w:t>
      </w:r>
      <w:r w:rsidRPr="00300F3C">
        <w:rPr>
          <w:sz w:val="22"/>
          <w:szCs w:val="22"/>
        </w:rPr>
        <w:t xml:space="preserve">se potýká s nekvalitně zpracovanými žádostmi. </w:t>
      </w:r>
      <w:r>
        <w:rPr>
          <w:sz w:val="22"/>
          <w:szCs w:val="22"/>
        </w:rPr>
        <w:t xml:space="preserve">ŘO IOP se </w:t>
      </w:r>
      <w:proofErr w:type="gramStart"/>
      <w:r>
        <w:rPr>
          <w:sz w:val="22"/>
          <w:szCs w:val="22"/>
        </w:rPr>
        <w:t>společně s CRR snaží</w:t>
      </w:r>
      <w:proofErr w:type="gramEnd"/>
      <w:r>
        <w:rPr>
          <w:sz w:val="22"/>
          <w:szCs w:val="22"/>
        </w:rPr>
        <w:t xml:space="preserve"> předcházet nadměrnému počtu vyřazených žádostí intenzivní komunikací a konzultacemi s žadateli a zveřejňováním nejčastěji kladených dotazů.   </w:t>
      </w:r>
    </w:p>
    <w:p w:rsidR="004E26A1" w:rsidRDefault="004E26A1" w:rsidP="004E26A1">
      <w:pPr>
        <w:spacing w:after="120"/>
        <w:jc w:val="both"/>
        <w:rPr>
          <w:sz w:val="22"/>
          <w:szCs w:val="22"/>
        </w:rPr>
      </w:pPr>
      <w:r>
        <w:rPr>
          <w:sz w:val="22"/>
          <w:szCs w:val="22"/>
        </w:rPr>
        <w:t xml:space="preserve">Přesto </w:t>
      </w:r>
      <w:r w:rsidRPr="00300F3C">
        <w:rPr>
          <w:sz w:val="22"/>
          <w:szCs w:val="22"/>
        </w:rPr>
        <w:t>nesplnilo</w:t>
      </w:r>
      <w:r>
        <w:rPr>
          <w:sz w:val="22"/>
          <w:szCs w:val="22"/>
        </w:rPr>
        <w:t xml:space="preserve"> v roce 2014 </w:t>
      </w:r>
      <w:r w:rsidRPr="00300F3C">
        <w:rPr>
          <w:sz w:val="22"/>
          <w:szCs w:val="22"/>
        </w:rPr>
        <w:t>podmínky hodnocení</w:t>
      </w:r>
      <w:r>
        <w:rPr>
          <w:sz w:val="22"/>
          <w:szCs w:val="22"/>
        </w:rPr>
        <w:t xml:space="preserve"> kvality 7 párových žádostí předložených do 25. výzvy</w:t>
      </w:r>
      <w:r w:rsidRPr="00300F3C">
        <w:rPr>
          <w:sz w:val="22"/>
          <w:szCs w:val="22"/>
        </w:rPr>
        <w:t xml:space="preserve">. Slabou stránkou projektů </w:t>
      </w:r>
      <w:r>
        <w:rPr>
          <w:sz w:val="22"/>
          <w:szCs w:val="22"/>
        </w:rPr>
        <w:t>byly</w:t>
      </w:r>
      <w:r w:rsidRPr="00300F3C">
        <w:rPr>
          <w:sz w:val="22"/>
          <w:szCs w:val="22"/>
        </w:rPr>
        <w:t xml:space="preserve"> </w:t>
      </w:r>
      <w:r>
        <w:rPr>
          <w:sz w:val="22"/>
          <w:szCs w:val="22"/>
        </w:rPr>
        <w:t xml:space="preserve">především </w:t>
      </w:r>
      <w:r w:rsidRPr="00300F3C">
        <w:rPr>
          <w:sz w:val="22"/>
          <w:szCs w:val="22"/>
        </w:rPr>
        <w:t>rozpočty</w:t>
      </w:r>
      <w:r>
        <w:rPr>
          <w:sz w:val="22"/>
          <w:szCs w:val="22"/>
        </w:rPr>
        <w:t xml:space="preserve"> a jejich neprovázanost s aktivitami, nedostatečný popis aktivit a nedostatečná kvalita vstupní</w:t>
      </w:r>
      <w:r w:rsidRPr="00300F3C">
        <w:rPr>
          <w:sz w:val="22"/>
          <w:szCs w:val="22"/>
        </w:rPr>
        <w:t xml:space="preserve"> analýzy</w:t>
      </w:r>
      <w:r>
        <w:rPr>
          <w:sz w:val="22"/>
          <w:szCs w:val="22"/>
        </w:rPr>
        <w:t xml:space="preserve">. Projekty ztrácely body rovněž v hodnocení specifických kritérií. Další 4 párové žádosti byly v roce 2014 vyřazeny na základě nesplnění některého z kritérií přijatelnost. </w:t>
      </w:r>
    </w:p>
    <w:p w:rsidR="004E26A1" w:rsidRPr="0022733E" w:rsidRDefault="004E26A1" w:rsidP="004E26A1">
      <w:pPr>
        <w:spacing w:after="120"/>
        <w:jc w:val="both"/>
        <w:rPr>
          <w:sz w:val="22"/>
          <w:szCs w:val="22"/>
        </w:rPr>
      </w:pPr>
      <w:r>
        <w:rPr>
          <w:sz w:val="22"/>
          <w:szCs w:val="22"/>
        </w:rPr>
        <w:t>Vzhledem k fázi implementace programu ŘO IOP nepočítá s vyhlašováním nových výzev a soustředí se především na intenzivní práci se stávajícími příjemci s cílem zdárného dokončení projektů v realizaci.</w:t>
      </w:r>
      <w:r w:rsidRPr="00300F3C">
        <w:rPr>
          <w:sz w:val="22"/>
          <w:szCs w:val="22"/>
        </w:rPr>
        <w:t xml:space="preserve"> </w:t>
      </w:r>
    </w:p>
    <w:p w:rsidR="00252334" w:rsidRDefault="00252334" w:rsidP="002317FF">
      <w:pPr>
        <w:jc w:val="both"/>
        <w:rPr>
          <w:sz w:val="22"/>
          <w:szCs w:val="22"/>
          <w:u w:val="single"/>
        </w:rPr>
      </w:pPr>
    </w:p>
    <w:p w:rsidR="000B4531" w:rsidRDefault="000B4531" w:rsidP="0036460E">
      <w:pPr>
        <w:pStyle w:val="Tabulkanzev"/>
      </w:pPr>
      <w:bookmarkStart w:id="209" w:name="_Toc416431851"/>
      <w:r w:rsidRPr="00F72AFC">
        <w:t>Tabulka vyřazených projektů</w:t>
      </w:r>
      <w:r>
        <w:t xml:space="preserve"> v oblasti intervence 4.1</w:t>
      </w:r>
      <w:bookmarkEnd w:id="209"/>
    </w:p>
    <w:tbl>
      <w:tblPr>
        <w:tblW w:w="9099" w:type="dxa"/>
        <w:tblInd w:w="47" w:type="dxa"/>
        <w:tblCellMar>
          <w:left w:w="70" w:type="dxa"/>
          <w:right w:w="70" w:type="dxa"/>
        </w:tblCellMar>
        <w:tblLook w:val="04A0" w:firstRow="1" w:lastRow="0" w:firstColumn="1" w:lastColumn="0" w:noHBand="0" w:noVBand="1"/>
      </w:tblPr>
      <w:tblGrid>
        <w:gridCol w:w="4652"/>
        <w:gridCol w:w="1089"/>
        <w:gridCol w:w="1180"/>
        <w:gridCol w:w="1089"/>
        <w:gridCol w:w="1089"/>
      </w:tblGrid>
      <w:tr w:rsidR="00717EFD" w:rsidRPr="00717EFD" w:rsidTr="00717EFD">
        <w:trPr>
          <w:trHeight w:val="331"/>
        </w:trPr>
        <w:tc>
          <w:tcPr>
            <w:tcW w:w="9099" w:type="dxa"/>
            <w:gridSpan w:val="5"/>
            <w:tcBorders>
              <w:top w:val="double" w:sz="6" w:space="0" w:color="4F6228"/>
              <w:left w:val="double" w:sz="6" w:space="0" w:color="4F6228"/>
              <w:bottom w:val="single" w:sz="8" w:space="0" w:color="4F6228"/>
              <w:right w:val="double" w:sz="6" w:space="0" w:color="4F6228"/>
            </w:tcBorders>
            <w:shd w:val="clear" w:color="000000" w:fill="C4D79B"/>
            <w:noWrap/>
            <w:vAlign w:val="center"/>
            <w:hideMark/>
          </w:tcPr>
          <w:p w:rsidR="00717EFD" w:rsidRPr="00717EFD" w:rsidRDefault="00717EFD" w:rsidP="00717EFD">
            <w:pPr>
              <w:jc w:val="center"/>
              <w:rPr>
                <w:b/>
                <w:bCs/>
                <w:color w:val="000000"/>
              </w:rPr>
            </w:pPr>
            <w:r w:rsidRPr="00717EFD">
              <w:rPr>
                <w:b/>
                <w:bCs/>
                <w:color w:val="000000"/>
              </w:rPr>
              <w:t>Oblast podpory 4.1</w:t>
            </w:r>
          </w:p>
        </w:tc>
      </w:tr>
      <w:tr w:rsidR="00717EFD" w:rsidRPr="00717EFD" w:rsidTr="00C1306C">
        <w:trPr>
          <w:trHeight w:val="1186"/>
        </w:trPr>
        <w:tc>
          <w:tcPr>
            <w:tcW w:w="4652" w:type="dxa"/>
            <w:tcBorders>
              <w:top w:val="nil"/>
              <w:left w:val="double" w:sz="6" w:space="0" w:color="4F6228"/>
              <w:bottom w:val="single" w:sz="8" w:space="0" w:color="4F6228"/>
              <w:right w:val="single" w:sz="8" w:space="0" w:color="4F6228"/>
            </w:tcBorders>
            <w:shd w:val="clear" w:color="000000" w:fill="C4D79B"/>
            <w:noWrap/>
            <w:vAlign w:val="center"/>
            <w:hideMark/>
          </w:tcPr>
          <w:p w:rsidR="00717EFD" w:rsidRPr="00717EFD" w:rsidRDefault="00717EFD" w:rsidP="00717EFD">
            <w:pPr>
              <w:jc w:val="center"/>
              <w:rPr>
                <w:b/>
                <w:bCs/>
                <w:color w:val="000000"/>
                <w:sz w:val="16"/>
                <w:szCs w:val="16"/>
              </w:rPr>
            </w:pPr>
            <w:r w:rsidRPr="00717EFD">
              <w:rPr>
                <w:b/>
                <w:bCs/>
                <w:color w:val="000000"/>
                <w:sz w:val="16"/>
                <w:szCs w:val="16"/>
              </w:rPr>
              <w:t>Stav projektů</w:t>
            </w:r>
          </w:p>
        </w:tc>
        <w:tc>
          <w:tcPr>
            <w:tcW w:w="1089" w:type="dxa"/>
            <w:tcBorders>
              <w:top w:val="nil"/>
              <w:left w:val="nil"/>
              <w:bottom w:val="single" w:sz="8" w:space="0" w:color="4F6228"/>
              <w:right w:val="single" w:sz="8" w:space="0" w:color="4F6228"/>
            </w:tcBorders>
            <w:shd w:val="clear" w:color="000000" w:fill="C4D79B"/>
            <w:vAlign w:val="center"/>
            <w:hideMark/>
          </w:tcPr>
          <w:p w:rsidR="00717EFD" w:rsidRPr="00717EFD" w:rsidRDefault="00717EFD" w:rsidP="00717EFD">
            <w:pPr>
              <w:jc w:val="center"/>
              <w:rPr>
                <w:b/>
                <w:bCs/>
                <w:color w:val="000000"/>
                <w:sz w:val="16"/>
                <w:szCs w:val="16"/>
              </w:rPr>
            </w:pPr>
            <w:r w:rsidRPr="00717EFD">
              <w:rPr>
                <w:b/>
                <w:bCs/>
                <w:color w:val="000000"/>
                <w:sz w:val="16"/>
                <w:szCs w:val="16"/>
              </w:rPr>
              <w:t>Počet projektů vyřazených za oblast podpory</w:t>
            </w:r>
          </w:p>
        </w:tc>
        <w:tc>
          <w:tcPr>
            <w:tcW w:w="1180" w:type="dxa"/>
            <w:tcBorders>
              <w:top w:val="nil"/>
              <w:left w:val="nil"/>
              <w:bottom w:val="single" w:sz="8" w:space="0" w:color="4F6228"/>
              <w:right w:val="single" w:sz="8" w:space="0" w:color="4F6228"/>
            </w:tcBorders>
            <w:shd w:val="clear" w:color="000000" w:fill="C4D79B"/>
            <w:vAlign w:val="center"/>
            <w:hideMark/>
          </w:tcPr>
          <w:p w:rsidR="00717EFD" w:rsidRPr="00717EFD" w:rsidRDefault="00717EFD" w:rsidP="00717EFD">
            <w:pPr>
              <w:jc w:val="center"/>
              <w:rPr>
                <w:b/>
                <w:bCs/>
                <w:color w:val="000000"/>
                <w:sz w:val="16"/>
                <w:szCs w:val="16"/>
              </w:rPr>
            </w:pPr>
            <w:r w:rsidRPr="00717EFD">
              <w:rPr>
                <w:b/>
                <w:bCs/>
                <w:color w:val="000000"/>
                <w:sz w:val="16"/>
                <w:szCs w:val="16"/>
              </w:rPr>
              <w:t>Podíl vyřazených projektů za oblast podpory</w:t>
            </w:r>
          </w:p>
        </w:tc>
        <w:tc>
          <w:tcPr>
            <w:tcW w:w="1089" w:type="dxa"/>
            <w:tcBorders>
              <w:top w:val="nil"/>
              <w:left w:val="nil"/>
              <w:bottom w:val="single" w:sz="8" w:space="0" w:color="4F6228"/>
              <w:right w:val="single" w:sz="8" w:space="0" w:color="4F6228"/>
            </w:tcBorders>
            <w:shd w:val="clear" w:color="000000" w:fill="C4D79B"/>
            <w:vAlign w:val="center"/>
            <w:hideMark/>
          </w:tcPr>
          <w:p w:rsidR="00717EFD" w:rsidRPr="00717EFD" w:rsidRDefault="00717EFD" w:rsidP="00717EFD">
            <w:pPr>
              <w:jc w:val="center"/>
              <w:rPr>
                <w:b/>
                <w:bCs/>
                <w:color w:val="000000"/>
                <w:sz w:val="16"/>
                <w:szCs w:val="16"/>
              </w:rPr>
            </w:pPr>
            <w:r w:rsidRPr="00717EFD">
              <w:rPr>
                <w:b/>
                <w:bCs/>
                <w:color w:val="000000"/>
                <w:sz w:val="16"/>
                <w:szCs w:val="16"/>
              </w:rPr>
              <w:t>Srovnávací hodnota podílu vyřazených projektů za celý program</w:t>
            </w:r>
          </w:p>
        </w:tc>
        <w:tc>
          <w:tcPr>
            <w:tcW w:w="1089" w:type="dxa"/>
            <w:tcBorders>
              <w:top w:val="nil"/>
              <w:left w:val="nil"/>
              <w:bottom w:val="single" w:sz="8" w:space="0" w:color="4F6228"/>
              <w:right w:val="double" w:sz="6" w:space="0" w:color="4F6228"/>
            </w:tcBorders>
            <w:shd w:val="clear" w:color="000000" w:fill="C4D79B"/>
            <w:vAlign w:val="center"/>
            <w:hideMark/>
          </w:tcPr>
          <w:p w:rsidR="00717EFD" w:rsidRPr="00717EFD" w:rsidRDefault="00717EFD" w:rsidP="00717EFD">
            <w:pPr>
              <w:jc w:val="center"/>
              <w:rPr>
                <w:b/>
                <w:bCs/>
                <w:color w:val="000000"/>
                <w:sz w:val="16"/>
                <w:szCs w:val="16"/>
              </w:rPr>
            </w:pPr>
            <w:r w:rsidRPr="00717EFD">
              <w:rPr>
                <w:b/>
                <w:bCs/>
                <w:color w:val="000000"/>
                <w:sz w:val="16"/>
                <w:szCs w:val="16"/>
              </w:rPr>
              <w:t>Počet vyřazených projektů za rok 2014</w:t>
            </w:r>
          </w:p>
        </w:tc>
      </w:tr>
      <w:tr w:rsidR="00717EFD" w:rsidRPr="00717EFD" w:rsidTr="00717EFD">
        <w:trPr>
          <w:trHeight w:val="46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N1.1 Projektová žádost nesplnila alespoň jedno kritérium přijatelnosti</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32</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14,55%</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1,59%</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8</w:t>
            </w:r>
          </w:p>
        </w:tc>
      </w:tr>
      <w:tr w:rsidR="00717EFD" w:rsidRPr="00717EFD"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N1.2 Projektová žádost nesplnila formální náležitosti</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0,75%</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 </w:t>
            </w:r>
          </w:p>
        </w:tc>
      </w:tr>
      <w:tr w:rsidR="00717EFD" w:rsidRPr="00717EFD" w:rsidTr="00C1306C">
        <w:trPr>
          <w:trHeight w:val="294"/>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N2.3 Projekt nedoporučen k financování výběrovou komisí</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0,41%</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 </w:t>
            </w:r>
          </w:p>
        </w:tc>
      </w:tr>
      <w:tr w:rsidR="00717EFD" w:rsidRPr="00717EFD"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N2.1 Projekt nesplnil podmínky hodnocení</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70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31,82%</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3,07%</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8</w:t>
            </w:r>
          </w:p>
        </w:tc>
      </w:tr>
      <w:tr w:rsidR="00717EFD" w:rsidRPr="00717EFD" w:rsidTr="00717EFD">
        <w:trPr>
          <w:trHeight w:val="46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N2.2 Odeslán dopis o vyřazení projektové žádosti na základě ex-ante kontroly</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0,30%</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 </w:t>
            </w:r>
          </w:p>
        </w:tc>
      </w:tr>
      <w:tr w:rsidR="00717EFD" w:rsidRPr="00717EFD" w:rsidTr="005E3331">
        <w:trPr>
          <w:trHeight w:val="33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N2.3 Projekt nedoporučen k financování výběrovou komisí</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0,47%</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 </w:t>
            </w:r>
          </w:p>
        </w:tc>
      </w:tr>
      <w:tr w:rsidR="00717EFD" w:rsidRPr="00717EFD" w:rsidTr="00717EFD">
        <w:trPr>
          <w:trHeight w:val="46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N4.1 Vydání rozhodnutí o poskytnutí dotace/stanovení výdajů zamítnuto</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0,03%</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 </w:t>
            </w:r>
          </w:p>
        </w:tc>
      </w:tr>
      <w:tr w:rsidR="00717EFD" w:rsidRPr="00717EFD"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N5 Projektová žádost stažena žadatelem</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8</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3,64%</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3,43%</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 </w:t>
            </w:r>
          </w:p>
        </w:tc>
      </w:tr>
      <w:tr w:rsidR="00717EFD" w:rsidRPr="00717EFD"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N7 Projekt nedokončen/stažen</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16</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7,27%</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1,92%</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 </w:t>
            </w:r>
          </w:p>
        </w:tc>
      </w:tr>
      <w:tr w:rsidR="00717EFD" w:rsidRPr="00717EFD"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717EFD" w:rsidRDefault="00717EFD" w:rsidP="00717EFD">
            <w:pPr>
              <w:rPr>
                <w:i/>
                <w:iCs/>
                <w:color w:val="000000"/>
                <w:sz w:val="16"/>
                <w:szCs w:val="16"/>
              </w:rPr>
            </w:pPr>
            <w:r w:rsidRPr="00717EFD">
              <w:rPr>
                <w:i/>
                <w:iCs/>
                <w:color w:val="000000"/>
                <w:sz w:val="16"/>
                <w:szCs w:val="16"/>
              </w:rPr>
              <w:t>N8 Smlouva ukončena ze strany ŘO/ZS</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717EFD" w:rsidRDefault="00717EFD" w:rsidP="00717EFD">
            <w:pPr>
              <w:jc w:val="center"/>
              <w:rPr>
                <w:color w:val="000000"/>
              </w:rPr>
            </w:pPr>
            <w:r w:rsidRPr="00717EFD">
              <w:rPr>
                <w:color w:val="000000"/>
              </w:rPr>
              <w:t>0,07%</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717EFD" w:rsidRDefault="00717EFD" w:rsidP="00717EFD">
            <w:pPr>
              <w:jc w:val="center"/>
              <w:rPr>
                <w:color w:val="000000"/>
              </w:rPr>
            </w:pPr>
          </w:p>
        </w:tc>
      </w:tr>
      <w:tr w:rsidR="00717EFD" w:rsidRPr="00717EFD" w:rsidTr="00C1306C">
        <w:trPr>
          <w:trHeight w:val="273"/>
        </w:trPr>
        <w:tc>
          <w:tcPr>
            <w:tcW w:w="4652" w:type="dxa"/>
            <w:tcBorders>
              <w:top w:val="nil"/>
              <w:left w:val="double" w:sz="6" w:space="0" w:color="4F6228"/>
              <w:bottom w:val="double" w:sz="6" w:space="0" w:color="4F6228"/>
              <w:right w:val="single" w:sz="8" w:space="0" w:color="4F6228"/>
            </w:tcBorders>
            <w:shd w:val="clear" w:color="000000" w:fill="C4D79B"/>
            <w:vAlign w:val="center"/>
            <w:hideMark/>
          </w:tcPr>
          <w:p w:rsidR="00717EFD" w:rsidRPr="00717EFD" w:rsidRDefault="00717EFD" w:rsidP="00717EFD">
            <w:pPr>
              <w:rPr>
                <w:b/>
                <w:bCs/>
                <w:i/>
                <w:iCs/>
                <w:color w:val="000000"/>
              </w:rPr>
            </w:pPr>
            <w:r w:rsidRPr="00717EFD">
              <w:rPr>
                <w:b/>
                <w:bCs/>
                <w:i/>
                <w:iCs/>
                <w:color w:val="000000"/>
              </w:rPr>
              <w:t>Celkem</w:t>
            </w:r>
          </w:p>
        </w:tc>
        <w:tc>
          <w:tcPr>
            <w:tcW w:w="1089" w:type="dxa"/>
            <w:tcBorders>
              <w:top w:val="nil"/>
              <w:left w:val="nil"/>
              <w:bottom w:val="double" w:sz="6" w:space="0" w:color="4F6228"/>
              <w:right w:val="single" w:sz="8" w:space="0" w:color="4F6228"/>
            </w:tcBorders>
            <w:shd w:val="clear" w:color="000000" w:fill="C4D79B"/>
            <w:noWrap/>
            <w:vAlign w:val="center"/>
            <w:hideMark/>
          </w:tcPr>
          <w:p w:rsidR="00717EFD" w:rsidRPr="00717EFD" w:rsidRDefault="00717EFD" w:rsidP="00717EFD">
            <w:pPr>
              <w:jc w:val="center"/>
              <w:rPr>
                <w:b/>
                <w:bCs/>
                <w:color w:val="000000"/>
              </w:rPr>
            </w:pPr>
            <w:r w:rsidRPr="00717EFD">
              <w:rPr>
                <w:b/>
                <w:bCs/>
                <w:color w:val="000000"/>
              </w:rPr>
              <w:t>126</w:t>
            </w:r>
          </w:p>
        </w:tc>
        <w:tc>
          <w:tcPr>
            <w:tcW w:w="1180" w:type="dxa"/>
            <w:tcBorders>
              <w:top w:val="nil"/>
              <w:left w:val="nil"/>
              <w:bottom w:val="double" w:sz="6" w:space="0" w:color="4F6228"/>
              <w:right w:val="single" w:sz="8" w:space="0" w:color="4F6228"/>
            </w:tcBorders>
            <w:shd w:val="clear" w:color="000000" w:fill="C4D79B"/>
            <w:noWrap/>
            <w:vAlign w:val="center"/>
            <w:hideMark/>
          </w:tcPr>
          <w:p w:rsidR="00717EFD" w:rsidRPr="00717EFD" w:rsidRDefault="00717EFD" w:rsidP="00717EFD">
            <w:pPr>
              <w:jc w:val="center"/>
              <w:rPr>
                <w:b/>
                <w:bCs/>
                <w:color w:val="000000"/>
              </w:rPr>
            </w:pPr>
            <w:r w:rsidRPr="00717EFD">
              <w:rPr>
                <w:b/>
                <w:bCs/>
                <w:color w:val="000000"/>
              </w:rPr>
              <w:t>57,27%</w:t>
            </w:r>
          </w:p>
        </w:tc>
        <w:tc>
          <w:tcPr>
            <w:tcW w:w="1089" w:type="dxa"/>
            <w:tcBorders>
              <w:top w:val="nil"/>
              <w:left w:val="nil"/>
              <w:bottom w:val="double" w:sz="6" w:space="0" w:color="4F6228"/>
              <w:right w:val="single" w:sz="8" w:space="0" w:color="4F6228"/>
            </w:tcBorders>
            <w:shd w:val="clear" w:color="000000" w:fill="C4D79B"/>
            <w:noWrap/>
            <w:vAlign w:val="center"/>
            <w:hideMark/>
          </w:tcPr>
          <w:p w:rsidR="00717EFD" w:rsidRPr="00717EFD" w:rsidRDefault="00717EFD" w:rsidP="00717EFD">
            <w:pPr>
              <w:jc w:val="center"/>
              <w:rPr>
                <w:b/>
                <w:bCs/>
                <w:color w:val="000000"/>
              </w:rPr>
            </w:pPr>
            <w:r w:rsidRPr="00717EFD">
              <w:rPr>
                <w:b/>
                <w:bCs/>
                <w:color w:val="000000"/>
              </w:rPr>
              <w:t>12,05%</w:t>
            </w:r>
          </w:p>
        </w:tc>
        <w:tc>
          <w:tcPr>
            <w:tcW w:w="1089" w:type="dxa"/>
            <w:tcBorders>
              <w:top w:val="nil"/>
              <w:left w:val="nil"/>
              <w:bottom w:val="double" w:sz="6" w:space="0" w:color="4F6228"/>
              <w:right w:val="double" w:sz="6" w:space="0" w:color="4F6228"/>
            </w:tcBorders>
            <w:shd w:val="clear" w:color="000000" w:fill="C4D79B"/>
            <w:noWrap/>
            <w:vAlign w:val="center"/>
            <w:hideMark/>
          </w:tcPr>
          <w:p w:rsidR="00717EFD" w:rsidRPr="00717EFD" w:rsidRDefault="00653BA6" w:rsidP="00717EFD">
            <w:pPr>
              <w:jc w:val="center"/>
              <w:rPr>
                <w:b/>
                <w:bCs/>
                <w:color w:val="000000"/>
              </w:rPr>
            </w:pPr>
            <w:r>
              <w:rPr>
                <w:b/>
                <w:bCs/>
                <w:color w:val="000000"/>
              </w:rPr>
              <w:t>16</w:t>
            </w:r>
          </w:p>
        </w:tc>
      </w:tr>
    </w:tbl>
    <w:p w:rsidR="008F360F" w:rsidRDefault="000B4531" w:rsidP="008F360F">
      <w:pPr>
        <w:spacing w:before="60" w:after="120"/>
        <w:jc w:val="both"/>
        <w:rPr>
          <w:i/>
          <w:sz w:val="18"/>
          <w:szCs w:val="18"/>
        </w:rPr>
      </w:pPr>
      <w:r w:rsidRPr="00890D9A">
        <w:rPr>
          <w:i/>
          <w:sz w:val="18"/>
          <w:szCs w:val="18"/>
        </w:rPr>
        <w:t xml:space="preserve"> </w:t>
      </w:r>
      <w:r w:rsidRPr="00647759">
        <w:rPr>
          <w:i/>
          <w:sz w:val="18"/>
          <w:szCs w:val="18"/>
        </w:rPr>
        <w:t xml:space="preserve">Zdroj: </w:t>
      </w:r>
      <w:r w:rsidRPr="00647759">
        <w:rPr>
          <w:bCs/>
          <w:i/>
          <w:sz w:val="18"/>
          <w:szCs w:val="18"/>
        </w:rPr>
        <w:t>IS Monit7+ k </w:t>
      </w:r>
      <w:r w:rsidR="00270B3C" w:rsidRPr="00647759">
        <w:rPr>
          <w:bCs/>
          <w:i/>
          <w:sz w:val="18"/>
          <w:szCs w:val="18"/>
        </w:rPr>
        <w:t xml:space="preserve"> </w:t>
      </w:r>
      <w:r w:rsidR="0036460E" w:rsidRPr="00647759">
        <w:rPr>
          <w:bCs/>
          <w:i/>
          <w:sz w:val="18"/>
          <w:szCs w:val="18"/>
        </w:rPr>
        <w:t>2</w:t>
      </w:r>
      <w:r w:rsidR="0036460E">
        <w:rPr>
          <w:bCs/>
          <w:i/>
          <w:sz w:val="18"/>
          <w:szCs w:val="18"/>
        </w:rPr>
        <w:t>. 1. 2015</w:t>
      </w:r>
    </w:p>
    <w:p w:rsidR="00A75862" w:rsidRPr="008F360F" w:rsidRDefault="00A75862" w:rsidP="008F360F">
      <w:pPr>
        <w:spacing w:before="60" w:after="120"/>
        <w:jc w:val="both"/>
        <w:rPr>
          <w:i/>
          <w:sz w:val="18"/>
          <w:szCs w:val="18"/>
        </w:rPr>
      </w:pPr>
      <w:r w:rsidRPr="00BD1C23">
        <w:rPr>
          <w:b/>
          <w:sz w:val="22"/>
          <w:szCs w:val="22"/>
        </w:rPr>
        <w:lastRenderedPageBreak/>
        <w:t>Naplňování horizontálních témat</w:t>
      </w:r>
    </w:p>
    <w:p w:rsidR="00A75862" w:rsidRDefault="00A75862" w:rsidP="00F4148F">
      <w:pPr>
        <w:jc w:val="both"/>
        <w:rPr>
          <w:sz w:val="22"/>
          <w:szCs w:val="22"/>
          <w:u w:val="single"/>
        </w:rPr>
      </w:pPr>
      <w:r w:rsidRPr="002422B3">
        <w:rPr>
          <w:sz w:val="22"/>
          <w:szCs w:val="22"/>
          <w:u w:val="single"/>
        </w:rPr>
        <w:t>Rovné příležitosti</w:t>
      </w:r>
    </w:p>
    <w:p w:rsidR="00FD79A4" w:rsidRDefault="00A75862" w:rsidP="004A2145">
      <w:pPr>
        <w:spacing w:after="120"/>
        <w:jc w:val="both"/>
        <w:rPr>
          <w:sz w:val="22"/>
          <w:szCs w:val="22"/>
        </w:rPr>
      </w:pPr>
      <w:r w:rsidRPr="0036598D">
        <w:rPr>
          <w:sz w:val="22"/>
          <w:szCs w:val="22"/>
        </w:rPr>
        <w:t>Do konce roku 201</w:t>
      </w:r>
      <w:r w:rsidR="00C8469B" w:rsidRPr="0036598D">
        <w:rPr>
          <w:sz w:val="22"/>
          <w:szCs w:val="22"/>
        </w:rPr>
        <w:t>4</w:t>
      </w:r>
      <w:r w:rsidRPr="0036598D">
        <w:rPr>
          <w:sz w:val="22"/>
          <w:szCs w:val="22"/>
        </w:rPr>
        <w:t xml:space="preserve"> bylo v prioritních osách 4a a 4b schváleno</w:t>
      </w:r>
      <w:r w:rsidR="00FD79A4" w:rsidRPr="0036598D">
        <w:rPr>
          <w:sz w:val="22"/>
          <w:szCs w:val="22"/>
        </w:rPr>
        <w:t xml:space="preserve"> 44 projektů s pozitivním vlivem na rovné příležitosti, 32 projektů, které mají neutrální vliv na nové </w:t>
      </w:r>
      <w:r w:rsidR="00424875" w:rsidRPr="0036598D">
        <w:rPr>
          <w:sz w:val="22"/>
          <w:szCs w:val="22"/>
        </w:rPr>
        <w:t>příležitosti a 2 projekty</w:t>
      </w:r>
      <w:r w:rsidR="00FD79A4" w:rsidRPr="0036598D">
        <w:rPr>
          <w:sz w:val="22"/>
          <w:szCs w:val="22"/>
        </w:rPr>
        <w:t xml:space="preserve">, které jsou </w:t>
      </w:r>
      <w:r w:rsidRPr="0036598D">
        <w:rPr>
          <w:sz w:val="22"/>
          <w:szCs w:val="22"/>
        </w:rPr>
        <w:t>cíleně zaměřen</w:t>
      </w:r>
      <w:r w:rsidR="00FD79A4" w:rsidRPr="0036598D">
        <w:rPr>
          <w:sz w:val="22"/>
          <w:szCs w:val="22"/>
        </w:rPr>
        <w:t xml:space="preserve">y na rovné příležitosti. </w:t>
      </w:r>
      <w:r w:rsidRPr="0036598D">
        <w:rPr>
          <w:sz w:val="22"/>
          <w:szCs w:val="22"/>
        </w:rPr>
        <w:t xml:space="preserve"> </w:t>
      </w:r>
    </w:p>
    <w:p w:rsidR="00A75862" w:rsidRPr="00550214" w:rsidRDefault="00A75862" w:rsidP="0036460E">
      <w:pPr>
        <w:pStyle w:val="Tabulkanzev"/>
      </w:pPr>
      <w:bookmarkStart w:id="210" w:name="_Toc416431852"/>
      <w:r w:rsidRPr="009026D3">
        <w:t>Rovné příležitosti</w:t>
      </w:r>
      <w:r w:rsidR="00BD1FFF">
        <w:t xml:space="preserve"> v prioritní ose 4</w:t>
      </w:r>
      <w:bookmarkEnd w:id="210"/>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4A2145" w:rsidTr="00983D85">
        <w:trPr>
          <w:trHeight w:val="270"/>
        </w:trPr>
        <w:tc>
          <w:tcPr>
            <w:tcW w:w="5260" w:type="dxa"/>
            <w:shd w:val="clear" w:color="auto" w:fill="C2D69B" w:themeFill="accent3" w:themeFillTint="99"/>
            <w:vAlign w:val="center"/>
          </w:tcPr>
          <w:p w:rsidR="00A75862" w:rsidRPr="004D1732" w:rsidRDefault="00A75862" w:rsidP="004A2145">
            <w:pPr>
              <w:jc w:val="center"/>
              <w:rPr>
                <w:b/>
                <w:bCs/>
                <w:sz w:val="18"/>
                <w:szCs w:val="18"/>
              </w:rPr>
            </w:pPr>
            <w:r w:rsidRPr="004D1732">
              <w:rPr>
                <w:b/>
                <w:bCs/>
                <w:sz w:val="18"/>
                <w:szCs w:val="18"/>
              </w:rPr>
              <w:t>Sledování horizontálních témat</w:t>
            </w:r>
          </w:p>
        </w:tc>
        <w:tc>
          <w:tcPr>
            <w:tcW w:w="1920" w:type="dxa"/>
            <w:shd w:val="clear" w:color="auto" w:fill="C2D69B" w:themeFill="accent3" w:themeFillTint="99"/>
            <w:vAlign w:val="center"/>
          </w:tcPr>
          <w:p w:rsidR="00A75862" w:rsidRPr="004D1732" w:rsidRDefault="00A75862" w:rsidP="004A2145">
            <w:pPr>
              <w:jc w:val="center"/>
              <w:rPr>
                <w:b/>
                <w:bCs/>
                <w:sz w:val="18"/>
                <w:szCs w:val="18"/>
              </w:rPr>
            </w:pPr>
            <w:r w:rsidRPr="004D1732">
              <w:rPr>
                <w:b/>
                <w:bCs/>
                <w:sz w:val="18"/>
                <w:szCs w:val="18"/>
              </w:rPr>
              <w:t>Měrná jednotka</w:t>
            </w:r>
          </w:p>
        </w:tc>
        <w:tc>
          <w:tcPr>
            <w:tcW w:w="1860" w:type="dxa"/>
            <w:shd w:val="clear" w:color="auto" w:fill="C2D69B" w:themeFill="accent3" w:themeFillTint="99"/>
            <w:vAlign w:val="center"/>
          </w:tcPr>
          <w:p w:rsidR="00A75862" w:rsidRPr="004D1732" w:rsidRDefault="00A75862" w:rsidP="004A2145">
            <w:pPr>
              <w:jc w:val="center"/>
              <w:rPr>
                <w:b/>
                <w:bCs/>
                <w:sz w:val="18"/>
                <w:szCs w:val="18"/>
              </w:rPr>
            </w:pPr>
            <w:r w:rsidRPr="004D1732">
              <w:rPr>
                <w:b/>
                <w:bCs/>
                <w:sz w:val="18"/>
                <w:szCs w:val="18"/>
              </w:rPr>
              <w:t>Počet projektů</w:t>
            </w:r>
          </w:p>
        </w:tc>
      </w:tr>
      <w:tr w:rsidR="00F35D0E" w:rsidRPr="004A2145" w:rsidTr="002E768C">
        <w:trPr>
          <w:trHeight w:val="255"/>
        </w:trPr>
        <w:tc>
          <w:tcPr>
            <w:tcW w:w="5260" w:type="dxa"/>
            <w:noWrap/>
            <w:vAlign w:val="center"/>
          </w:tcPr>
          <w:p w:rsidR="00F35D0E" w:rsidRPr="004D1732" w:rsidRDefault="00F35D0E" w:rsidP="00357404">
            <w:pPr>
              <w:rPr>
                <w:sz w:val="18"/>
                <w:szCs w:val="18"/>
              </w:rPr>
            </w:pPr>
            <w:r w:rsidRPr="004D1732">
              <w:rPr>
                <w:sz w:val="18"/>
                <w:szCs w:val="18"/>
              </w:rPr>
              <w:t xml:space="preserve">Počet projektů </w:t>
            </w:r>
            <w:r w:rsidRPr="004D1732">
              <w:rPr>
                <w:b/>
                <w:sz w:val="18"/>
                <w:szCs w:val="18"/>
              </w:rPr>
              <w:t>cíleně zaměřených na rovné příležitosti</w:t>
            </w:r>
          </w:p>
        </w:tc>
        <w:tc>
          <w:tcPr>
            <w:tcW w:w="1920" w:type="dxa"/>
            <w:noWrap/>
            <w:vAlign w:val="center"/>
          </w:tcPr>
          <w:p w:rsidR="00F35D0E" w:rsidRPr="004D1732" w:rsidRDefault="00F35D0E" w:rsidP="00357404">
            <w:pPr>
              <w:jc w:val="center"/>
              <w:rPr>
                <w:sz w:val="18"/>
                <w:szCs w:val="18"/>
              </w:rPr>
            </w:pPr>
            <w:r w:rsidRPr="004D1732">
              <w:rPr>
                <w:sz w:val="18"/>
                <w:szCs w:val="18"/>
              </w:rPr>
              <w:t>Počet projektů</w:t>
            </w:r>
          </w:p>
        </w:tc>
        <w:tc>
          <w:tcPr>
            <w:tcW w:w="1860" w:type="dxa"/>
            <w:noWrap/>
            <w:vAlign w:val="center"/>
          </w:tcPr>
          <w:p w:rsidR="00F35D0E" w:rsidRPr="004D1732" w:rsidRDefault="00F35D0E" w:rsidP="00357404">
            <w:pPr>
              <w:jc w:val="center"/>
              <w:rPr>
                <w:sz w:val="18"/>
                <w:szCs w:val="18"/>
              </w:rPr>
            </w:pPr>
            <w:r w:rsidRPr="004D1732">
              <w:rPr>
                <w:sz w:val="18"/>
                <w:szCs w:val="18"/>
              </w:rPr>
              <w:t>2</w:t>
            </w:r>
          </w:p>
        </w:tc>
      </w:tr>
      <w:tr w:rsidR="00F35D0E" w:rsidRPr="004A2145" w:rsidTr="002E768C">
        <w:trPr>
          <w:trHeight w:val="255"/>
        </w:trPr>
        <w:tc>
          <w:tcPr>
            <w:tcW w:w="5260" w:type="dxa"/>
            <w:noWrap/>
            <w:vAlign w:val="center"/>
          </w:tcPr>
          <w:p w:rsidR="00F35D0E" w:rsidRPr="004D1732" w:rsidRDefault="00F35D0E" w:rsidP="00357404">
            <w:pPr>
              <w:rPr>
                <w:sz w:val="18"/>
                <w:szCs w:val="18"/>
              </w:rPr>
            </w:pPr>
            <w:r w:rsidRPr="004D1732">
              <w:rPr>
                <w:sz w:val="18"/>
                <w:szCs w:val="18"/>
              </w:rPr>
              <w:t>Počet projektů</w:t>
            </w:r>
            <w:r w:rsidRPr="004D1732">
              <w:rPr>
                <w:b/>
                <w:sz w:val="18"/>
                <w:szCs w:val="18"/>
              </w:rPr>
              <w:t xml:space="preserve"> s pozitivním vlivem na rovné příležitosti</w:t>
            </w:r>
          </w:p>
        </w:tc>
        <w:tc>
          <w:tcPr>
            <w:tcW w:w="1920" w:type="dxa"/>
            <w:noWrap/>
            <w:vAlign w:val="center"/>
          </w:tcPr>
          <w:p w:rsidR="00F35D0E" w:rsidRPr="004D1732" w:rsidRDefault="00F35D0E" w:rsidP="00357404">
            <w:pPr>
              <w:jc w:val="center"/>
              <w:rPr>
                <w:sz w:val="18"/>
                <w:szCs w:val="18"/>
              </w:rPr>
            </w:pPr>
            <w:r w:rsidRPr="004D1732">
              <w:rPr>
                <w:sz w:val="18"/>
                <w:szCs w:val="18"/>
              </w:rPr>
              <w:t>Počet projektů</w:t>
            </w:r>
          </w:p>
        </w:tc>
        <w:tc>
          <w:tcPr>
            <w:tcW w:w="1860" w:type="dxa"/>
            <w:noWrap/>
            <w:vAlign w:val="center"/>
          </w:tcPr>
          <w:p w:rsidR="00F35D0E" w:rsidRPr="004D1732" w:rsidRDefault="004D1732" w:rsidP="00357404">
            <w:pPr>
              <w:jc w:val="center"/>
              <w:rPr>
                <w:sz w:val="18"/>
                <w:szCs w:val="18"/>
              </w:rPr>
            </w:pPr>
            <w:r w:rsidRPr="004D1732">
              <w:rPr>
                <w:sz w:val="18"/>
                <w:szCs w:val="18"/>
              </w:rPr>
              <w:t>44</w:t>
            </w:r>
          </w:p>
        </w:tc>
      </w:tr>
      <w:tr w:rsidR="00F35D0E" w:rsidRPr="004A2145" w:rsidTr="002E768C">
        <w:trPr>
          <w:trHeight w:val="270"/>
        </w:trPr>
        <w:tc>
          <w:tcPr>
            <w:tcW w:w="5260" w:type="dxa"/>
            <w:noWrap/>
            <w:vAlign w:val="center"/>
          </w:tcPr>
          <w:p w:rsidR="00F35D0E" w:rsidRPr="004D1732" w:rsidRDefault="00F35D0E" w:rsidP="00357404">
            <w:pPr>
              <w:rPr>
                <w:sz w:val="18"/>
                <w:szCs w:val="18"/>
              </w:rPr>
            </w:pPr>
            <w:r w:rsidRPr="004D1732">
              <w:rPr>
                <w:sz w:val="18"/>
                <w:szCs w:val="18"/>
              </w:rPr>
              <w:t xml:space="preserve">Počet projektů </w:t>
            </w:r>
            <w:r w:rsidRPr="004D1732">
              <w:rPr>
                <w:b/>
                <w:sz w:val="18"/>
                <w:szCs w:val="18"/>
              </w:rPr>
              <w:t>s neutrálním vlivem na rovné příležitosti</w:t>
            </w:r>
          </w:p>
        </w:tc>
        <w:tc>
          <w:tcPr>
            <w:tcW w:w="1920" w:type="dxa"/>
            <w:noWrap/>
            <w:vAlign w:val="center"/>
          </w:tcPr>
          <w:p w:rsidR="00F35D0E" w:rsidRPr="004D1732" w:rsidRDefault="00F35D0E" w:rsidP="00357404">
            <w:pPr>
              <w:jc w:val="center"/>
              <w:rPr>
                <w:sz w:val="18"/>
                <w:szCs w:val="18"/>
              </w:rPr>
            </w:pPr>
            <w:r w:rsidRPr="004D1732">
              <w:rPr>
                <w:sz w:val="18"/>
                <w:szCs w:val="18"/>
              </w:rPr>
              <w:t>Počet projektů</w:t>
            </w:r>
          </w:p>
        </w:tc>
        <w:tc>
          <w:tcPr>
            <w:tcW w:w="1860" w:type="dxa"/>
            <w:noWrap/>
            <w:vAlign w:val="center"/>
          </w:tcPr>
          <w:p w:rsidR="00F35D0E" w:rsidRPr="004D1732" w:rsidRDefault="00F35D0E" w:rsidP="00357404">
            <w:pPr>
              <w:jc w:val="center"/>
              <w:rPr>
                <w:sz w:val="18"/>
                <w:szCs w:val="18"/>
              </w:rPr>
            </w:pPr>
            <w:r w:rsidRPr="004D1732">
              <w:rPr>
                <w:sz w:val="18"/>
                <w:szCs w:val="18"/>
              </w:rPr>
              <w:t>32</w:t>
            </w:r>
          </w:p>
        </w:tc>
      </w:tr>
    </w:tbl>
    <w:p w:rsidR="00A75862" w:rsidRPr="003E48CD" w:rsidRDefault="00A75862" w:rsidP="003E48CD">
      <w:pPr>
        <w:spacing w:after="120"/>
        <w:jc w:val="both"/>
        <w:rPr>
          <w:i/>
          <w:sz w:val="18"/>
          <w:szCs w:val="18"/>
        </w:rPr>
      </w:pPr>
      <w:r w:rsidRPr="00C02CF8">
        <w:rPr>
          <w:i/>
          <w:sz w:val="18"/>
          <w:szCs w:val="18"/>
        </w:rPr>
        <w:t>Zdroj:</w:t>
      </w:r>
      <w:r w:rsidR="003E48CD">
        <w:rPr>
          <w:i/>
          <w:sz w:val="18"/>
          <w:szCs w:val="18"/>
        </w:rPr>
        <w:t xml:space="preserve"> </w:t>
      </w:r>
      <w:r w:rsidRPr="00C02CF8">
        <w:rPr>
          <w:i/>
          <w:sz w:val="18"/>
          <w:szCs w:val="18"/>
        </w:rPr>
        <w:t>IS Monit7+ k </w:t>
      </w:r>
      <w:r w:rsidR="0036460E">
        <w:rPr>
          <w:i/>
          <w:sz w:val="18"/>
          <w:szCs w:val="18"/>
        </w:rPr>
        <w:t>2</w:t>
      </w:r>
      <w:r w:rsidR="0036460E" w:rsidRPr="00C02CF8">
        <w:rPr>
          <w:i/>
          <w:sz w:val="18"/>
          <w:szCs w:val="18"/>
        </w:rPr>
        <w:t>. 1. 2015</w:t>
      </w:r>
    </w:p>
    <w:p w:rsidR="003333E6" w:rsidRDefault="003333E6" w:rsidP="004A2145">
      <w:pPr>
        <w:rPr>
          <w:sz w:val="22"/>
          <w:szCs w:val="22"/>
          <w:u w:val="single"/>
        </w:rPr>
      </w:pPr>
    </w:p>
    <w:p w:rsidR="00A75862" w:rsidRDefault="00A75862" w:rsidP="004A2145">
      <w:pPr>
        <w:rPr>
          <w:sz w:val="22"/>
          <w:szCs w:val="22"/>
          <w:u w:val="single"/>
        </w:rPr>
      </w:pPr>
      <w:r w:rsidRPr="002422B3">
        <w:rPr>
          <w:sz w:val="22"/>
          <w:szCs w:val="22"/>
          <w:u w:val="single"/>
        </w:rPr>
        <w:t>Udržitelný rozvoj</w:t>
      </w:r>
    </w:p>
    <w:p w:rsidR="00A75862" w:rsidRDefault="00A75862" w:rsidP="004A2145">
      <w:pPr>
        <w:spacing w:after="120"/>
        <w:jc w:val="both"/>
        <w:rPr>
          <w:sz w:val="22"/>
          <w:szCs w:val="22"/>
        </w:rPr>
      </w:pPr>
      <w:r w:rsidRPr="00190ED3">
        <w:rPr>
          <w:sz w:val="22"/>
          <w:szCs w:val="22"/>
        </w:rPr>
        <w:t>Nejvíce projektů schválených v prioritních osách 4a a 4b je ekologicky neutrálních (</w:t>
      </w:r>
      <w:r w:rsidR="00190ED3" w:rsidRPr="00190ED3">
        <w:rPr>
          <w:sz w:val="22"/>
          <w:szCs w:val="22"/>
        </w:rPr>
        <w:t>60</w:t>
      </w:r>
      <w:r w:rsidRPr="00190ED3">
        <w:rPr>
          <w:sz w:val="22"/>
          <w:szCs w:val="22"/>
        </w:rPr>
        <w:t xml:space="preserve">), </w:t>
      </w:r>
      <w:r w:rsidR="006440C5" w:rsidRPr="00190ED3">
        <w:rPr>
          <w:sz w:val="22"/>
          <w:szCs w:val="22"/>
        </w:rPr>
        <w:t xml:space="preserve">16 </w:t>
      </w:r>
      <w:r w:rsidRPr="00190ED3">
        <w:rPr>
          <w:sz w:val="22"/>
          <w:szCs w:val="22"/>
        </w:rPr>
        <w:t xml:space="preserve">projektů by mělo mít pozitivní dopad na životní prostředí a </w:t>
      </w:r>
      <w:r w:rsidR="006440C5" w:rsidRPr="00190ED3">
        <w:rPr>
          <w:sz w:val="22"/>
          <w:szCs w:val="22"/>
        </w:rPr>
        <w:t>12</w:t>
      </w:r>
      <w:r w:rsidRPr="00190ED3">
        <w:rPr>
          <w:sz w:val="22"/>
          <w:szCs w:val="22"/>
        </w:rPr>
        <w:t xml:space="preserve"> zlepšit informovanost obyvatel o ochraně životního prostředí.</w:t>
      </w:r>
      <w:r>
        <w:rPr>
          <w:sz w:val="22"/>
          <w:szCs w:val="22"/>
        </w:rPr>
        <w:t xml:space="preserve"> </w:t>
      </w:r>
    </w:p>
    <w:p w:rsidR="00A75862" w:rsidRDefault="00A75862" w:rsidP="0036460E">
      <w:pPr>
        <w:pStyle w:val="Tabulkanzev"/>
      </w:pPr>
      <w:bookmarkStart w:id="211" w:name="_Toc416431853"/>
      <w:r w:rsidRPr="00D3474F">
        <w:t>Udržitelný rozvoj</w:t>
      </w:r>
      <w:r w:rsidR="00BD1FFF">
        <w:t xml:space="preserve"> v prioritní ose 4</w:t>
      </w:r>
      <w:bookmarkEnd w:id="211"/>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4A2145" w:rsidTr="003E48CD">
        <w:trPr>
          <w:trHeight w:val="270"/>
        </w:trPr>
        <w:tc>
          <w:tcPr>
            <w:tcW w:w="5260" w:type="dxa"/>
            <w:shd w:val="clear" w:color="auto" w:fill="C2D69B" w:themeFill="accent3" w:themeFillTint="99"/>
            <w:vAlign w:val="center"/>
          </w:tcPr>
          <w:p w:rsidR="00A75862" w:rsidRPr="003E48CD" w:rsidRDefault="00A75862" w:rsidP="004A2145">
            <w:pPr>
              <w:jc w:val="center"/>
              <w:rPr>
                <w:b/>
                <w:bCs/>
                <w:sz w:val="18"/>
                <w:szCs w:val="18"/>
              </w:rPr>
            </w:pPr>
            <w:r w:rsidRPr="003E48CD">
              <w:rPr>
                <w:b/>
                <w:bCs/>
                <w:sz w:val="18"/>
                <w:szCs w:val="18"/>
              </w:rPr>
              <w:t>Sledování horizontálních témat</w:t>
            </w:r>
          </w:p>
        </w:tc>
        <w:tc>
          <w:tcPr>
            <w:tcW w:w="1920" w:type="dxa"/>
            <w:shd w:val="clear" w:color="auto" w:fill="C2D69B" w:themeFill="accent3" w:themeFillTint="99"/>
            <w:vAlign w:val="center"/>
          </w:tcPr>
          <w:p w:rsidR="00A75862" w:rsidRPr="003E48CD" w:rsidRDefault="00A75862" w:rsidP="004A2145">
            <w:pPr>
              <w:jc w:val="center"/>
              <w:rPr>
                <w:b/>
                <w:bCs/>
                <w:sz w:val="18"/>
                <w:szCs w:val="18"/>
              </w:rPr>
            </w:pPr>
            <w:r w:rsidRPr="003E48CD">
              <w:rPr>
                <w:b/>
                <w:bCs/>
                <w:sz w:val="18"/>
                <w:szCs w:val="18"/>
              </w:rPr>
              <w:t>Měrná jednotka</w:t>
            </w:r>
          </w:p>
        </w:tc>
        <w:tc>
          <w:tcPr>
            <w:tcW w:w="1860" w:type="dxa"/>
            <w:shd w:val="clear" w:color="auto" w:fill="C2D69B" w:themeFill="accent3" w:themeFillTint="99"/>
            <w:vAlign w:val="center"/>
          </w:tcPr>
          <w:p w:rsidR="00A75862" w:rsidRPr="003E48CD" w:rsidRDefault="00A75862" w:rsidP="004A2145">
            <w:pPr>
              <w:jc w:val="center"/>
              <w:rPr>
                <w:b/>
                <w:bCs/>
                <w:sz w:val="18"/>
                <w:szCs w:val="18"/>
              </w:rPr>
            </w:pPr>
            <w:r w:rsidRPr="003E48CD">
              <w:rPr>
                <w:b/>
                <w:bCs/>
                <w:sz w:val="18"/>
                <w:szCs w:val="18"/>
              </w:rPr>
              <w:t>Počet projektů</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Projekt je soustředěn hlavně</w:t>
            </w:r>
            <w:r w:rsidRPr="003E48CD">
              <w:rPr>
                <w:b/>
                <w:sz w:val="18"/>
                <w:szCs w:val="18"/>
              </w:rPr>
              <w:t xml:space="preserve"> na životní prostředí</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F35D0E" w:rsidP="00357404">
            <w:pPr>
              <w:jc w:val="center"/>
              <w:rPr>
                <w:sz w:val="18"/>
                <w:szCs w:val="18"/>
              </w:rPr>
            </w:pPr>
            <w:r w:rsidRPr="003E48CD">
              <w:rPr>
                <w:sz w:val="18"/>
                <w:szCs w:val="18"/>
              </w:rPr>
              <w:t>0</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 xml:space="preserve">Projekt </w:t>
            </w:r>
            <w:r w:rsidRPr="003E48CD">
              <w:rPr>
                <w:b/>
                <w:sz w:val="18"/>
                <w:szCs w:val="18"/>
              </w:rPr>
              <w:t xml:space="preserve">má pozitivní dopad </w:t>
            </w:r>
            <w:r w:rsidRPr="003E48CD">
              <w:rPr>
                <w:sz w:val="18"/>
                <w:szCs w:val="18"/>
              </w:rPr>
              <w:t>na životní prostředí</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F35D0E" w:rsidP="00357404">
            <w:pPr>
              <w:jc w:val="center"/>
              <w:rPr>
                <w:sz w:val="18"/>
                <w:szCs w:val="18"/>
              </w:rPr>
            </w:pPr>
            <w:r w:rsidRPr="003E48CD">
              <w:rPr>
                <w:sz w:val="18"/>
                <w:szCs w:val="18"/>
              </w:rPr>
              <w:t>16</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 xml:space="preserve">Projekt je ekologicky </w:t>
            </w:r>
            <w:r w:rsidRPr="003E48CD">
              <w:rPr>
                <w:b/>
                <w:sz w:val="18"/>
                <w:szCs w:val="18"/>
              </w:rPr>
              <w:t>neutrální</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3E48CD" w:rsidP="00357404">
            <w:pPr>
              <w:jc w:val="center"/>
              <w:rPr>
                <w:sz w:val="18"/>
                <w:szCs w:val="18"/>
              </w:rPr>
            </w:pPr>
            <w:r w:rsidRPr="003E48CD">
              <w:rPr>
                <w:sz w:val="18"/>
                <w:szCs w:val="18"/>
              </w:rPr>
              <w:t>60</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 xml:space="preserve">Projekt vyžaduje </w:t>
            </w:r>
            <w:r w:rsidRPr="003E48CD">
              <w:rPr>
                <w:b/>
                <w:sz w:val="18"/>
                <w:szCs w:val="18"/>
              </w:rPr>
              <w:t>posouzení vlivu na životní prostředí</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3E48CD" w:rsidP="00357404">
            <w:pPr>
              <w:jc w:val="center"/>
              <w:rPr>
                <w:sz w:val="18"/>
                <w:szCs w:val="18"/>
              </w:rPr>
            </w:pPr>
            <w:r w:rsidRPr="003E48CD">
              <w:rPr>
                <w:sz w:val="18"/>
                <w:szCs w:val="18"/>
              </w:rPr>
              <w:t>0</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 xml:space="preserve">Projekt přispěje </w:t>
            </w:r>
            <w:r w:rsidRPr="003E48CD">
              <w:rPr>
                <w:b/>
                <w:sz w:val="18"/>
                <w:szCs w:val="18"/>
              </w:rPr>
              <w:t>ke zlepšení ovzduší</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3E48CD" w:rsidP="00357404">
            <w:pPr>
              <w:jc w:val="center"/>
              <w:rPr>
                <w:sz w:val="18"/>
                <w:szCs w:val="18"/>
              </w:rPr>
            </w:pPr>
            <w:r w:rsidRPr="003E48CD">
              <w:rPr>
                <w:sz w:val="18"/>
                <w:szCs w:val="18"/>
              </w:rPr>
              <w:t>0</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 xml:space="preserve">Projekt přispěje </w:t>
            </w:r>
            <w:r w:rsidRPr="003E48CD">
              <w:rPr>
                <w:b/>
                <w:sz w:val="18"/>
                <w:szCs w:val="18"/>
              </w:rPr>
              <w:t>ke zlepšení kvality vod</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3E48CD" w:rsidP="00357404">
            <w:pPr>
              <w:jc w:val="center"/>
              <w:rPr>
                <w:sz w:val="18"/>
                <w:szCs w:val="18"/>
              </w:rPr>
            </w:pPr>
            <w:r w:rsidRPr="003E48CD">
              <w:rPr>
                <w:sz w:val="18"/>
                <w:szCs w:val="18"/>
              </w:rPr>
              <w:t>0</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 xml:space="preserve">Projekt využije </w:t>
            </w:r>
            <w:r w:rsidRPr="003E48CD">
              <w:rPr>
                <w:b/>
                <w:sz w:val="18"/>
                <w:szCs w:val="18"/>
              </w:rPr>
              <w:t>alternativní zdroje</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3E48CD" w:rsidP="00357404">
            <w:pPr>
              <w:jc w:val="center"/>
              <w:rPr>
                <w:sz w:val="18"/>
                <w:szCs w:val="18"/>
              </w:rPr>
            </w:pPr>
            <w:r w:rsidRPr="003E48CD">
              <w:rPr>
                <w:sz w:val="18"/>
                <w:szCs w:val="18"/>
              </w:rPr>
              <w:t>0</w:t>
            </w:r>
          </w:p>
        </w:tc>
      </w:tr>
      <w:tr w:rsidR="00F35D0E" w:rsidRPr="004A2145" w:rsidTr="002E768C">
        <w:trPr>
          <w:trHeight w:val="255"/>
        </w:trPr>
        <w:tc>
          <w:tcPr>
            <w:tcW w:w="5260" w:type="dxa"/>
            <w:noWrap/>
            <w:vAlign w:val="center"/>
          </w:tcPr>
          <w:p w:rsidR="00F35D0E" w:rsidRPr="003E48CD" w:rsidRDefault="00F35D0E" w:rsidP="00357404">
            <w:pPr>
              <w:rPr>
                <w:sz w:val="18"/>
                <w:szCs w:val="18"/>
              </w:rPr>
            </w:pPr>
            <w:r w:rsidRPr="003E48CD">
              <w:rPr>
                <w:sz w:val="18"/>
                <w:szCs w:val="18"/>
              </w:rPr>
              <w:t xml:space="preserve">Projekt zajistí </w:t>
            </w:r>
            <w:r w:rsidRPr="003E48CD">
              <w:rPr>
                <w:b/>
                <w:sz w:val="18"/>
                <w:szCs w:val="18"/>
              </w:rPr>
              <w:t>zvýšení rozlohy sídelní vegetace</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3E48CD" w:rsidP="00357404">
            <w:pPr>
              <w:jc w:val="center"/>
              <w:rPr>
                <w:sz w:val="18"/>
                <w:szCs w:val="18"/>
              </w:rPr>
            </w:pPr>
            <w:r w:rsidRPr="003E48CD">
              <w:rPr>
                <w:sz w:val="18"/>
                <w:szCs w:val="18"/>
              </w:rPr>
              <w:t>0</w:t>
            </w:r>
          </w:p>
        </w:tc>
      </w:tr>
      <w:tr w:rsidR="00F35D0E" w:rsidRPr="004A2145" w:rsidTr="002E768C">
        <w:trPr>
          <w:trHeight w:val="270"/>
        </w:trPr>
        <w:tc>
          <w:tcPr>
            <w:tcW w:w="5260" w:type="dxa"/>
            <w:noWrap/>
            <w:vAlign w:val="center"/>
          </w:tcPr>
          <w:p w:rsidR="00F35D0E" w:rsidRPr="003E48CD" w:rsidRDefault="00F35D0E" w:rsidP="00357404">
            <w:pPr>
              <w:rPr>
                <w:sz w:val="18"/>
                <w:szCs w:val="18"/>
              </w:rPr>
            </w:pPr>
            <w:r w:rsidRPr="003E48CD">
              <w:rPr>
                <w:sz w:val="18"/>
                <w:szCs w:val="18"/>
              </w:rPr>
              <w:t xml:space="preserve">Projekt zlepší </w:t>
            </w:r>
            <w:r w:rsidRPr="003E48CD">
              <w:rPr>
                <w:b/>
                <w:sz w:val="18"/>
                <w:szCs w:val="18"/>
              </w:rPr>
              <w:t>informovanost obyvatel o ochraně životního prostředí</w:t>
            </w:r>
          </w:p>
        </w:tc>
        <w:tc>
          <w:tcPr>
            <w:tcW w:w="1920" w:type="dxa"/>
            <w:noWrap/>
            <w:vAlign w:val="center"/>
          </w:tcPr>
          <w:p w:rsidR="00F35D0E" w:rsidRPr="003E48CD" w:rsidRDefault="00F35D0E" w:rsidP="00357404">
            <w:pPr>
              <w:jc w:val="center"/>
              <w:rPr>
                <w:sz w:val="18"/>
                <w:szCs w:val="18"/>
              </w:rPr>
            </w:pPr>
            <w:r w:rsidRPr="003E48CD">
              <w:rPr>
                <w:sz w:val="18"/>
                <w:szCs w:val="18"/>
              </w:rPr>
              <w:t>Počet projektů</w:t>
            </w:r>
          </w:p>
        </w:tc>
        <w:tc>
          <w:tcPr>
            <w:tcW w:w="1860" w:type="dxa"/>
            <w:noWrap/>
            <w:vAlign w:val="center"/>
          </w:tcPr>
          <w:p w:rsidR="00F35D0E" w:rsidRPr="003E48CD" w:rsidRDefault="003E48CD" w:rsidP="00357404">
            <w:pPr>
              <w:jc w:val="center"/>
              <w:rPr>
                <w:sz w:val="18"/>
                <w:szCs w:val="18"/>
              </w:rPr>
            </w:pPr>
            <w:r w:rsidRPr="003E48CD">
              <w:rPr>
                <w:sz w:val="18"/>
                <w:szCs w:val="18"/>
              </w:rPr>
              <w:t>12</w:t>
            </w:r>
          </w:p>
        </w:tc>
      </w:tr>
    </w:tbl>
    <w:p w:rsidR="00A75862" w:rsidRDefault="00A75862" w:rsidP="009B1164">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36460E">
        <w:rPr>
          <w:i/>
          <w:sz w:val="18"/>
          <w:szCs w:val="18"/>
        </w:rPr>
        <w:t>2</w:t>
      </w:r>
      <w:r w:rsidR="0036460E" w:rsidRPr="00C02CF8">
        <w:rPr>
          <w:i/>
          <w:sz w:val="18"/>
          <w:szCs w:val="18"/>
        </w:rPr>
        <w:t>. 1. 2015</w:t>
      </w:r>
    </w:p>
    <w:p w:rsidR="00357404" w:rsidRPr="00357404" w:rsidRDefault="00357404" w:rsidP="00642923"/>
    <w:p w:rsidR="00A75862" w:rsidRPr="009026D3" w:rsidRDefault="00A75862" w:rsidP="000F2A6C">
      <w:pPr>
        <w:pStyle w:val="Nadpis3"/>
      </w:pPr>
      <w:bookmarkStart w:id="212" w:name="_Toc382407711"/>
      <w:bookmarkStart w:id="213" w:name="_Toc383084713"/>
      <w:bookmarkStart w:id="214" w:name="_Toc417024883"/>
      <w:r w:rsidRPr="009026D3">
        <w:t>3.4.2 Závažné problémy, které se objevily, a přijatá opatření k jejich odstranění</w:t>
      </w:r>
      <w:bookmarkEnd w:id="212"/>
      <w:bookmarkEnd w:id="213"/>
      <w:bookmarkEnd w:id="214"/>
      <w:r w:rsidRPr="009026D3" w:rsidDel="009B1164">
        <w:t xml:space="preserve"> </w:t>
      </w:r>
    </w:p>
    <w:p w:rsidR="00650CFD" w:rsidRDefault="00650CFD" w:rsidP="00F74716">
      <w:pPr>
        <w:rPr>
          <w:b/>
          <w:bCs/>
          <w:sz w:val="22"/>
          <w:szCs w:val="22"/>
        </w:rPr>
      </w:pPr>
      <w:r w:rsidRPr="005B2182">
        <w:rPr>
          <w:b/>
          <w:bCs/>
          <w:sz w:val="22"/>
          <w:szCs w:val="22"/>
        </w:rPr>
        <w:t>Nedostatečná kvalita předkládaných projektových žádostí</w:t>
      </w:r>
    </w:p>
    <w:p w:rsidR="00650CFD" w:rsidRDefault="00650CFD" w:rsidP="00EF71EF">
      <w:pPr>
        <w:jc w:val="both"/>
        <w:rPr>
          <w:sz w:val="22"/>
          <w:szCs w:val="22"/>
        </w:rPr>
      </w:pPr>
      <w:r w:rsidRPr="00300F3C">
        <w:rPr>
          <w:sz w:val="22"/>
          <w:szCs w:val="22"/>
        </w:rPr>
        <w:t xml:space="preserve">Oblast intervence 4.1 je po celou dobu realizace programu provázena vysokým podílem </w:t>
      </w:r>
      <w:r>
        <w:rPr>
          <w:sz w:val="22"/>
          <w:szCs w:val="22"/>
        </w:rPr>
        <w:t xml:space="preserve">vyřazených projektů z důvodu jejich nízké kvality. </w:t>
      </w:r>
      <w:r w:rsidRPr="0083395F">
        <w:rPr>
          <w:sz w:val="22"/>
          <w:szCs w:val="22"/>
        </w:rPr>
        <w:t xml:space="preserve">Slabou stránkou projektů </w:t>
      </w:r>
      <w:r>
        <w:rPr>
          <w:sz w:val="22"/>
          <w:szCs w:val="22"/>
        </w:rPr>
        <w:t>jsou</w:t>
      </w:r>
      <w:r w:rsidRPr="0083395F">
        <w:rPr>
          <w:sz w:val="22"/>
          <w:szCs w:val="22"/>
        </w:rPr>
        <w:t xml:space="preserve"> především rozpočty a jejich provázanost s aktivitami, nedostatečný popis aktivit a nedostatečná kvalita vstupní analýzy. </w:t>
      </w:r>
    </w:p>
    <w:p w:rsidR="00EF71EF" w:rsidRPr="00584BDF" w:rsidRDefault="00EF71EF" w:rsidP="00EF71EF">
      <w:pPr>
        <w:jc w:val="both"/>
        <w:rPr>
          <w:sz w:val="22"/>
          <w:szCs w:val="22"/>
        </w:rPr>
      </w:pPr>
    </w:p>
    <w:p w:rsidR="00EF71EF" w:rsidRPr="00305672" w:rsidRDefault="00650CFD" w:rsidP="00F74716">
      <w:pPr>
        <w:jc w:val="both"/>
        <w:rPr>
          <w:sz w:val="22"/>
          <w:szCs w:val="22"/>
        </w:rPr>
      </w:pPr>
      <w:r w:rsidRPr="00D107D5">
        <w:rPr>
          <w:b/>
          <w:sz w:val="22"/>
          <w:szCs w:val="22"/>
        </w:rPr>
        <w:t>Přijaté opatření:</w:t>
      </w:r>
      <w:r w:rsidRPr="004E26A1">
        <w:rPr>
          <w:sz w:val="22"/>
          <w:szCs w:val="22"/>
        </w:rPr>
        <w:t xml:space="preserve"> </w:t>
      </w:r>
    </w:p>
    <w:p w:rsidR="00650CFD" w:rsidRDefault="004E26A1" w:rsidP="00D107D5">
      <w:pPr>
        <w:jc w:val="both"/>
        <w:rPr>
          <w:sz w:val="22"/>
          <w:szCs w:val="22"/>
        </w:rPr>
      </w:pPr>
      <w:r w:rsidRPr="0083395F">
        <w:rPr>
          <w:sz w:val="22"/>
          <w:szCs w:val="22"/>
        </w:rPr>
        <w:t xml:space="preserve">ŘO IOP se </w:t>
      </w:r>
      <w:proofErr w:type="gramStart"/>
      <w:r w:rsidRPr="0083395F">
        <w:rPr>
          <w:sz w:val="22"/>
          <w:szCs w:val="22"/>
        </w:rPr>
        <w:t>společně s CRR snaží</w:t>
      </w:r>
      <w:proofErr w:type="gramEnd"/>
      <w:r w:rsidRPr="0083395F">
        <w:rPr>
          <w:sz w:val="22"/>
          <w:szCs w:val="22"/>
        </w:rPr>
        <w:t xml:space="preserve"> předcházet nadměrnému počtu vyřazených žádostí intenzivní komunikací a konzultacemi s žadateli</w:t>
      </w:r>
      <w:r>
        <w:rPr>
          <w:sz w:val="22"/>
          <w:szCs w:val="22"/>
        </w:rPr>
        <w:t xml:space="preserve"> </w:t>
      </w:r>
      <w:r w:rsidRPr="0083395F">
        <w:rPr>
          <w:sz w:val="22"/>
          <w:szCs w:val="22"/>
        </w:rPr>
        <w:t xml:space="preserve">a zveřejňováním nejčastěji kladených dotazů.  </w:t>
      </w:r>
      <w:r>
        <w:rPr>
          <w:sz w:val="22"/>
          <w:szCs w:val="22"/>
        </w:rPr>
        <w:t>Příjemci mohou</w:t>
      </w:r>
      <w:r w:rsidRPr="00522B34">
        <w:rPr>
          <w:sz w:val="22"/>
          <w:szCs w:val="22"/>
        </w:rPr>
        <w:t xml:space="preserve"> využí</w:t>
      </w:r>
      <w:r>
        <w:rPr>
          <w:sz w:val="22"/>
          <w:szCs w:val="22"/>
        </w:rPr>
        <w:t>vat</w:t>
      </w:r>
      <w:r w:rsidRPr="00522B34">
        <w:rPr>
          <w:sz w:val="22"/>
          <w:szCs w:val="22"/>
        </w:rPr>
        <w:t xml:space="preserve"> projekt</w:t>
      </w:r>
      <w:r>
        <w:rPr>
          <w:sz w:val="22"/>
          <w:szCs w:val="22"/>
        </w:rPr>
        <w:t>u</w:t>
      </w:r>
      <w:r w:rsidRPr="00522B34">
        <w:rPr>
          <w:sz w:val="22"/>
          <w:szCs w:val="22"/>
        </w:rPr>
        <w:t xml:space="preserve"> Prevence, který realizuje Ministerstvo pro místní rozvoj ČR, Národní orgán pro koordinaci. Cílem projektu je minimalizace hlavních rizik projektu, odstranění chyb, vysvětlení pravidel programu, upozornění na rizika ve fázi realizace a udržitelnosti projektu, návrh nápravných opatření a pomoc při jejich implementaci či supervize předkládané dokumentace. Tato služba, vzhledem k svému preventivnímu charakteru, snižuje riziko z důvodu porušení podmínek poskytnutí pomoci.</w:t>
      </w:r>
    </w:p>
    <w:p w:rsidR="00AF132A" w:rsidRDefault="00AF132A" w:rsidP="00D107D5">
      <w:pPr>
        <w:jc w:val="both"/>
        <w:rPr>
          <w:sz w:val="22"/>
          <w:szCs w:val="22"/>
        </w:rPr>
      </w:pPr>
    </w:p>
    <w:p w:rsidR="00650CFD" w:rsidRPr="00522B34" w:rsidRDefault="00650CFD" w:rsidP="00F74716">
      <w:pPr>
        <w:rPr>
          <w:b/>
          <w:bCs/>
          <w:sz w:val="22"/>
          <w:szCs w:val="22"/>
        </w:rPr>
      </w:pPr>
      <w:r w:rsidRPr="00522B34">
        <w:rPr>
          <w:b/>
          <w:bCs/>
          <w:sz w:val="22"/>
          <w:szCs w:val="22"/>
        </w:rPr>
        <w:t xml:space="preserve">Neplnění pravidla n+2 </w:t>
      </w:r>
    </w:p>
    <w:p w:rsidR="00F74716" w:rsidRPr="00522B34" w:rsidRDefault="00650CFD" w:rsidP="00F74716">
      <w:pPr>
        <w:jc w:val="both"/>
        <w:rPr>
          <w:sz w:val="22"/>
          <w:szCs w:val="22"/>
        </w:rPr>
      </w:pPr>
      <w:r w:rsidRPr="00522B34">
        <w:rPr>
          <w:sz w:val="22"/>
          <w:szCs w:val="22"/>
        </w:rPr>
        <w:t xml:space="preserve">Situaci zapříčinilo zejména nedodržování harmonogramů realizace projektů (termínové a finanční posuny), zpožďování realizace zadávacích a výběrových řízení, špatně nastavené aktivity projektů </w:t>
      </w:r>
      <w:r w:rsidR="005C51E3">
        <w:rPr>
          <w:sz w:val="22"/>
          <w:szCs w:val="22"/>
        </w:rPr>
        <w:br/>
      </w:r>
      <w:r w:rsidRPr="00522B34">
        <w:rPr>
          <w:sz w:val="22"/>
          <w:szCs w:val="22"/>
        </w:rPr>
        <w:t xml:space="preserve">a časté změny v personálním zajištění projektů (týká se především projektových týmů České centrály cestovního ruchu - </w:t>
      </w:r>
      <w:proofErr w:type="spellStart"/>
      <w:r w:rsidRPr="00522B34">
        <w:rPr>
          <w:sz w:val="22"/>
          <w:szCs w:val="22"/>
        </w:rPr>
        <w:t>CzechTourism</w:t>
      </w:r>
      <w:proofErr w:type="spellEnd"/>
      <w:r w:rsidRPr="00522B34">
        <w:rPr>
          <w:sz w:val="22"/>
          <w:szCs w:val="22"/>
        </w:rPr>
        <w:t xml:space="preserve">). </w:t>
      </w:r>
    </w:p>
    <w:p w:rsidR="00F74716" w:rsidRPr="00875E00" w:rsidRDefault="00650CFD" w:rsidP="00F74716">
      <w:pPr>
        <w:jc w:val="both"/>
        <w:rPr>
          <w:b/>
          <w:sz w:val="22"/>
          <w:szCs w:val="22"/>
        </w:rPr>
      </w:pPr>
      <w:r w:rsidRPr="00875E00">
        <w:rPr>
          <w:b/>
          <w:sz w:val="22"/>
          <w:szCs w:val="22"/>
        </w:rPr>
        <w:lastRenderedPageBreak/>
        <w:t xml:space="preserve">Přijatá opatření: </w:t>
      </w:r>
    </w:p>
    <w:p w:rsidR="004E26A1" w:rsidRDefault="004E26A1" w:rsidP="004E26A1">
      <w:pPr>
        <w:jc w:val="both"/>
        <w:rPr>
          <w:sz w:val="22"/>
          <w:szCs w:val="22"/>
        </w:rPr>
      </w:pPr>
      <w:r w:rsidRPr="00522B34">
        <w:rPr>
          <w:sz w:val="22"/>
          <w:szCs w:val="22"/>
        </w:rPr>
        <w:t xml:space="preserve">Vzhledem k vývoji implementace </w:t>
      </w:r>
      <w:r>
        <w:rPr>
          <w:sz w:val="22"/>
          <w:szCs w:val="22"/>
        </w:rPr>
        <w:t>byla</w:t>
      </w:r>
      <w:r w:rsidRPr="00522B34">
        <w:rPr>
          <w:sz w:val="22"/>
          <w:szCs w:val="22"/>
        </w:rPr>
        <w:t xml:space="preserve"> nadále realizována pravidelná </w:t>
      </w:r>
      <w:r w:rsidR="005C51E3">
        <w:rPr>
          <w:sz w:val="22"/>
          <w:szCs w:val="22"/>
        </w:rPr>
        <w:t xml:space="preserve">měsíční </w:t>
      </w:r>
      <w:r w:rsidRPr="00522B34">
        <w:rPr>
          <w:sz w:val="22"/>
          <w:szCs w:val="22"/>
        </w:rPr>
        <w:t xml:space="preserve">setkání dvou nejvýznamnějších příjemců – České centrály cestovního ruchu – </w:t>
      </w:r>
      <w:proofErr w:type="spellStart"/>
      <w:r w:rsidRPr="00522B34">
        <w:rPr>
          <w:sz w:val="22"/>
          <w:szCs w:val="22"/>
        </w:rPr>
        <w:t>CzechTourism</w:t>
      </w:r>
      <w:proofErr w:type="spellEnd"/>
      <w:r w:rsidRPr="00522B34">
        <w:rPr>
          <w:sz w:val="22"/>
          <w:szCs w:val="22"/>
        </w:rPr>
        <w:t xml:space="preserve"> a Odboru cestovního ruchu MMR se zástupci ŘO IOP a CRR, na kterých </w:t>
      </w:r>
      <w:r>
        <w:rPr>
          <w:sz w:val="22"/>
          <w:szCs w:val="22"/>
        </w:rPr>
        <w:t>byly</w:t>
      </w:r>
      <w:r w:rsidRPr="00522B34">
        <w:rPr>
          <w:sz w:val="22"/>
          <w:szCs w:val="22"/>
        </w:rPr>
        <w:t xml:space="preserve"> diskutovány </w:t>
      </w:r>
      <w:r>
        <w:rPr>
          <w:sz w:val="22"/>
          <w:szCs w:val="22"/>
        </w:rPr>
        <w:t xml:space="preserve">a řešeny </w:t>
      </w:r>
      <w:r w:rsidRPr="00522B34">
        <w:rPr>
          <w:sz w:val="22"/>
          <w:szCs w:val="22"/>
        </w:rPr>
        <w:t xml:space="preserve">aktuální problémy jednotlivých projektů. Podkladem </w:t>
      </w:r>
      <w:r>
        <w:rPr>
          <w:sz w:val="22"/>
          <w:szCs w:val="22"/>
        </w:rPr>
        <w:t>byly</w:t>
      </w:r>
      <w:r w:rsidRPr="00522B34">
        <w:rPr>
          <w:sz w:val="22"/>
          <w:szCs w:val="22"/>
        </w:rPr>
        <w:t xml:space="preserve"> kontrolní sestavy z informačního systému Monit7+, které prezentují stav v jednotlivých projektech, vazby výběrových řízení na žádosti o platbu, apod. </w:t>
      </w:r>
      <w:r>
        <w:rPr>
          <w:sz w:val="22"/>
          <w:szCs w:val="22"/>
        </w:rPr>
        <w:t>Pravidelná jednání budou probíhat i v roce 2015.</w:t>
      </w:r>
    </w:p>
    <w:p w:rsidR="004E26A1" w:rsidRDefault="004E26A1" w:rsidP="004E26A1">
      <w:pPr>
        <w:jc w:val="both"/>
        <w:rPr>
          <w:sz w:val="22"/>
          <w:szCs w:val="22"/>
        </w:rPr>
      </w:pPr>
    </w:p>
    <w:p w:rsidR="00650CFD" w:rsidRPr="00522B34" w:rsidRDefault="00650CFD" w:rsidP="00650CFD">
      <w:pPr>
        <w:spacing w:after="120"/>
        <w:jc w:val="both"/>
        <w:rPr>
          <w:sz w:val="22"/>
          <w:szCs w:val="22"/>
        </w:rPr>
      </w:pPr>
      <w:r w:rsidRPr="00522B34">
        <w:rPr>
          <w:sz w:val="22"/>
          <w:szCs w:val="22"/>
        </w:rPr>
        <w:t>V</w:t>
      </w:r>
      <w:r>
        <w:rPr>
          <w:sz w:val="22"/>
          <w:szCs w:val="22"/>
        </w:rPr>
        <w:t> </w:t>
      </w:r>
      <w:r w:rsidRPr="00522B34">
        <w:rPr>
          <w:sz w:val="22"/>
          <w:szCs w:val="22"/>
        </w:rPr>
        <w:t xml:space="preserve">souvislosti s vysokou chybovostí předkládaných </w:t>
      </w:r>
      <w:proofErr w:type="spellStart"/>
      <w:r w:rsidRPr="00522B34">
        <w:rPr>
          <w:sz w:val="22"/>
          <w:szCs w:val="22"/>
        </w:rPr>
        <w:t>ŽoP</w:t>
      </w:r>
      <w:proofErr w:type="spellEnd"/>
      <w:r w:rsidRPr="00522B34">
        <w:rPr>
          <w:sz w:val="22"/>
          <w:szCs w:val="22"/>
        </w:rPr>
        <w:t xml:space="preserve">, respektive vzhledem k časté fluktuaci </w:t>
      </w:r>
      <w:r w:rsidR="00F74716">
        <w:rPr>
          <w:sz w:val="22"/>
          <w:szCs w:val="22"/>
        </w:rPr>
        <w:br/>
      </w:r>
      <w:r w:rsidRPr="00522B34">
        <w:rPr>
          <w:sz w:val="22"/>
          <w:szCs w:val="22"/>
        </w:rPr>
        <w:t xml:space="preserve">v projektových týmech České centrály cestovního ruchu – </w:t>
      </w:r>
      <w:proofErr w:type="spellStart"/>
      <w:r w:rsidRPr="00522B34">
        <w:rPr>
          <w:sz w:val="22"/>
          <w:szCs w:val="22"/>
        </w:rPr>
        <w:t>CzechTourism</w:t>
      </w:r>
      <w:proofErr w:type="spellEnd"/>
      <w:r w:rsidRPr="00522B34">
        <w:rPr>
          <w:sz w:val="22"/>
          <w:szCs w:val="22"/>
        </w:rPr>
        <w:t>, realizovalo CRR v průběhu července</w:t>
      </w:r>
      <w:r>
        <w:rPr>
          <w:sz w:val="22"/>
          <w:szCs w:val="22"/>
        </w:rPr>
        <w:t xml:space="preserve"> 2014</w:t>
      </w:r>
      <w:r w:rsidRPr="00522B34">
        <w:rPr>
          <w:sz w:val="22"/>
          <w:szCs w:val="22"/>
        </w:rPr>
        <w:t xml:space="preserve"> školení k nejčastějším problémům při zpracování a předkládání </w:t>
      </w:r>
      <w:proofErr w:type="spellStart"/>
      <w:r w:rsidRPr="00522B34">
        <w:rPr>
          <w:sz w:val="22"/>
          <w:szCs w:val="22"/>
        </w:rPr>
        <w:t>ŽoP</w:t>
      </w:r>
      <w:proofErr w:type="spellEnd"/>
      <w:r w:rsidRPr="00522B34">
        <w:rPr>
          <w:sz w:val="22"/>
          <w:szCs w:val="22"/>
        </w:rPr>
        <w:t>.</w:t>
      </w:r>
    </w:p>
    <w:p w:rsidR="00650CFD" w:rsidRDefault="00650CFD" w:rsidP="00650CFD">
      <w:pPr>
        <w:spacing w:after="120"/>
        <w:jc w:val="both"/>
        <w:rPr>
          <w:sz w:val="22"/>
          <w:szCs w:val="22"/>
        </w:rPr>
      </w:pPr>
      <w:r>
        <w:rPr>
          <w:sz w:val="22"/>
          <w:szCs w:val="22"/>
        </w:rPr>
        <w:t xml:space="preserve">CRR v součinnosti s ŘO IOP </w:t>
      </w:r>
      <w:proofErr w:type="gramStart"/>
      <w:r>
        <w:rPr>
          <w:sz w:val="22"/>
          <w:szCs w:val="22"/>
        </w:rPr>
        <w:t>nastavilo</w:t>
      </w:r>
      <w:proofErr w:type="gramEnd"/>
      <w:r>
        <w:rPr>
          <w:sz w:val="22"/>
          <w:szCs w:val="22"/>
        </w:rPr>
        <w:t xml:space="preserve"> interní postupy pro urychlení administrace ŽOP</w:t>
      </w:r>
      <w:r w:rsidR="004E26A1">
        <w:rPr>
          <w:sz w:val="22"/>
          <w:szCs w:val="22"/>
        </w:rPr>
        <w:t xml:space="preserve"> po</w:t>
      </w:r>
      <w:r>
        <w:rPr>
          <w:sz w:val="22"/>
          <w:szCs w:val="22"/>
        </w:rPr>
        <w:t xml:space="preserve">dle opatření k maximalizaci čerpání v roce 2014. </w:t>
      </w:r>
      <w:r w:rsidRPr="00522B34">
        <w:rPr>
          <w:sz w:val="22"/>
          <w:szCs w:val="22"/>
        </w:rPr>
        <w:t>CRR</w:t>
      </w:r>
      <w:r>
        <w:rPr>
          <w:sz w:val="22"/>
          <w:szCs w:val="22"/>
        </w:rPr>
        <w:t xml:space="preserve"> rovněž</w:t>
      </w:r>
      <w:r w:rsidRPr="00522B34">
        <w:rPr>
          <w:sz w:val="22"/>
          <w:szCs w:val="22"/>
        </w:rPr>
        <w:t xml:space="preserve"> </w:t>
      </w:r>
      <w:proofErr w:type="gramStart"/>
      <w:r w:rsidRPr="00522B34">
        <w:rPr>
          <w:sz w:val="22"/>
          <w:szCs w:val="22"/>
        </w:rPr>
        <w:t>vyzvalo</w:t>
      </w:r>
      <w:proofErr w:type="gramEnd"/>
      <w:r w:rsidRPr="00522B34">
        <w:rPr>
          <w:sz w:val="22"/>
          <w:szCs w:val="22"/>
        </w:rPr>
        <w:t xml:space="preserve"> příjemce k maximální součinnosti při předkládání </w:t>
      </w:r>
      <w:proofErr w:type="spellStart"/>
      <w:r w:rsidRPr="00522B34">
        <w:rPr>
          <w:sz w:val="22"/>
          <w:szCs w:val="22"/>
        </w:rPr>
        <w:t>ŽoP</w:t>
      </w:r>
      <w:proofErr w:type="spellEnd"/>
      <w:r w:rsidRPr="00522B34">
        <w:rPr>
          <w:sz w:val="22"/>
          <w:szCs w:val="22"/>
        </w:rPr>
        <w:t xml:space="preserve"> (zkrácení lhůty pro předložení </w:t>
      </w:r>
      <w:proofErr w:type="spellStart"/>
      <w:r w:rsidRPr="00522B34">
        <w:rPr>
          <w:sz w:val="22"/>
          <w:szCs w:val="22"/>
        </w:rPr>
        <w:t>ŽoP</w:t>
      </w:r>
      <w:proofErr w:type="spellEnd"/>
      <w:r w:rsidRPr="00522B34">
        <w:rPr>
          <w:sz w:val="22"/>
          <w:szCs w:val="22"/>
        </w:rPr>
        <w:t xml:space="preserve"> od ukončení etapy) a nabídlo konzultace </w:t>
      </w:r>
      <w:r w:rsidR="00696610">
        <w:rPr>
          <w:sz w:val="22"/>
          <w:szCs w:val="22"/>
        </w:rPr>
        <w:br/>
      </w:r>
      <w:r w:rsidRPr="00522B34">
        <w:rPr>
          <w:sz w:val="22"/>
          <w:szCs w:val="22"/>
        </w:rPr>
        <w:t>k vyúčtování a</w:t>
      </w:r>
      <w:r>
        <w:rPr>
          <w:sz w:val="22"/>
          <w:szCs w:val="22"/>
        </w:rPr>
        <w:t> </w:t>
      </w:r>
      <w:r w:rsidRPr="00522B34">
        <w:rPr>
          <w:sz w:val="22"/>
          <w:szCs w:val="22"/>
        </w:rPr>
        <w:t xml:space="preserve">dokladování jednotlivých druhů výdajů. V relevantních případech s příjemci rovněž konzultovalo možnost úpravy etapizace projektů. </w:t>
      </w:r>
    </w:p>
    <w:p w:rsidR="00650CFD" w:rsidRPr="00522B34" w:rsidRDefault="00650CFD" w:rsidP="00650CFD">
      <w:pPr>
        <w:spacing w:after="120"/>
        <w:jc w:val="both"/>
        <w:rPr>
          <w:sz w:val="22"/>
          <w:szCs w:val="22"/>
        </w:rPr>
      </w:pPr>
      <w:r>
        <w:rPr>
          <w:sz w:val="22"/>
          <w:szCs w:val="22"/>
        </w:rPr>
        <w:t>Významný vliv na snížení ztráty v roce 2014 měl i vyjednaný termín mimořádné certifikace.</w:t>
      </w:r>
    </w:p>
    <w:p w:rsidR="00B1217F" w:rsidRDefault="00B1217F" w:rsidP="00B1217F"/>
    <w:p w:rsidR="00650CFD" w:rsidRDefault="00650CFD" w:rsidP="00B1217F">
      <w:pPr>
        <w:rPr>
          <w:b/>
          <w:bCs/>
          <w:sz w:val="22"/>
          <w:szCs w:val="22"/>
        </w:rPr>
      </w:pPr>
      <w:r>
        <w:rPr>
          <w:b/>
          <w:bCs/>
          <w:sz w:val="22"/>
          <w:szCs w:val="22"/>
        </w:rPr>
        <w:t>Nutnost opakovat výběrová řízení</w:t>
      </w:r>
    </w:p>
    <w:p w:rsidR="004E26A1" w:rsidRDefault="004E26A1" w:rsidP="004E26A1">
      <w:pPr>
        <w:jc w:val="both"/>
        <w:rPr>
          <w:bCs/>
          <w:sz w:val="22"/>
          <w:szCs w:val="22"/>
        </w:rPr>
      </w:pPr>
      <w:r w:rsidRPr="003B3D83">
        <w:rPr>
          <w:bCs/>
          <w:sz w:val="22"/>
          <w:szCs w:val="22"/>
        </w:rPr>
        <w:t>V rámci realizace projektů</w:t>
      </w:r>
      <w:r>
        <w:rPr>
          <w:bCs/>
          <w:sz w:val="22"/>
          <w:szCs w:val="22"/>
        </w:rPr>
        <w:t xml:space="preserve"> je často nutné opakovat výběrová řízení z důvodu nepodání žádné či podání jedné nabídky, respektive nedostatečně připravené zadávací dokumentace.</w:t>
      </w:r>
    </w:p>
    <w:p w:rsidR="00B1217F" w:rsidRPr="003B3D83" w:rsidRDefault="00B1217F" w:rsidP="00B1217F">
      <w:pPr>
        <w:jc w:val="both"/>
        <w:rPr>
          <w:bCs/>
          <w:sz w:val="22"/>
          <w:szCs w:val="22"/>
        </w:rPr>
      </w:pPr>
    </w:p>
    <w:p w:rsidR="00B1217F" w:rsidRPr="00AD3854" w:rsidRDefault="00650CFD" w:rsidP="00B1217F">
      <w:pPr>
        <w:jc w:val="both"/>
        <w:rPr>
          <w:b/>
          <w:sz w:val="22"/>
          <w:szCs w:val="22"/>
        </w:rPr>
      </w:pPr>
      <w:r w:rsidRPr="00AD3854">
        <w:rPr>
          <w:b/>
          <w:sz w:val="22"/>
          <w:szCs w:val="22"/>
        </w:rPr>
        <w:t>Přijatá opatření:</w:t>
      </w:r>
    </w:p>
    <w:p w:rsidR="004E26A1" w:rsidRDefault="004E26A1" w:rsidP="004E26A1">
      <w:pPr>
        <w:jc w:val="both"/>
        <w:rPr>
          <w:sz w:val="22"/>
          <w:szCs w:val="22"/>
        </w:rPr>
      </w:pPr>
      <w:r w:rsidRPr="003B3D83">
        <w:rPr>
          <w:sz w:val="22"/>
          <w:szCs w:val="22"/>
        </w:rPr>
        <w:t xml:space="preserve">CRR </w:t>
      </w:r>
      <w:r>
        <w:rPr>
          <w:sz w:val="22"/>
          <w:szCs w:val="22"/>
        </w:rPr>
        <w:t>dbá na provádění kontrol</w:t>
      </w:r>
      <w:r>
        <w:rPr>
          <w:b/>
          <w:i/>
          <w:sz w:val="22"/>
          <w:szCs w:val="22"/>
        </w:rPr>
        <w:t xml:space="preserve"> </w:t>
      </w:r>
      <w:r>
        <w:rPr>
          <w:sz w:val="22"/>
          <w:szCs w:val="22"/>
        </w:rPr>
        <w:t xml:space="preserve">předkládaných zadávacích dokumentací a stavu zadávacích řízení. </w:t>
      </w:r>
    </w:p>
    <w:p w:rsidR="00B1217F" w:rsidRPr="00B1217F" w:rsidRDefault="00B1217F" w:rsidP="00B1217F">
      <w:pPr>
        <w:rPr>
          <w:b/>
          <w:bCs/>
          <w:i/>
          <w:sz w:val="22"/>
          <w:szCs w:val="22"/>
        </w:rPr>
      </w:pPr>
    </w:p>
    <w:p w:rsidR="00650CFD" w:rsidRDefault="00650CFD" w:rsidP="00B1217F">
      <w:pPr>
        <w:rPr>
          <w:b/>
          <w:bCs/>
          <w:sz w:val="22"/>
          <w:szCs w:val="22"/>
        </w:rPr>
      </w:pPr>
      <w:r w:rsidRPr="00806C66">
        <w:rPr>
          <w:b/>
          <w:bCs/>
          <w:sz w:val="22"/>
          <w:szCs w:val="22"/>
        </w:rPr>
        <w:t>Veřejná podpora</w:t>
      </w:r>
    </w:p>
    <w:p w:rsidR="00650CFD" w:rsidRDefault="00650CFD" w:rsidP="00B1217F">
      <w:pPr>
        <w:jc w:val="both"/>
        <w:rPr>
          <w:bCs/>
          <w:sz w:val="22"/>
          <w:szCs w:val="22"/>
        </w:rPr>
      </w:pPr>
      <w:r>
        <w:rPr>
          <w:bCs/>
          <w:sz w:val="22"/>
          <w:szCs w:val="22"/>
        </w:rPr>
        <w:t>Realizace některých projektů naráží na problém</w:t>
      </w:r>
      <w:r w:rsidR="004E26A1">
        <w:rPr>
          <w:bCs/>
          <w:sz w:val="22"/>
          <w:szCs w:val="22"/>
        </w:rPr>
        <w:t xml:space="preserve"> </w:t>
      </w:r>
      <w:r>
        <w:rPr>
          <w:bCs/>
          <w:sz w:val="22"/>
          <w:szCs w:val="22"/>
        </w:rPr>
        <w:t xml:space="preserve">rizika </w:t>
      </w:r>
      <w:r w:rsidR="004E26A1">
        <w:rPr>
          <w:bCs/>
          <w:sz w:val="22"/>
          <w:szCs w:val="22"/>
        </w:rPr>
        <w:t xml:space="preserve">nedovolené </w:t>
      </w:r>
      <w:r>
        <w:rPr>
          <w:bCs/>
          <w:sz w:val="22"/>
          <w:szCs w:val="22"/>
        </w:rPr>
        <w:t>veřejné podpory. To se týká i projektů předložených do 25. výzvy.</w:t>
      </w:r>
    </w:p>
    <w:p w:rsidR="00B1217F" w:rsidRDefault="00B1217F" w:rsidP="00B1217F">
      <w:pPr>
        <w:jc w:val="both"/>
        <w:rPr>
          <w:bCs/>
          <w:sz w:val="22"/>
          <w:szCs w:val="22"/>
        </w:rPr>
      </w:pPr>
    </w:p>
    <w:p w:rsidR="00B1217F" w:rsidRPr="004E26A1" w:rsidRDefault="00650CFD" w:rsidP="00B1217F">
      <w:pPr>
        <w:jc w:val="both"/>
        <w:rPr>
          <w:b/>
          <w:sz w:val="22"/>
          <w:szCs w:val="22"/>
        </w:rPr>
      </w:pPr>
      <w:r w:rsidRPr="004E26A1">
        <w:rPr>
          <w:b/>
          <w:sz w:val="22"/>
          <w:szCs w:val="22"/>
        </w:rPr>
        <w:t xml:space="preserve">Přijatá opatření: </w:t>
      </w:r>
    </w:p>
    <w:p w:rsidR="004E26A1" w:rsidRDefault="004E26A1" w:rsidP="004E26A1">
      <w:pPr>
        <w:jc w:val="both"/>
        <w:rPr>
          <w:sz w:val="22"/>
          <w:szCs w:val="22"/>
        </w:rPr>
      </w:pPr>
      <w:r w:rsidRPr="003B3D83">
        <w:rPr>
          <w:sz w:val="22"/>
          <w:szCs w:val="22"/>
        </w:rPr>
        <w:t xml:space="preserve">CRR </w:t>
      </w:r>
      <w:r>
        <w:rPr>
          <w:sz w:val="22"/>
          <w:szCs w:val="22"/>
        </w:rPr>
        <w:t>využívá konzultací s experty ŘO IOP na veřejnou podporu. CRR zveřejnilo ve spolupráci s ŘO IOP nejčastěji kladené dotazy</w:t>
      </w:r>
      <w:r w:rsidRPr="00A2197B">
        <w:rPr>
          <w:sz w:val="22"/>
          <w:szCs w:val="22"/>
        </w:rPr>
        <w:t xml:space="preserve"> </w:t>
      </w:r>
      <w:r>
        <w:rPr>
          <w:sz w:val="22"/>
          <w:szCs w:val="22"/>
        </w:rPr>
        <w:t xml:space="preserve">s návody, jak riziko minimalizovat. </w:t>
      </w:r>
    </w:p>
    <w:p w:rsidR="00A75862" w:rsidRPr="00555962" w:rsidRDefault="00A75862" w:rsidP="002317FF">
      <w:pPr>
        <w:jc w:val="both"/>
      </w:pPr>
    </w:p>
    <w:p w:rsidR="00A75862" w:rsidRPr="002142EE" w:rsidRDefault="00A75862" w:rsidP="002317FF">
      <w:pPr>
        <w:jc w:val="both"/>
        <w:rPr>
          <w:color w:val="365F91"/>
        </w:rPr>
      </w:pPr>
    </w:p>
    <w:p w:rsidR="00A75862" w:rsidRPr="00450C67" w:rsidRDefault="00A22B3C" w:rsidP="00450C67">
      <w:pPr>
        <w:pStyle w:val="Nadpis3"/>
      </w:pPr>
      <w:bookmarkStart w:id="215" w:name="_Toc382407712"/>
      <w:bookmarkStart w:id="216" w:name="_Toc383084714"/>
      <w:bookmarkStart w:id="217" w:name="_Toc417024884"/>
      <w:r w:rsidRPr="00450C67">
        <w:t xml:space="preserve">3.4.3. </w:t>
      </w:r>
      <w:r w:rsidR="00A75862" w:rsidRPr="00450C67">
        <w:t>Příklad projektu</w:t>
      </w:r>
      <w:bookmarkEnd w:id="215"/>
      <w:bookmarkEnd w:id="216"/>
      <w:bookmarkEnd w:id="217"/>
      <w:r w:rsidR="00A75862" w:rsidRPr="00450C67">
        <w:t xml:space="preserve"> </w:t>
      </w:r>
    </w:p>
    <w:p w:rsidR="00515DFC" w:rsidRPr="00515DFC" w:rsidRDefault="00515DFC" w:rsidP="00515DFC">
      <w:pPr>
        <w:jc w:val="both"/>
        <w:rPr>
          <w:sz w:val="22"/>
          <w:szCs w:val="22"/>
        </w:rPr>
      </w:pPr>
      <w:r w:rsidRPr="00686357">
        <w:rPr>
          <w:b/>
          <w:sz w:val="22"/>
          <w:szCs w:val="22"/>
        </w:rPr>
        <w:t>Oblast intervence:</w:t>
      </w:r>
      <w:r w:rsidRPr="00515DFC">
        <w:rPr>
          <w:sz w:val="22"/>
          <w:szCs w:val="22"/>
        </w:rPr>
        <w:t xml:space="preserve"> 4.1 Národní podpora cestovního ruchu</w:t>
      </w:r>
    </w:p>
    <w:p w:rsidR="00650CFD" w:rsidRDefault="00515DFC" w:rsidP="00650CFD">
      <w:pPr>
        <w:jc w:val="both"/>
        <w:rPr>
          <w:b/>
          <w:sz w:val="22"/>
          <w:szCs w:val="22"/>
        </w:rPr>
      </w:pPr>
      <w:r w:rsidRPr="00686357">
        <w:rPr>
          <w:b/>
          <w:sz w:val="22"/>
          <w:szCs w:val="22"/>
        </w:rPr>
        <w:t>Název projektu, registrační číslo</w:t>
      </w:r>
      <w:r w:rsidRPr="00515DFC">
        <w:rPr>
          <w:sz w:val="22"/>
          <w:szCs w:val="22"/>
        </w:rPr>
        <w:t xml:space="preserve">: </w:t>
      </w:r>
      <w:r w:rsidR="00650CFD">
        <w:rPr>
          <w:sz w:val="22"/>
          <w:szCs w:val="22"/>
        </w:rPr>
        <w:t>S </w:t>
      </w:r>
      <w:proofErr w:type="spellStart"/>
      <w:r w:rsidR="00650CFD">
        <w:rPr>
          <w:sz w:val="22"/>
          <w:szCs w:val="22"/>
        </w:rPr>
        <w:t>Jetíkem</w:t>
      </w:r>
      <w:proofErr w:type="spellEnd"/>
      <w:r w:rsidR="00650CFD">
        <w:rPr>
          <w:sz w:val="22"/>
          <w:szCs w:val="22"/>
        </w:rPr>
        <w:t xml:space="preserve"> po českých horách</w:t>
      </w:r>
      <w:r w:rsidR="00023926">
        <w:rPr>
          <w:sz w:val="22"/>
          <w:szCs w:val="22"/>
        </w:rPr>
        <w:t xml:space="preserve">, </w:t>
      </w:r>
      <w:r w:rsidR="00650CFD">
        <w:rPr>
          <w:sz w:val="22"/>
          <w:szCs w:val="22"/>
        </w:rPr>
        <w:t>CZ.1.06/4.1.00/09.07210 a CZ.1.06/4.1.00/09.07211</w:t>
      </w:r>
    </w:p>
    <w:p w:rsidR="00515DFC" w:rsidRPr="00515DFC" w:rsidRDefault="00515DFC" w:rsidP="00515DFC">
      <w:pPr>
        <w:jc w:val="both"/>
        <w:rPr>
          <w:sz w:val="22"/>
          <w:szCs w:val="22"/>
        </w:rPr>
      </w:pPr>
      <w:r w:rsidRPr="00686357">
        <w:rPr>
          <w:b/>
          <w:sz w:val="22"/>
          <w:szCs w:val="22"/>
        </w:rPr>
        <w:t>Příjemce:</w:t>
      </w:r>
      <w:r w:rsidRPr="00515DFC">
        <w:rPr>
          <w:sz w:val="22"/>
          <w:szCs w:val="22"/>
        </w:rPr>
        <w:t xml:space="preserve"> </w:t>
      </w:r>
      <w:r w:rsidR="00650CFD">
        <w:rPr>
          <w:sz w:val="22"/>
          <w:szCs w:val="22"/>
        </w:rPr>
        <w:t>Horská služba ČR, o.p.s.</w:t>
      </w:r>
    </w:p>
    <w:p w:rsidR="00650CFD" w:rsidRDefault="00515DFC" w:rsidP="00650CFD">
      <w:pPr>
        <w:spacing w:before="120"/>
        <w:rPr>
          <w:sz w:val="22"/>
          <w:szCs w:val="22"/>
        </w:rPr>
      </w:pPr>
      <w:r w:rsidRPr="00686357">
        <w:rPr>
          <w:b/>
          <w:sz w:val="22"/>
          <w:szCs w:val="22"/>
        </w:rPr>
        <w:t xml:space="preserve">Financování projektu: </w:t>
      </w:r>
      <w:r w:rsidR="00650CFD">
        <w:rPr>
          <w:sz w:val="22"/>
          <w:szCs w:val="22"/>
        </w:rPr>
        <w:t xml:space="preserve">CZ.1.06/4.1.00/09.07210 </w:t>
      </w:r>
    </w:p>
    <w:p w:rsidR="00650CFD" w:rsidRDefault="00650CFD" w:rsidP="00650CFD">
      <w:pPr>
        <w:rPr>
          <w:sz w:val="22"/>
          <w:szCs w:val="22"/>
        </w:rPr>
      </w:pPr>
      <w:r>
        <w:rPr>
          <w:sz w:val="22"/>
          <w:szCs w:val="22"/>
        </w:rPr>
        <w:t>797 568 Kč (příspěvek SF 677 934 Kč, příspěvek SR 119 634 Kč)</w:t>
      </w:r>
    </w:p>
    <w:p w:rsidR="00650CFD" w:rsidRDefault="00650CFD" w:rsidP="00650CFD">
      <w:pPr>
        <w:spacing w:before="120"/>
        <w:rPr>
          <w:sz w:val="22"/>
          <w:szCs w:val="22"/>
        </w:rPr>
      </w:pPr>
      <w:r>
        <w:rPr>
          <w:sz w:val="22"/>
          <w:szCs w:val="22"/>
        </w:rPr>
        <w:t>CZ.1.06/4.1.00/09.07211</w:t>
      </w:r>
    </w:p>
    <w:p w:rsidR="00650CFD" w:rsidRDefault="00650CFD" w:rsidP="00650CFD">
      <w:pPr>
        <w:rPr>
          <w:sz w:val="22"/>
          <w:szCs w:val="22"/>
        </w:rPr>
      </w:pPr>
      <w:r>
        <w:rPr>
          <w:sz w:val="22"/>
          <w:szCs w:val="22"/>
        </w:rPr>
        <w:t>10 368 444 Kč (příspěvek SF 8 813 178 Kč, příspěvek SR 1 555 266 Kč)</w:t>
      </w:r>
    </w:p>
    <w:p w:rsidR="00515DFC" w:rsidRPr="00686357" w:rsidRDefault="00515DFC" w:rsidP="00515DFC">
      <w:pPr>
        <w:jc w:val="both"/>
        <w:rPr>
          <w:b/>
          <w:sz w:val="22"/>
          <w:szCs w:val="22"/>
        </w:rPr>
      </w:pPr>
    </w:p>
    <w:p w:rsidR="00F528CD" w:rsidRDefault="00F528CD" w:rsidP="00F528CD">
      <w:pPr>
        <w:jc w:val="both"/>
        <w:rPr>
          <w:sz w:val="22"/>
          <w:szCs w:val="22"/>
        </w:rPr>
      </w:pPr>
      <w:r>
        <w:rPr>
          <w:sz w:val="22"/>
          <w:szCs w:val="22"/>
        </w:rPr>
        <w:t xml:space="preserve">Projekt je zaměřený na tvorbu a prezentaci marketingového produktu s názvem „S </w:t>
      </w:r>
      <w:proofErr w:type="spellStart"/>
      <w:r>
        <w:rPr>
          <w:sz w:val="22"/>
          <w:szCs w:val="22"/>
        </w:rPr>
        <w:t>Jetíkem</w:t>
      </w:r>
      <w:proofErr w:type="spellEnd"/>
      <w:r>
        <w:rPr>
          <w:sz w:val="22"/>
          <w:szCs w:val="22"/>
        </w:rPr>
        <w:t xml:space="preserve"> do českých hor“ a jeho součástí je motivační soutěž "Po stopách </w:t>
      </w:r>
      <w:proofErr w:type="spellStart"/>
      <w:r>
        <w:rPr>
          <w:sz w:val="22"/>
          <w:szCs w:val="22"/>
        </w:rPr>
        <w:t>Jetíka</w:t>
      </w:r>
      <w:proofErr w:type="spellEnd"/>
      <w:r>
        <w:rPr>
          <w:sz w:val="22"/>
          <w:szCs w:val="22"/>
        </w:rPr>
        <w:t xml:space="preserve"> po českých horách". Prostřednictvím hry </w:t>
      </w:r>
      <w:r w:rsidR="00D72E41">
        <w:rPr>
          <w:sz w:val="22"/>
          <w:szCs w:val="22"/>
        </w:rPr>
        <w:br/>
      </w:r>
      <w:r>
        <w:rPr>
          <w:sz w:val="22"/>
          <w:szCs w:val="22"/>
        </w:rPr>
        <w:t xml:space="preserve">a rozsáhlé propagační kampaně jsou české hory představeny jako ideální místo pro aktivní dovolenou a místo pro "bezpečné dobrodružství a bezpečné poznávání" pro malé i velké návštěvníky. </w:t>
      </w:r>
    </w:p>
    <w:p w:rsidR="00650CFD" w:rsidRDefault="00650CFD" w:rsidP="00650CFD">
      <w:pPr>
        <w:spacing w:before="120"/>
        <w:jc w:val="both"/>
        <w:rPr>
          <w:sz w:val="22"/>
          <w:szCs w:val="22"/>
        </w:rPr>
      </w:pPr>
      <w:r>
        <w:rPr>
          <w:sz w:val="22"/>
          <w:szCs w:val="22"/>
        </w:rPr>
        <w:t xml:space="preserve">Hlavním maskotem produktu i propagační kampaně je </w:t>
      </w:r>
      <w:proofErr w:type="spellStart"/>
      <w:r>
        <w:rPr>
          <w:sz w:val="22"/>
          <w:szCs w:val="22"/>
        </w:rPr>
        <w:t>Jetík</w:t>
      </w:r>
      <w:proofErr w:type="spellEnd"/>
      <w:r>
        <w:rPr>
          <w:sz w:val="22"/>
          <w:szCs w:val="22"/>
        </w:rPr>
        <w:t xml:space="preserve">. Reklamní kampaň byla zacílena především na české návštěvníky a částečně, ve spolupráci s agenturou Czech </w:t>
      </w:r>
      <w:proofErr w:type="spellStart"/>
      <w:r>
        <w:rPr>
          <w:sz w:val="22"/>
          <w:szCs w:val="22"/>
        </w:rPr>
        <w:t>Tourism</w:t>
      </w:r>
      <w:proofErr w:type="spellEnd"/>
      <w:r>
        <w:rPr>
          <w:sz w:val="22"/>
          <w:szCs w:val="22"/>
        </w:rPr>
        <w:t xml:space="preserve">, i na zahraniční klientelu (mezinárodní výstavy a veletrhy CR). </w:t>
      </w:r>
    </w:p>
    <w:p w:rsidR="00650CFD" w:rsidRDefault="00650CFD" w:rsidP="00650CFD">
      <w:pPr>
        <w:spacing w:before="120"/>
        <w:jc w:val="both"/>
      </w:pPr>
      <w:r>
        <w:rPr>
          <w:sz w:val="22"/>
          <w:szCs w:val="22"/>
        </w:rPr>
        <w:lastRenderedPageBreak/>
        <w:t>V rámci dílčích aktivit projektu byla rozvíjena i propagační kampaň zaměřená na děti a mládež. Kampaň propagovala cestovní ruch v horských oblastech po celé ČR ve spojení s prevencí úrazů, správným chováním na horách a ve volné přírodě, a také se zlepšováním povědomí o činnostech Horské služby ČR.</w:t>
      </w:r>
    </w:p>
    <w:p w:rsidR="00650CFD" w:rsidRDefault="00650CFD" w:rsidP="00650CFD">
      <w:pPr>
        <w:spacing w:after="120"/>
        <w:ind w:left="1437"/>
        <w:jc w:val="right"/>
        <w:rPr>
          <w:sz w:val="22"/>
          <w:szCs w:val="22"/>
        </w:rPr>
      </w:pPr>
      <w:r>
        <w:rPr>
          <w:noProof/>
        </w:rPr>
        <w:drawing>
          <wp:anchor distT="0" distB="0" distL="114935" distR="114935" simplePos="0" relativeHeight="251663360" behindDoc="0" locked="0" layoutInCell="1" allowOverlap="1" wp14:anchorId="022EEDEE" wp14:editId="5D6A6926">
            <wp:simplePos x="0" y="0"/>
            <wp:positionH relativeFrom="column">
              <wp:posOffset>494030</wp:posOffset>
            </wp:positionH>
            <wp:positionV relativeFrom="paragraph">
              <wp:posOffset>219075</wp:posOffset>
            </wp:positionV>
            <wp:extent cx="4772025" cy="3655695"/>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72025" cy="36556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650CFD" w:rsidRDefault="00650CFD" w:rsidP="00650CFD">
      <w:pPr>
        <w:spacing w:after="120"/>
        <w:rPr>
          <w:color w:val="000080"/>
          <w:sz w:val="22"/>
          <w:szCs w:val="22"/>
        </w:rPr>
      </w:pPr>
    </w:p>
    <w:p w:rsidR="00A75862" w:rsidRDefault="00A75862" w:rsidP="00760765"/>
    <w:p w:rsidR="00554C03" w:rsidRDefault="00554C03" w:rsidP="00760765"/>
    <w:p w:rsidR="00554C03" w:rsidRDefault="00554C03" w:rsidP="00760765"/>
    <w:p w:rsidR="00554C03" w:rsidRDefault="00554C03" w:rsidP="00760765"/>
    <w:p w:rsidR="00554C03" w:rsidRDefault="00554C03" w:rsidP="00760765"/>
    <w:p w:rsidR="00554C03" w:rsidRDefault="00554C03" w:rsidP="00760765"/>
    <w:p w:rsidR="00554C03" w:rsidRDefault="00554C03" w:rsidP="00760765"/>
    <w:p w:rsidR="00554C03" w:rsidRDefault="00554C03" w:rsidP="00760765"/>
    <w:p w:rsidR="00554C03" w:rsidRDefault="00554C03" w:rsidP="00760765"/>
    <w:p w:rsidR="000F3360" w:rsidRDefault="000F3360" w:rsidP="000F3360">
      <w:bookmarkStart w:id="218" w:name="_Toc351629199"/>
    </w:p>
    <w:p w:rsidR="00A22B3C" w:rsidRPr="004E1BBB" w:rsidRDefault="00A22B3C" w:rsidP="00A22B3C">
      <w:pPr>
        <w:pStyle w:val="Nadpis2"/>
        <w:rPr>
          <w:rFonts w:ascii="Times New Roman" w:hAnsi="Times New Roman"/>
          <w:i w:val="0"/>
        </w:rPr>
      </w:pPr>
      <w:bookmarkStart w:id="219" w:name="_Toc417024885"/>
      <w:r w:rsidRPr="004E1BBB">
        <w:rPr>
          <w:rFonts w:ascii="Times New Roman" w:hAnsi="Times New Roman"/>
          <w:i w:val="0"/>
        </w:rPr>
        <w:t>3.5 Prioritní osa 5 – Národní podpora územního rozvoje</w:t>
      </w:r>
      <w:bookmarkEnd w:id="218"/>
      <w:bookmarkEnd w:id="219"/>
    </w:p>
    <w:p w:rsidR="00A22B3C" w:rsidRDefault="00A22B3C" w:rsidP="00A22B3C">
      <w:pPr>
        <w:jc w:val="both"/>
        <w:rPr>
          <w:sz w:val="22"/>
          <w:szCs w:val="22"/>
        </w:rPr>
      </w:pPr>
      <w:r>
        <w:rPr>
          <w:sz w:val="22"/>
          <w:szCs w:val="22"/>
        </w:rPr>
        <w:t>Cílem intervencí realizovaných prostřednictvím prioritní osy „Národní podpora územního rozvoje“ je vytvoření základního prostředí, na které budou komplementárně navazovat intervence z Regionálních operačních programů. Jednotlivé oblasti intervence mají národní a systémový význam a rozměr. Jedná se o oblasti intervence:</w:t>
      </w:r>
    </w:p>
    <w:p w:rsidR="00A22B3C" w:rsidRDefault="00A22B3C" w:rsidP="00A22B3C">
      <w:pPr>
        <w:jc w:val="both"/>
        <w:rPr>
          <w:sz w:val="22"/>
          <w:szCs w:val="22"/>
        </w:rPr>
      </w:pPr>
    </w:p>
    <w:p w:rsidR="00A22B3C" w:rsidRPr="00B61E8D" w:rsidRDefault="00A22B3C" w:rsidP="002E608B">
      <w:pPr>
        <w:pStyle w:val="Odstavecseseznamem"/>
        <w:numPr>
          <w:ilvl w:val="0"/>
          <w:numId w:val="27"/>
        </w:numPr>
        <w:ind w:left="714" w:hanging="357"/>
        <w:rPr>
          <w:sz w:val="22"/>
          <w:szCs w:val="22"/>
        </w:rPr>
      </w:pPr>
      <w:r w:rsidRPr="00B61E8D">
        <w:rPr>
          <w:sz w:val="22"/>
          <w:szCs w:val="22"/>
        </w:rPr>
        <w:t>5.1 – Národní podpora využití potenciálu kulturního dědictví,</w:t>
      </w:r>
    </w:p>
    <w:p w:rsidR="00A22B3C" w:rsidRPr="00B61E8D" w:rsidRDefault="00A22B3C" w:rsidP="002E608B">
      <w:pPr>
        <w:pStyle w:val="Odstavecseseznamem"/>
        <w:numPr>
          <w:ilvl w:val="0"/>
          <w:numId w:val="27"/>
        </w:numPr>
        <w:ind w:left="714" w:hanging="357"/>
        <w:rPr>
          <w:sz w:val="22"/>
          <w:szCs w:val="22"/>
        </w:rPr>
      </w:pPr>
      <w:r w:rsidRPr="00B61E8D">
        <w:rPr>
          <w:sz w:val="22"/>
          <w:szCs w:val="22"/>
        </w:rPr>
        <w:t>5.2 – Zlepšení prostředí v problémových sídlištích,</w:t>
      </w:r>
    </w:p>
    <w:p w:rsidR="00A22B3C" w:rsidRPr="00B61E8D" w:rsidRDefault="00A22B3C" w:rsidP="002E608B">
      <w:pPr>
        <w:pStyle w:val="Odstavecseseznamem"/>
        <w:numPr>
          <w:ilvl w:val="0"/>
          <w:numId w:val="27"/>
        </w:numPr>
        <w:ind w:left="714" w:hanging="357"/>
        <w:rPr>
          <w:sz w:val="22"/>
          <w:szCs w:val="22"/>
        </w:rPr>
      </w:pPr>
      <w:r w:rsidRPr="00B61E8D">
        <w:rPr>
          <w:sz w:val="22"/>
          <w:szCs w:val="22"/>
        </w:rPr>
        <w:t>5.3 – Modernizace a rozvoj systémů tvorby územních politik</w:t>
      </w:r>
    </w:p>
    <w:p w:rsidR="00A22B3C" w:rsidRDefault="00A22B3C" w:rsidP="00A22B3C">
      <w:pPr>
        <w:ind w:left="426" w:hanging="426"/>
        <w:jc w:val="both"/>
        <w:rPr>
          <w:b/>
          <w:sz w:val="28"/>
          <w:szCs w:val="28"/>
        </w:rPr>
      </w:pPr>
    </w:p>
    <w:p w:rsidR="00A22B3C" w:rsidRPr="007B520E" w:rsidRDefault="00A22B3C" w:rsidP="000F2A6C">
      <w:pPr>
        <w:pStyle w:val="Nadpis3"/>
      </w:pPr>
      <w:bookmarkStart w:id="220" w:name="_Toc351629200"/>
      <w:bookmarkStart w:id="221" w:name="_Toc417024886"/>
      <w:r w:rsidRPr="007B520E">
        <w:t>3.5.1 Dosažený pokrok a jeho analýza</w:t>
      </w:r>
      <w:bookmarkEnd w:id="220"/>
      <w:bookmarkEnd w:id="221"/>
    </w:p>
    <w:p w:rsidR="00A22B3C" w:rsidRDefault="00A22B3C" w:rsidP="00A22B3C">
      <w:pPr>
        <w:ind w:left="426" w:hanging="426"/>
        <w:jc w:val="both"/>
        <w:rPr>
          <w:b/>
          <w:sz w:val="28"/>
          <w:szCs w:val="28"/>
        </w:rPr>
      </w:pPr>
    </w:p>
    <w:p w:rsidR="00A22B3C" w:rsidRDefault="00A53B41" w:rsidP="00A22B3C">
      <w:pPr>
        <w:ind w:left="426" w:hanging="426"/>
        <w:jc w:val="both"/>
        <w:rPr>
          <w:b/>
          <w:sz w:val="24"/>
          <w:szCs w:val="24"/>
        </w:rPr>
      </w:pPr>
      <w:r w:rsidRPr="00536269">
        <w:rPr>
          <w:b/>
          <w:sz w:val="24"/>
          <w:szCs w:val="24"/>
        </w:rPr>
        <w:t>3.5.1. A Informace</w:t>
      </w:r>
      <w:r w:rsidR="00A22B3C" w:rsidRPr="00536269">
        <w:rPr>
          <w:b/>
          <w:sz w:val="24"/>
          <w:szCs w:val="24"/>
        </w:rPr>
        <w:t xml:space="preserve"> o fyzickém a finančním pokroku</w:t>
      </w:r>
    </w:p>
    <w:p w:rsidR="00A22B3C" w:rsidRDefault="00A22B3C" w:rsidP="00A22B3C">
      <w:pPr>
        <w:ind w:left="426" w:hanging="426"/>
        <w:jc w:val="both"/>
        <w:rPr>
          <w:b/>
          <w:sz w:val="24"/>
          <w:szCs w:val="24"/>
        </w:rPr>
      </w:pPr>
    </w:p>
    <w:p w:rsidR="00A22B3C" w:rsidRDefault="00A22B3C" w:rsidP="00A22B3C">
      <w:pPr>
        <w:jc w:val="both"/>
        <w:rPr>
          <w:b/>
          <w:sz w:val="22"/>
          <w:szCs w:val="22"/>
        </w:rPr>
      </w:pPr>
      <w:r>
        <w:rPr>
          <w:b/>
          <w:sz w:val="22"/>
          <w:szCs w:val="22"/>
        </w:rPr>
        <w:t xml:space="preserve">Realizace prioritní osy </w:t>
      </w:r>
    </w:p>
    <w:p w:rsidR="00A22B3C" w:rsidRDefault="00A22B3C" w:rsidP="00A22B3C">
      <w:pPr>
        <w:ind w:left="426" w:hanging="426"/>
        <w:jc w:val="both"/>
        <w:rPr>
          <w:sz w:val="22"/>
          <w:szCs w:val="22"/>
          <w:u w:val="single"/>
        </w:rPr>
      </w:pPr>
    </w:p>
    <w:p w:rsidR="00A22B3C" w:rsidRDefault="00A22B3C" w:rsidP="00A22B3C">
      <w:pPr>
        <w:ind w:left="426" w:hanging="426"/>
        <w:jc w:val="both"/>
        <w:rPr>
          <w:sz w:val="22"/>
          <w:szCs w:val="22"/>
          <w:u w:val="single"/>
        </w:rPr>
      </w:pPr>
      <w:r w:rsidRPr="00F72AFC">
        <w:rPr>
          <w:sz w:val="22"/>
          <w:szCs w:val="22"/>
          <w:u w:val="single"/>
        </w:rPr>
        <w:t>Výzvy</w:t>
      </w:r>
    </w:p>
    <w:p w:rsidR="00CC0B68" w:rsidRDefault="003913B6" w:rsidP="003913B6">
      <w:pPr>
        <w:spacing w:after="120"/>
        <w:jc w:val="both"/>
        <w:rPr>
          <w:sz w:val="22"/>
          <w:szCs w:val="22"/>
        </w:rPr>
      </w:pPr>
      <w:r w:rsidRPr="00555962">
        <w:rPr>
          <w:b/>
          <w:sz w:val="22"/>
          <w:szCs w:val="22"/>
        </w:rPr>
        <w:t>V oblasti intervence 5.</w:t>
      </w:r>
      <w:r>
        <w:rPr>
          <w:b/>
          <w:sz w:val="22"/>
          <w:szCs w:val="22"/>
        </w:rPr>
        <w:t xml:space="preserve">1 </w:t>
      </w:r>
      <w:r w:rsidRPr="007838F3">
        <w:rPr>
          <w:sz w:val="22"/>
          <w:szCs w:val="22"/>
        </w:rPr>
        <w:t>byla vyhlášena na základě průzkumu absorpční kapacity, provedené v březnu 2014 Řídícím orgánem</w:t>
      </w:r>
      <w:r>
        <w:rPr>
          <w:sz w:val="22"/>
          <w:szCs w:val="22"/>
        </w:rPr>
        <w:t xml:space="preserve"> IOP, </w:t>
      </w:r>
      <w:r w:rsidRPr="007838F3">
        <w:rPr>
          <w:sz w:val="22"/>
          <w:szCs w:val="22"/>
        </w:rPr>
        <w:t xml:space="preserve">24. výzva </w:t>
      </w:r>
      <w:r>
        <w:rPr>
          <w:sz w:val="22"/>
          <w:szCs w:val="22"/>
        </w:rPr>
        <w:t>MMR.</w:t>
      </w:r>
      <w:r w:rsidRPr="0027076D">
        <w:rPr>
          <w:sz w:val="22"/>
          <w:szCs w:val="22"/>
        </w:rPr>
        <w:t xml:space="preserve"> </w:t>
      </w:r>
      <w:r w:rsidRPr="007838F3">
        <w:rPr>
          <w:sz w:val="22"/>
          <w:szCs w:val="22"/>
        </w:rPr>
        <w:t xml:space="preserve">Do výzvy bylo předloženo celkem 19 projektových žádosti, jejichž požadavek na finanční prostředky více než dvojnásobně převýšil původní alokaci výzvy. Výzva byla v průběhu hodnocení projektů dvakrát navýšena o úspory z výběrových řízení z projektů realizovaných v oblasti 5.1, celkově o 180 mil. Kč.  </w:t>
      </w:r>
    </w:p>
    <w:p w:rsidR="003B3007" w:rsidRDefault="003913B6" w:rsidP="003913B6">
      <w:pPr>
        <w:spacing w:after="120"/>
        <w:jc w:val="both"/>
        <w:rPr>
          <w:sz w:val="22"/>
          <w:szCs w:val="22"/>
        </w:rPr>
      </w:pPr>
      <w:r w:rsidRPr="007838F3">
        <w:rPr>
          <w:sz w:val="22"/>
          <w:szCs w:val="22"/>
        </w:rPr>
        <w:lastRenderedPageBreak/>
        <w:t>Převis projektů dokládá enormní zájem vlastníků národních kulturních památek  - měst, církví, řádů i fyzických osob - o dotaci na obnovu těchto památek.</w:t>
      </w:r>
    </w:p>
    <w:p w:rsidR="003D6AC5" w:rsidRDefault="003913B6" w:rsidP="003B3007">
      <w:pPr>
        <w:spacing w:after="120"/>
        <w:jc w:val="both"/>
        <w:rPr>
          <w:sz w:val="22"/>
          <w:szCs w:val="22"/>
        </w:rPr>
      </w:pPr>
      <w:r w:rsidRPr="007838F3">
        <w:rPr>
          <w:sz w:val="22"/>
          <w:szCs w:val="22"/>
        </w:rPr>
        <w:t>V průběhu hodnotícího procesu předložených projektových žádostí bylo ve 24. výzvě</w:t>
      </w:r>
      <w:r>
        <w:rPr>
          <w:sz w:val="22"/>
          <w:szCs w:val="22"/>
        </w:rPr>
        <w:t xml:space="preserve"> </w:t>
      </w:r>
      <w:r w:rsidRPr="007838F3">
        <w:rPr>
          <w:sz w:val="22"/>
          <w:szCs w:val="22"/>
        </w:rPr>
        <w:t xml:space="preserve">v roce 2014 doporučeno k podpoře financování celkem 6 projektů. </w:t>
      </w:r>
    </w:p>
    <w:p w:rsidR="003D6AC5" w:rsidRPr="003B3007" w:rsidRDefault="003D6AC5" w:rsidP="00C2589F">
      <w:pPr>
        <w:spacing w:after="120"/>
        <w:jc w:val="both"/>
        <w:rPr>
          <w:sz w:val="22"/>
          <w:szCs w:val="22"/>
        </w:rPr>
      </w:pPr>
      <w:r w:rsidRPr="003D6AC5">
        <w:rPr>
          <w:sz w:val="22"/>
          <w:szCs w:val="22"/>
        </w:rPr>
        <w:t>Jako opatření ke snížení rizika odstoupení projektů v průběhu realizace z důvodu nedostatku času pro dokončení realizace bylo v rámci 24. výzvy požadováno předložení pravomocného stavebního povolení spolu s projektovou žádostí a dále vzhledem k relativně krátké době do konce programového období byla omezena velikost projektů z 300-500 mil. Kč (v předchozích výzvách) na 30-200 mil. Kč.</w:t>
      </w:r>
      <w:r>
        <w:rPr>
          <w:sz w:val="22"/>
          <w:szCs w:val="22"/>
        </w:rPr>
        <w:t xml:space="preserve">  </w:t>
      </w:r>
      <w:r w:rsidRPr="001A0294">
        <w:rPr>
          <w:sz w:val="22"/>
          <w:szCs w:val="22"/>
        </w:rPr>
        <w:t xml:space="preserve"> </w:t>
      </w:r>
    </w:p>
    <w:p w:rsidR="003913B6" w:rsidRDefault="003913B6" w:rsidP="00E37C5A">
      <w:pPr>
        <w:jc w:val="both"/>
        <w:rPr>
          <w:sz w:val="22"/>
          <w:szCs w:val="22"/>
        </w:rPr>
      </w:pPr>
    </w:p>
    <w:p w:rsidR="00A75862" w:rsidRPr="00CD547F" w:rsidRDefault="00A75862" w:rsidP="008A4619">
      <w:pPr>
        <w:jc w:val="both"/>
        <w:rPr>
          <w:sz w:val="22"/>
          <w:szCs w:val="22"/>
        </w:rPr>
      </w:pPr>
      <w:r w:rsidRPr="00555962">
        <w:rPr>
          <w:b/>
          <w:sz w:val="22"/>
          <w:szCs w:val="22"/>
        </w:rPr>
        <w:t>V oblasti intervence 5.2</w:t>
      </w:r>
      <w:r w:rsidRPr="00CD547F">
        <w:rPr>
          <w:sz w:val="22"/>
          <w:szCs w:val="22"/>
        </w:rPr>
        <w:t xml:space="preserve"> po</w:t>
      </w:r>
      <w:r w:rsidR="002838E0">
        <w:rPr>
          <w:sz w:val="22"/>
          <w:szCs w:val="22"/>
        </w:rPr>
        <w:t>kračuje</w:t>
      </w:r>
      <w:r w:rsidRPr="00CD547F">
        <w:rPr>
          <w:sz w:val="22"/>
          <w:szCs w:val="22"/>
        </w:rPr>
        <w:t xml:space="preserve"> kontinuální výzva č. 7</w:t>
      </w:r>
      <w:r w:rsidR="002838E0">
        <w:rPr>
          <w:sz w:val="22"/>
          <w:szCs w:val="22"/>
        </w:rPr>
        <w:t>,</w:t>
      </w:r>
      <w:r w:rsidRPr="00CD547F">
        <w:rPr>
          <w:sz w:val="22"/>
          <w:szCs w:val="22"/>
        </w:rPr>
        <w:t xml:space="preserve"> vyhlášená dne 22. 5. 2009</w:t>
      </w:r>
      <w:r w:rsidR="006A4CF7">
        <w:rPr>
          <w:sz w:val="22"/>
          <w:szCs w:val="22"/>
        </w:rPr>
        <w:t>. Její</w:t>
      </w:r>
      <w:r w:rsidRPr="00CD547F">
        <w:rPr>
          <w:sz w:val="22"/>
          <w:szCs w:val="22"/>
        </w:rPr>
        <w:t xml:space="preserve"> finanční objem byl dne 19. 4. 2013 </w:t>
      </w:r>
      <w:r w:rsidR="002838E0">
        <w:rPr>
          <w:sz w:val="22"/>
          <w:szCs w:val="22"/>
        </w:rPr>
        <w:t>z</w:t>
      </w:r>
      <w:r w:rsidRPr="00CD547F">
        <w:rPr>
          <w:sz w:val="22"/>
          <w:szCs w:val="22"/>
        </w:rPr>
        <w:t>výšen na částku 192 573 322 EUR, tj. 100 % celkové alokace</w:t>
      </w:r>
      <w:r w:rsidR="006A4CF7">
        <w:rPr>
          <w:sz w:val="22"/>
          <w:szCs w:val="22"/>
        </w:rPr>
        <w:t xml:space="preserve"> oblasti intervence 5.2</w:t>
      </w:r>
      <w:r w:rsidRPr="00CD547F">
        <w:rPr>
          <w:sz w:val="22"/>
          <w:szCs w:val="22"/>
        </w:rPr>
        <w:t xml:space="preserve">. </w:t>
      </w:r>
    </w:p>
    <w:p w:rsidR="00A75862" w:rsidRDefault="00A75862" w:rsidP="00E72101">
      <w:pPr>
        <w:autoSpaceDE w:val="0"/>
        <w:autoSpaceDN w:val="0"/>
        <w:adjustRightInd w:val="0"/>
        <w:jc w:val="both"/>
        <w:rPr>
          <w:sz w:val="22"/>
          <w:szCs w:val="22"/>
        </w:rPr>
      </w:pPr>
    </w:p>
    <w:p w:rsidR="007E22C3" w:rsidRDefault="00A75862" w:rsidP="00E72101">
      <w:pPr>
        <w:autoSpaceDE w:val="0"/>
        <w:autoSpaceDN w:val="0"/>
        <w:adjustRightInd w:val="0"/>
        <w:jc w:val="both"/>
        <w:rPr>
          <w:sz w:val="22"/>
          <w:szCs w:val="22"/>
        </w:rPr>
      </w:pPr>
      <w:r w:rsidRPr="00555962">
        <w:rPr>
          <w:b/>
          <w:sz w:val="22"/>
          <w:szCs w:val="22"/>
        </w:rPr>
        <w:t>V oblasti intervence 5.3</w:t>
      </w:r>
      <w:r w:rsidRPr="008252C5">
        <w:rPr>
          <w:sz w:val="22"/>
          <w:szCs w:val="22"/>
        </w:rPr>
        <w:t xml:space="preserve"> </w:t>
      </w:r>
      <w:r w:rsidR="003913B6">
        <w:rPr>
          <w:sz w:val="22"/>
          <w:szCs w:val="22"/>
        </w:rPr>
        <w:t>nebyla v průběhu roku 2014 vyhlášena žádná nová výzva pro příjem projektů</w:t>
      </w:r>
      <w:r w:rsidR="00E5722B">
        <w:rPr>
          <w:sz w:val="22"/>
          <w:szCs w:val="22"/>
        </w:rPr>
        <w:t>.</w:t>
      </w:r>
    </w:p>
    <w:p w:rsidR="003913B6" w:rsidRDefault="003913B6" w:rsidP="0036460E">
      <w:pPr>
        <w:pStyle w:val="Tabulkanzev"/>
        <w:numPr>
          <w:ilvl w:val="0"/>
          <w:numId w:val="0"/>
        </w:numPr>
        <w:jc w:val="left"/>
      </w:pPr>
    </w:p>
    <w:p w:rsidR="00A75862" w:rsidRDefault="00A75862" w:rsidP="0036460E">
      <w:pPr>
        <w:pStyle w:val="Tabulkanzev"/>
      </w:pPr>
      <w:bookmarkStart w:id="222" w:name="_Toc416431854"/>
      <w:r w:rsidRPr="00BA3EDE">
        <w:t>Přehled vyhlášených a probí</w:t>
      </w:r>
      <w:r w:rsidRPr="009026D3">
        <w:t>hajících výzev v </w:t>
      </w:r>
      <w:r w:rsidR="00BA3EDE">
        <w:t>PO</w:t>
      </w:r>
      <w:r w:rsidRPr="009026D3">
        <w:t xml:space="preserve"> 5 v roce 201</w:t>
      </w:r>
      <w:r w:rsidR="00FD0773">
        <w:t>4</w:t>
      </w:r>
      <w:bookmarkEnd w:id="222"/>
    </w:p>
    <w:tbl>
      <w:tblPr>
        <w:tblW w:w="914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3"/>
        <w:gridCol w:w="532"/>
        <w:gridCol w:w="1047"/>
        <w:gridCol w:w="952"/>
        <w:gridCol w:w="992"/>
        <w:gridCol w:w="709"/>
        <w:gridCol w:w="992"/>
        <w:gridCol w:w="567"/>
        <w:gridCol w:w="1134"/>
        <w:gridCol w:w="567"/>
        <w:gridCol w:w="1051"/>
      </w:tblGrid>
      <w:tr w:rsidR="00FD0773" w:rsidRPr="00FD0773" w:rsidTr="001760D2">
        <w:trPr>
          <w:trHeight w:val="1125"/>
        </w:trPr>
        <w:tc>
          <w:tcPr>
            <w:tcW w:w="603" w:type="dxa"/>
            <w:vMerge w:val="restart"/>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Pořadí výzvy</w:t>
            </w:r>
          </w:p>
        </w:tc>
        <w:tc>
          <w:tcPr>
            <w:tcW w:w="532" w:type="dxa"/>
            <w:vMerge w:val="restart"/>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Číslo výzvy</w:t>
            </w:r>
          </w:p>
        </w:tc>
        <w:tc>
          <w:tcPr>
            <w:tcW w:w="1999" w:type="dxa"/>
            <w:gridSpan w:val="2"/>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Podání projektových žádostí</w:t>
            </w:r>
          </w:p>
        </w:tc>
        <w:tc>
          <w:tcPr>
            <w:tcW w:w="992" w:type="dxa"/>
            <w:vMerge w:val="restart"/>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Druh výzvy</w:t>
            </w:r>
          </w:p>
        </w:tc>
        <w:tc>
          <w:tcPr>
            <w:tcW w:w="709" w:type="dxa"/>
            <w:vMerge w:val="restart"/>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Číslo prioritní osy/oblasti podpory</w:t>
            </w:r>
          </w:p>
        </w:tc>
        <w:tc>
          <w:tcPr>
            <w:tcW w:w="992" w:type="dxa"/>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Alokace na výzvu</w:t>
            </w:r>
          </w:p>
        </w:tc>
        <w:tc>
          <w:tcPr>
            <w:tcW w:w="1701" w:type="dxa"/>
            <w:gridSpan w:val="2"/>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Podané žádosti o podporu</w:t>
            </w:r>
          </w:p>
        </w:tc>
        <w:tc>
          <w:tcPr>
            <w:tcW w:w="1618" w:type="dxa"/>
            <w:gridSpan w:val="2"/>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Projekty s vydaným Rozhodnutím/podepsanou Smlouvou</w:t>
            </w:r>
          </w:p>
        </w:tc>
      </w:tr>
      <w:tr w:rsidR="00FD0773" w:rsidRPr="00FD0773" w:rsidTr="001760D2">
        <w:trPr>
          <w:trHeight w:val="1050"/>
        </w:trPr>
        <w:tc>
          <w:tcPr>
            <w:tcW w:w="603" w:type="dxa"/>
            <w:vMerge/>
            <w:shd w:val="clear" w:color="auto" w:fill="C2D69B" w:themeFill="accent3" w:themeFillTint="99"/>
            <w:vAlign w:val="center"/>
            <w:hideMark/>
          </w:tcPr>
          <w:p w:rsidR="00FD0773" w:rsidRPr="00F96E40" w:rsidRDefault="00FD0773" w:rsidP="00FD0773">
            <w:pPr>
              <w:rPr>
                <w:b/>
                <w:bCs/>
                <w:sz w:val="15"/>
                <w:szCs w:val="15"/>
              </w:rPr>
            </w:pPr>
          </w:p>
        </w:tc>
        <w:tc>
          <w:tcPr>
            <w:tcW w:w="532" w:type="dxa"/>
            <w:vMerge/>
            <w:shd w:val="clear" w:color="auto" w:fill="C2D69B" w:themeFill="accent3" w:themeFillTint="99"/>
            <w:vAlign w:val="center"/>
            <w:hideMark/>
          </w:tcPr>
          <w:p w:rsidR="00FD0773" w:rsidRPr="00F96E40" w:rsidRDefault="00FD0773" w:rsidP="00FD0773">
            <w:pPr>
              <w:rPr>
                <w:b/>
                <w:bCs/>
                <w:sz w:val="15"/>
                <w:szCs w:val="15"/>
              </w:rPr>
            </w:pPr>
          </w:p>
        </w:tc>
        <w:tc>
          <w:tcPr>
            <w:tcW w:w="1047" w:type="dxa"/>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Datum zahájení příjmu projektových žádostí</w:t>
            </w:r>
          </w:p>
        </w:tc>
        <w:tc>
          <w:tcPr>
            <w:tcW w:w="952" w:type="dxa"/>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Datum ukončení výzvy</w:t>
            </w:r>
          </w:p>
        </w:tc>
        <w:tc>
          <w:tcPr>
            <w:tcW w:w="992" w:type="dxa"/>
            <w:vMerge/>
            <w:shd w:val="clear" w:color="auto" w:fill="C2D69B" w:themeFill="accent3" w:themeFillTint="99"/>
            <w:vAlign w:val="center"/>
            <w:hideMark/>
          </w:tcPr>
          <w:p w:rsidR="00FD0773" w:rsidRPr="00F96E40" w:rsidRDefault="00FD0773" w:rsidP="00FD0773">
            <w:pPr>
              <w:rPr>
                <w:b/>
                <w:bCs/>
                <w:sz w:val="15"/>
                <w:szCs w:val="15"/>
              </w:rPr>
            </w:pPr>
          </w:p>
        </w:tc>
        <w:tc>
          <w:tcPr>
            <w:tcW w:w="709" w:type="dxa"/>
            <w:vMerge/>
            <w:shd w:val="clear" w:color="auto" w:fill="C2D69B" w:themeFill="accent3" w:themeFillTint="99"/>
            <w:vAlign w:val="center"/>
            <w:hideMark/>
          </w:tcPr>
          <w:p w:rsidR="00FD0773" w:rsidRPr="00F96E40" w:rsidRDefault="00FD0773" w:rsidP="00FD0773">
            <w:pPr>
              <w:rPr>
                <w:b/>
                <w:bCs/>
                <w:sz w:val="15"/>
                <w:szCs w:val="15"/>
              </w:rPr>
            </w:pPr>
          </w:p>
        </w:tc>
        <w:tc>
          <w:tcPr>
            <w:tcW w:w="992" w:type="dxa"/>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 xml:space="preserve">v </w:t>
            </w:r>
            <w:proofErr w:type="gramStart"/>
            <w:r w:rsidRPr="00F96E40">
              <w:rPr>
                <w:b/>
                <w:bCs/>
                <w:sz w:val="15"/>
                <w:szCs w:val="15"/>
              </w:rPr>
              <w:t>EUR</w:t>
            </w:r>
            <w:proofErr w:type="gramEnd"/>
          </w:p>
        </w:tc>
        <w:tc>
          <w:tcPr>
            <w:tcW w:w="567" w:type="dxa"/>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počet</w:t>
            </w:r>
          </w:p>
        </w:tc>
        <w:tc>
          <w:tcPr>
            <w:tcW w:w="1134" w:type="dxa"/>
            <w:shd w:val="clear" w:color="auto" w:fill="C2D69B" w:themeFill="accent3" w:themeFillTint="99"/>
            <w:vAlign w:val="center"/>
            <w:hideMark/>
          </w:tcPr>
          <w:p w:rsidR="00FD0773" w:rsidRPr="00F96E40" w:rsidRDefault="00FD0773" w:rsidP="00FD0773">
            <w:pPr>
              <w:jc w:val="center"/>
              <w:rPr>
                <w:b/>
                <w:bCs/>
                <w:sz w:val="15"/>
                <w:szCs w:val="15"/>
              </w:rPr>
            </w:pPr>
            <w:r w:rsidRPr="00F96E40">
              <w:rPr>
                <w:b/>
                <w:bCs/>
                <w:sz w:val="15"/>
                <w:szCs w:val="15"/>
              </w:rPr>
              <w:t xml:space="preserve">v </w:t>
            </w:r>
            <w:proofErr w:type="gramStart"/>
            <w:r w:rsidRPr="00F96E40">
              <w:rPr>
                <w:b/>
                <w:bCs/>
                <w:sz w:val="15"/>
                <w:szCs w:val="15"/>
              </w:rPr>
              <w:t>EUR</w:t>
            </w:r>
            <w:proofErr w:type="gramEnd"/>
          </w:p>
        </w:tc>
        <w:tc>
          <w:tcPr>
            <w:tcW w:w="567" w:type="dxa"/>
            <w:shd w:val="clear" w:color="auto" w:fill="C2D69B" w:themeFill="accent3" w:themeFillTint="99"/>
            <w:noWrap/>
            <w:vAlign w:val="center"/>
            <w:hideMark/>
          </w:tcPr>
          <w:p w:rsidR="00FD0773" w:rsidRPr="00F96E40" w:rsidRDefault="00FD0773" w:rsidP="00FD0773">
            <w:pPr>
              <w:jc w:val="center"/>
              <w:rPr>
                <w:b/>
                <w:bCs/>
                <w:sz w:val="15"/>
                <w:szCs w:val="15"/>
              </w:rPr>
            </w:pPr>
            <w:r w:rsidRPr="00F96E40">
              <w:rPr>
                <w:b/>
                <w:bCs/>
                <w:sz w:val="15"/>
                <w:szCs w:val="15"/>
              </w:rPr>
              <w:t xml:space="preserve">počet </w:t>
            </w:r>
          </w:p>
        </w:tc>
        <w:tc>
          <w:tcPr>
            <w:tcW w:w="1051" w:type="dxa"/>
            <w:shd w:val="clear" w:color="auto" w:fill="C2D69B" w:themeFill="accent3" w:themeFillTint="99"/>
            <w:noWrap/>
            <w:vAlign w:val="center"/>
            <w:hideMark/>
          </w:tcPr>
          <w:p w:rsidR="00FD0773" w:rsidRPr="00F96E40" w:rsidRDefault="00FD0773" w:rsidP="00FD0773">
            <w:pPr>
              <w:jc w:val="center"/>
              <w:rPr>
                <w:b/>
                <w:bCs/>
                <w:sz w:val="15"/>
                <w:szCs w:val="15"/>
              </w:rPr>
            </w:pPr>
            <w:r w:rsidRPr="00F96E40">
              <w:rPr>
                <w:b/>
                <w:bCs/>
                <w:sz w:val="15"/>
                <w:szCs w:val="15"/>
              </w:rPr>
              <w:t xml:space="preserve">v </w:t>
            </w:r>
            <w:proofErr w:type="gramStart"/>
            <w:r w:rsidRPr="00F96E40">
              <w:rPr>
                <w:b/>
                <w:bCs/>
                <w:sz w:val="15"/>
                <w:szCs w:val="15"/>
              </w:rPr>
              <w:t>EUR</w:t>
            </w:r>
            <w:proofErr w:type="gramEnd"/>
          </w:p>
        </w:tc>
      </w:tr>
      <w:tr w:rsidR="00FD0773" w:rsidRPr="00FD0773" w:rsidTr="001760D2">
        <w:trPr>
          <w:trHeight w:val="300"/>
        </w:trPr>
        <w:tc>
          <w:tcPr>
            <w:tcW w:w="603"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16</w:t>
            </w:r>
          </w:p>
        </w:tc>
        <w:tc>
          <w:tcPr>
            <w:tcW w:w="532"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07</w:t>
            </w:r>
          </w:p>
        </w:tc>
        <w:tc>
          <w:tcPr>
            <w:tcW w:w="1047" w:type="dxa"/>
            <w:shd w:val="clear" w:color="000000" w:fill="FFFFFF"/>
            <w:vAlign w:val="center"/>
            <w:hideMark/>
          </w:tcPr>
          <w:p w:rsidR="00FD0773" w:rsidRPr="00F96E40" w:rsidRDefault="0036460E" w:rsidP="00FD0773">
            <w:pPr>
              <w:jc w:val="center"/>
              <w:rPr>
                <w:color w:val="000000"/>
                <w:sz w:val="15"/>
                <w:szCs w:val="15"/>
              </w:rPr>
            </w:pPr>
            <w:r w:rsidRPr="00F96E40">
              <w:rPr>
                <w:color w:val="000000"/>
                <w:sz w:val="15"/>
                <w:szCs w:val="15"/>
              </w:rPr>
              <w:t>1. 7. 2009</w:t>
            </w:r>
          </w:p>
        </w:tc>
        <w:tc>
          <w:tcPr>
            <w:tcW w:w="952" w:type="dxa"/>
            <w:shd w:val="clear" w:color="000000" w:fill="FFFFFF"/>
            <w:vAlign w:val="center"/>
            <w:hideMark/>
          </w:tcPr>
          <w:p w:rsidR="00FD0773" w:rsidRPr="00F96E40" w:rsidRDefault="001760D2" w:rsidP="00FD0773">
            <w:pPr>
              <w:jc w:val="center"/>
              <w:rPr>
                <w:color w:val="000000"/>
                <w:sz w:val="15"/>
                <w:szCs w:val="15"/>
              </w:rPr>
            </w:pPr>
            <w:r w:rsidRPr="00F96E40">
              <w:rPr>
                <w:color w:val="000000"/>
                <w:sz w:val="15"/>
                <w:szCs w:val="15"/>
              </w:rPr>
              <w:t>31. 12. 2015</w:t>
            </w:r>
          </w:p>
        </w:tc>
        <w:tc>
          <w:tcPr>
            <w:tcW w:w="992"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kontinuální</w:t>
            </w:r>
          </w:p>
        </w:tc>
        <w:tc>
          <w:tcPr>
            <w:tcW w:w="709" w:type="dxa"/>
            <w:shd w:val="clear" w:color="000000" w:fill="FFFFFF"/>
            <w:vAlign w:val="center"/>
            <w:hideMark/>
          </w:tcPr>
          <w:p w:rsidR="00FD0773" w:rsidRPr="00F96E40" w:rsidRDefault="00FD0773" w:rsidP="00FD0773">
            <w:pPr>
              <w:jc w:val="center"/>
              <w:rPr>
                <w:color w:val="000000"/>
                <w:sz w:val="15"/>
                <w:szCs w:val="15"/>
              </w:rPr>
            </w:pPr>
            <w:r w:rsidRPr="00F96E40">
              <w:rPr>
                <w:color w:val="000000"/>
                <w:sz w:val="15"/>
                <w:szCs w:val="15"/>
              </w:rPr>
              <w:t>5.2</w:t>
            </w:r>
          </w:p>
        </w:tc>
        <w:tc>
          <w:tcPr>
            <w:tcW w:w="992"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173 627 130</w:t>
            </w:r>
          </w:p>
        </w:tc>
        <w:tc>
          <w:tcPr>
            <w:tcW w:w="567"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1 487</w:t>
            </w:r>
          </w:p>
        </w:tc>
        <w:tc>
          <w:tcPr>
            <w:tcW w:w="1134"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222 081 658</w:t>
            </w:r>
          </w:p>
        </w:tc>
        <w:tc>
          <w:tcPr>
            <w:tcW w:w="567" w:type="dxa"/>
            <w:shd w:val="clear" w:color="000000" w:fill="FFFFFF"/>
            <w:vAlign w:val="center"/>
            <w:hideMark/>
          </w:tcPr>
          <w:p w:rsidR="00FD0773" w:rsidRPr="00F96E40" w:rsidRDefault="00FD0773" w:rsidP="00FD0773">
            <w:pPr>
              <w:jc w:val="center"/>
              <w:rPr>
                <w:color w:val="000000"/>
                <w:sz w:val="15"/>
                <w:szCs w:val="15"/>
              </w:rPr>
            </w:pPr>
            <w:r w:rsidRPr="00F96E40">
              <w:rPr>
                <w:color w:val="000000"/>
                <w:sz w:val="15"/>
                <w:szCs w:val="15"/>
              </w:rPr>
              <w:t>1 440</w:t>
            </w:r>
          </w:p>
        </w:tc>
        <w:tc>
          <w:tcPr>
            <w:tcW w:w="1051"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198 898 311</w:t>
            </w:r>
          </w:p>
        </w:tc>
      </w:tr>
      <w:tr w:rsidR="00FD0773" w:rsidRPr="00FD0773" w:rsidTr="001760D2">
        <w:trPr>
          <w:trHeight w:val="300"/>
        </w:trPr>
        <w:tc>
          <w:tcPr>
            <w:tcW w:w="603"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72</w:t>
            </w:r>
          </w:p>
        </w:tc>
        <w:tc>
          <w:tcPr>
            <w:tcW w:w="532"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24</w:t>
            </w:r>
          </w:p>
        </w:tc>
        <w:tc>
          <w:tcPr>
            <w:tcW w:w="1047" w:type="dxa"/>
            <w:shd w:val="clear" w:color="000000" w:fill="FFFFFF"/>
            <w:vAlign w:val="center"/>
            <w:hideMark/>
          </w:tcPr>
          <w:p w:rsidR="00FD0773" w:rsidRPr="00F96E40" w:rsidRDefault="0036460E" w:rsidP="00FD0773">
            <w:pPr>
              <w:jc w:val="center"/>
              <w:rPr>
                <w:color w:val="000000"/>
                <w:sz w:val="15"/>
                <w:szCs w:val="15"/>
              </w:rPr>
            </w:pPr>
            <w:r w:rsidRPr="00F96E40">
              <w:rPr>
                <w:color w:val="000000"/>
                <w:sz w:val="15"/>
                <w:szCs w:val="15"/>
              </w:rPr>
              <w:t>25. 4. 2014</w:t>
            </w:r>
          </w:p>
        </w:tc>
        <w:tc>
          <w:tcPr>
            <w:tcW w:w="952" w:type="dxa"/>
            <w:shd w:val="clear" w:color="000000" w:fill="FFFFFF"/>
            <w:vAlign w:val="center"/>
            <w:hideMark/>
          </w:tcPr>
          <w:p w:rsidR="00FD0773" w:rsidRPr="00F96E40" w:rsidRDefault="001760D2" w:rsidP="00FD0773">
            <w:pPr>
              <w:jc w:val="center"/>
              <w:rPr>
                <w:color w:val="000000"/>
                <w:sz w:val="15"/>
                <w:szCs w:val="15"/>
              </w:rPr>
            </w:pPr>
            <w:r w:rsidRPr="00F96E40">
              <w:rPr>
                <w:color w:val="000000"/>
                <w:sz w:val="15"/>
                <w:szCs w:val="15"/>
              </w:rPr>
              <w:t>30. 6. 2014</w:t>
            </w:r>
          </w:p>
        </w:tc>
        <w:tc>
          <w:tcPr>
            <w:tcW w:w="992"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kontinuální</w:t>
            </w:r>
          </w:p>
        </w:tc>
        <w:tc>
          <w:tcPr>
            <w:tcW w:w="709" w:type="dxa"/>
            <w:shd w:val="clear" w:color="000000" w:fill="FFFFFF"/>
            <w:vAlign w:val="center"/>
            <w:hideMark/>
          </w:tcPr>
          <w:p w:rsidR="00FD0773" w:rsidRPr="00F96E40" w:rsidRDefault="00FD0773" w:rsidP="00FD0773">
            <w:pPr>
              <w:jc w:val="center"/>
              <w:rPr>
                <w:color w:val="000000"/>
                <w:sz w:val="15"/>
                <w:szCs w:val="15"/>
              </w:rPr>
            </w:pPr>
            <w:r w:rsidRPr="00F96E40">
              <w:rPr>
                <w:color w:val="000000"/>
                <w:sz w:val="15"/>
                <w:szCs w:val="15"/>
              </w:rPr>
              <w:t>5.1</w:t>
            </w:r>
          </w:p>
        </w:tc>
        <w:tc>
          <w:tcPr>
            <w:tcW w:w="992"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21 494 518</w:t>
            </w:r>
          </w:p>
        </w:tc>
        <w:tc>
          <w:tcPr>
            <w:tcW w:w="567"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19</w:t>
            </w:r>
          </w:p>
        </w:tc>
        <w:tc>
          <w:tcPr>
            <w:tcW w:w="1134"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53 481 045</w:t>
            </w:r>
          </w:p>
        </w:tc>
        <w:tc>
          <w:tcPr>
            <w:tcW w:w="567" w:type="dxa"/>
            <w:shd w:val="clear" w:color="000000" w:fill="FFFFFF"/>
            <w:vAlign w:val="center"/>
            <w:hideMark/>
          </w:tcPr>
          <w:p w:rsidR="00FD0773" w:rsidRPr="00F96E40" w:rsidRDefault="00FD0773" w:rsidP="00FD0773">
            <w:pPr>
              <w:jc w:val="center"/>
              <w:rPr>
                <w:color w:val="000000"/>
                <w:sz w:val="15"/>
                <w:szCs w:val="15"/>
              </w:rPr>
            </w:pPr>
            <w:r w:rsidRPr="00F96E40">
              <w:rPr>
                <w:color w:val="000000"/>
                <w:sz w:val="15"/>
                <w:szCs w:val="15"/>
              </w:rPr>
              <w:t>6</w:t>
            </w:r>
          </w:p>
        </w:tc>
        <w:tc>
          <w:tcPr>
            <w:tcW w:w="1051" w:type="dxa"/>
            <w:shd w:val="clear" w:color="000000" w:fill="FFFFFF"/>
            <w:noWrap/>
            <w:vAlign w:val="center"/>
            <w:hideMark/>
          </w:tcPr>
          <w:p w:rsidR="00FD0773" w:rsidRPr="00F96E40" w:rsidRDefault="00FD0773" w:rsidP="00FD0773">
            <w:pPr>
              <w:jc w:val="center"/>
              <w:rPr>
                <w:color w:val="000000"/>
                <w:sz w:val="15"/>
                <w:szCs w:val="15"/>
              </w:rPr>
            </w:pPr>
            <w:r w:rsidRPr="00F96E40">
              <w:rPr>
                <w:color w:val="000000"/>
                <w:sz w:val="15"/>
                <w:szCs w:val="15"/>
              </w:rPr>
              <w:t>16 611 231</w:t>
            </w:r>
          </w:p>
        </w:tc>
      </w:tr>
      <w:tr w:rsidR="00FD0773" w:rsidRPr="00FD0773" w:rsidTr="001760D2">
        <w:trPr>
          <w:trHeight w:val="300"/>
        </w:trPr>
        <w:tc>
          <w:tcPr>
            <w:tcW w:w="1135" w:type="dxa"/>
            <w:gridSpan w:val="2"/>
            <w:shd w:val="clear" w:color="000000" w:fill="BFBFBF"/>
            <w:noWrap/>
            <w:vAlign w:val="bottom"/>
            <w:hideMark/>
          </w:tcPr>
          <w:p w:rsidR="00FD0773" w:rsidRPr="00F96E40" w:rsidRDefault="00FD0773" w:rsidP="00FD0773">
            <w:pPr>
              <w:rPr>
                <w:b/>
                <w:bCs/>
                <w:sz w:val="15"/>
                <w:szCs w:val="15"/>
              </w:rPr>
            </w:pPr>
            <w:r w:rsidRPr="00F96E40">
              <w:rPr>
                <w:b/>
                <w:bCs/>
                <w:sz w:val="15"/>
                <w:szCs w:val="15"/>
              </w:rPr>
              <w:t>Celkem PO 5</w:t>
            </w:r>
          </w:p>
        </w:tc>
        <w:tc>
          <w:tcPr>
            <w:tcW w:w="1047" w:type="dxa"/>
            <w:shd w:val="clear" w:color="000000" w:fill="BFBFBF"/>
            <w:noWrap/>
            <w:vAlign w:val="bottom"/>
            <w:hideMark/>
          </w:tcPr>
          <w:p w:rsidR="00FD0773" w:rsidRPr="00F96E40" w:rsidRDefault="00FD0773" w:rsidP="00FD0773">
            <w:pPr>
              <w:jc w:val="right"/>
              <w:rPr>
                <w:b/>
                <w:bCs/>
                <w:sz w:val="15"/>
                <w:szCs w:val="15"/>
              </w:rPr>
            </w:pPr>
            <w:r w:rsidRPr="00F96E40">
              <w:rPr>
                <w:b/>
                <w:bCs/>
                <w:sz w:val="15"/>
                <w:szCs w:val="15"/>
              </w:rPr>
              <w:t> </w:t>
            </w:r>
          </w:p>
        </w:tc>
        <w:tc>
          <w:tcPr>
            <w:tcW w:w="952" w:type="dxa"/>
            <w:shd w:val="clear" w:color="000000" w:fill="BFBFBF"/>
            <w:noWrap/>
            <w:vAlign w:val="bottom"/>
            <w:hideMark/>
          </w:tcPr>
          <w:p w:rsidR="00FD0773" w:rsidRPr="00F96E40" w:rsidRDefault="00FD0773" w:rsidP="00FD0773">
            <w:pPr>
              <w:jc w:val="right"/>
              <w:rPr>
                <w:b/>
                <w:bCs/>
                <w:sz w:val="15"/>
                <w:szCs w:val="15"/>
              </w:rPr>
            </w:pPr>
            <w:r w:rsidRPr="00F96E40">
              <w:rPr>
                <w:b/>
                <w:bCs/>
                <w:sz w:val="15"/>
                <w:szCs w:val="15"/>
              </w:rPr>
              <w:t> </w:t>
            </w:r>
          </w:p>
        </w:tc>
        <w:tc>
          <w:tcPr>
            <w:tcW w:w="992" w:type="dxa"/>
            <w:shd w:val="clear" w:color="000000" w:fill="BFBFBF"/>
            <w:noWrap/>
            <w:vAlign w:val="bottom"/>
            <w:hideMark/>
          </w:tcPr>
          <w:p w:rsidR="00FD0773" w:rsidRPr="00F96E40" w:rsidRDefault="00FD0773" w:rsidP="00FD0773">
            <w:pPr>
              <w:rPr>
                <w:b/>
                <w:bCs/>
                <w:sz w:val="15"/>
                <w:szCs w:val="15"/>
              </w:rPr>
            </w:pPr>
            <w:r w:rsidRPr="00F96E40">
              <w:rPr>
                <w:b/>
                <w:bCs/>
                <w:sz w:val="15"/>
                <w:szCs w:val="15"/>
              </w:rPr>
              <w:t> </w:t>
            </w:r>
          </w:p>
        </w:tc>
        <w:tc>
          <w:tcPr>
            <w:tcW w:w="709" w:type="dxa"/>
            <w:shd w:val="clear" w:color="000000" w:fill="BFBFBF"/>
            <w:noWrap/>
            <w:vAlign w:val="bottom"/>
            <w:hideMark/>
          </w:tcPr>
          <w:p w:rsidR="00FD0773" w:rsidRPr="00F96E40" w:rsidRDefault="00FD0773" w:rsidP="00FD0773">
            <w:pPr>
              <w:rPr>
                <w:b/>
                <w:bCs/>
                <w:sz w:val="15"/>
                <w:szCs w:val="15"/>
              </w:rPr>
            </w:pPr>
            <w:r w:rsidRPr="00F96E40">
              <w:rPr>
                <w:b/>
                <w:bCs/>
                <w:sz w:val="15"/>
                <w:szCs w:val="15"/>
              </w:rPr>
              <w:t> </w:t>
            </w:r>
          </w:p>
        </w:tc>
        <w:tc>
          <w:tcPr>
            <w:tcW w:w="992" w:type="dxa"/>
            <w:shd w:val="clear" w:color="000000" w:fill="BFBFBF"/>
            <w:noWrap/>
            <w:vAlign w:val="bottom"/>
            <w:hideMark/>
          </w:tcPr>
          <w:p w:rsidR="00FD0773" w:rsidRPr="00F96E40" w:rsidRDefault="00FD0773" w:rsidP="00FD0773">
            <w:pPr>
              <w:jc w:val="right"/>
              <w:rPr>
                <w:b/>
                <w:bCs/>
                <w:sz w:val="15"/>
                <w:szCs w:val="15"/>
              </w:rPr>
            </w:pPr>
            <w:r w:rsidRPr="00F96E40">
              <w:rPr>
                <w:b/>
                <w:bCs/>
                <w:sz w:val="15"/>
                <w:szCs w:val="15"/>
              </w:rPr>
              <w:t>195 121 648</w:t>
            </w:r>
          </w:p>
        </w:tc>
        <w:tc>
          <w:tcPr>
            <w:tcW w:w="567" w:type="dxa"/>
            <w:shd w:val="clear" w:color="000000" w:fill="BFBFBF"/>
            <w:noWrap/>
            <w:vAlign w:val="bottom"/>
            <w:hideMark/>
          </w:tcPr>
          <w:p w:rsidR="00FD0773" w:rsidRPr="00F96E40" w:rsidRDefault="00FD0773" w:rsidP="00FD0773">
            <w:pPr>
              <w:jc w:val="right"/>
              <w:rPr>
                <w:b/>
                <w:bCs/>
                <w:sz w:val="15"/>
                <w:szCs w:val="15"/>
              </w:rPr>
            </w:pPr>
            <w:r w:rsidRPr="00F96E40">
              <w:rPr>
                <w:b/>
                <w:bCs/>
                <w:sz w:val="15"/>
                <w:szCs w:val="15"/>
              </w:rPr>
              <w:t>1 506</w:t>
            </w:r>
          </w:p>
        </w:tc>
        <w:tc>
          <w:tcPr>
            <w:tcW w:w="1134" w:type="dxa"/>
            <w:shd w:val="clear" w:color="000000" w:fill="BFBFBF"/>
            <w:noWrap/>
            <w:vAlign w:val="bottom"/>
            <w:hideMark/>
          </w:tcPr>
          <w:p w:rsidR="00FD0773" w:rsidRPr="00F96E40" w:rsidRDefault="00FD0773" w:rsidP="00FD0773">
            <w:pPr>
              <w:jc w:val="right"/>
              <w:rPr>
                <w:b/>
                <w:bCs/>
                <w:sz w:val="15"/>
                <w:szCs w:val="15"/>
              </w:rPr>
            </w:pPr>
            <w:r w:rsidRPr="00F96E40">
              <w:rPr>
                <w:b/>
                <w:bCs/>
                <w:sz w:val="15"/>
                <w:szCs w:val="15"/>
              </w:rPr>
              <w:t>275 562 703</w:t>
            </w:r>
          </w:p>
        </w:tc>
        <w:tc>
          <w:tcPr>
            <w:tcW w:w="567" w:type="dxa"/>
            <w:shd w:val="clear" w:color="000000" w:fill="BFBFBF"/>
            <w:noWrap/>
            <w:vAlign w:val="bottom"/>
            <w:hideMark/>
          </w:tcPr>
          <w:p w:rsidR="00FD0773" w:rsidRPr="00F96E40" w:rsidRDefault="00FD0773" w:rsidP="00FD0773">
            <w:pPr>
              <w:jc w:val="right"/>
              <w:rPr>
                <w:b/>
                <w:bCs/>
                <w:sz w:val="15"/>
                <w:szCs w:val="15"/>
              </w:rPr>
            </w:pPr>
            <w:r w:rsidRPr="00F96E40">
              <w:rPr>
                <w:b/>
                <w:bCs/>
                <w:sz w:val="15"/>
                <w:szCs w:val="15"/>
              </w:rPr>
              <w:t>1 446</w:t>
            </w:r>
          </w:p>
        </w:tc>
        <w:tc>
          <w:tcPr>
            <w:tcW w:w="1051" w:type="dxa"/>
            <w:shd w:val="clear" w:color="000000" w:fill="BFBFBF"/>
            <w:noWrap/>
            <w:vAlign w:val="bottom"/>
            <w:hideMark/>
          </w:tcPr>
          <w:p w:rsidR="00FD0773" w:rsidRPr="00F96E40" w:rsidRDefault="00FD0773" w:rsidP="00FD0773">
            <w:pPr>
              <w:jc w:val="right"/>
              <w:rPr>
                <w:b/>
                <w:bCs/>
                <w:sz w:val="15"/>
                <w:szCs w:val="15"/>
              </w:rPr>
            </w:pPr>
            <w:r w:rsidRPr="00F96E40">
              <w:rPr>
                <w:b/>
                <w:bCs/>
                <w:sz w:val="15"/>
                <w:szCs w:val="15"/>
              </w:rPr>
              <w:t>215 509 542</w:t>
            </w:r>
          </w:p>
        </w:tc>
      </w:tr>
    </w:tbl>
    <w:p w:rsidR="00A75862" w:rsidRPr="00D95A18" w:rsidRDefault="00A75862" w:rsidP="00C0213C">
      <w:pPr>
        <w:spacing w:before="60"/>
        <w:rPr>
          <w:i/>
          <w:sz w:val="18"/>
          <w:szCs w:val="18"/>
        </w:rPr>
      </w:pPr>
      <w:r w:rsidRPr="00D95A18">
        <w:rPr>
          <w:i/>
          <w:sz w:val="18"/>
          <w:szCs w:val="18"/>
        </w:rPr>
        <w:t xml:space="preserve">Zdroj: MSC2007 ke dni </w:t>
      </w:r>
      <w:r w:rsidR="0036460E">
        <w:rPr>
          <w:i/>
          <w:sz w:val="18"/>
          <w:szCs w:val="18"/>
        </w:rPr>
        <w:t>31</w:t>
      </w:r>
      <w:r w:rsidR="0036460E" w:rsidRPr="00D95A18">
        <w:rPr>
          <w:i/>
          <w:sz w:val="18"/>
          <w:szCs w:val="18"/>
        </w:rPr>
        <w:t>. 12. 2014</w:t>
      </w:r>
    </w:p>
    <w:p w:rsidR="00A75862" w:rsidRPr="00D95A18" w:rsidRDefault="00A75862" w:rsidP="00C0213C">
      <w:pPr>
        <w:rPr>
          <w:i/>
          <w:sz w:val="18"/>
          <w:szCs w:val="18"/>
        </w:rPr>
      </w:pPr>
      <w:r w:rsidRPr="00D95A18">
        <w:rPr>
          <w:i/>
          <w:sz w:val="18"/>
          <w:szCs w:val="18"/>
        </w:rPr>
        <w:t xml:space="preserve">Kurz CZK/EUR: </w:t>
      </w:r>
      <w:r w:rsidR="004B60DC">
        <w:rPr>
          <w:i/>
          <w:sz w:val="18"/>
          <w:szCs w:val="18"/>
        </w:rPr>
        <w:t>27,728</w:t>
      </w:r>
    </w:p>
    <w:p w:rsidR="00A455C6" w:rsidRDefault="00A75862" w:rsidP="00184E0A">
      <w:pPr>
        <w:jc w:val="both"/>
        <w:rPr>
          <w:sz w:val="22"/>
          <w:szCs w:val="22"/>
          <w:u w:val="single"/>
        </w:rPr>
      </w:pPr>
      <w:r w:rsidRPr="00D95A18">
        <w:rPr>
          <w:i/>
          <w:sz w:val="18"/>
          <w:szCs w:val="18"/>
        </w:rPr>
        <w:t>Zdroj financování: veřejné prostředky celkem</w:t>
      </w:r>
    </w:p>
    <w:p w:rsidR="00A455C6" w:rsidRDefault="00A455C6" w:rsidP="00184E0A">
      <w:pPr>
        <w:jc w:val="both"/>
        <w:rPr>
          <w:sz w:val="22"/>
          <w:szCs w:val="22"/>
          <w:u w:val="single"/>
        </w:rPr>
        <w:sectPr w:rsidR="00A455C6" w:rsidSect="003F08D8">
          <w:pgSz w:w="11906" w:h="16838"/>
          <w:pgMar w:top="1417" w:right="1417" w:bottom="1417" w:left="1417" w:header="708" w:footer="708" w:gutter="0"/>
          <w:cols w:space="708"/>
          <w:docGrid w:linePitch="272"/>
        </w:sectPr>
      </w:pPr>
    </w:p>
    <w:p w:rsidR="00A75862" w:rsidRDefault="00A75862" w:rsidP="00184E0A">
      <w:pPr>
        <w:jc w:val="both"/>
        <w:rPr>
          <w:sz w:val="22"/>
          <w:szCs w:val="22"/>
          <w:u w:val="single"/>
        </w:rPr>
      </w:pPr>
      <w:r w:rsidRPr="00510E1B">
        <w:rPr>
          <w:sz w:val="22"/>
          <w:szCs w:val="22"/>
          <w:u w:val="single"/>
        </w:rPr>
        <w:lastRenderedPageBreak/>
        <w:t>Indikátory</w:t>
      </w:r>
    </w:p>
    <w:p w:rsidR="00AC689E" w:rsidRDefault="00AC689E" w:rsidP="005C1034">
      <w:pPr>
        <w:rPr>
          <w:b/>
          <w:sz w:val="22"/>
          <w:szCs w:val="22"/>
        </w:rPr>
      </w:pPr>
    </w:p>
    <w:p w:rsidR="00A75862" w:rsidRPr="00555962" w:rsidRDefault="00A75862" w:rsidP="005C1034">
      <w:pPr>
        <w:rPr>
          <w:b/>
          <w:sz w:val="22"/>
          <w:szCs w:val="22"/>
        </w:rPr>
      </w:pPr>
      <w:r w:rsidRPr="00555962">
        <w:rPr>
          <w:b/>
          <w:sz w:val="22"/>
          <w:szCs w:val="22"/>
        </w:rPr>
        <w:t>Oblast intervence 5.1</w:t>
      </w:r>
    </w:p>
    <w:p w:rsidR="00652C49" w:rsidRDefault="00652C49" w:rsidP="00652C49">
      <w:pPr>
        <w:jc w:val="both"/>
        <w:rPr>
          <w:sz w:val="22"/>
          <w:szCs w:val="22"/>
        </w:rPr>
      </w:pPr>
      <w:r w:rsidRPr="00A455C6">
        <w:rPr>
          <w:b/>
          <w:sz w:val="22"/>
          <w:szCs w:val="22"/>
        </w:rPr>
        <w:t>Indikátor výstupu 410401 Počet zregenerovaných nemovitých kulturních památek</w:t>
      </w:r>
      <w:r w:rsidRPr="00652C49">
        <w:rPr>
          <w:sz w:val="22"/>
          <w:szCs w:val="22"/>
        </w:rPr>
        <w:t xml:space="preserve"> stoupl z 19 v roce 2013 na 31 v roce 2014 zejména díky ukončení projektu Revitalizace židovských památek v ČR, který se skládal z obnovy 13 památek židovské kultury.</w:t>
      </w:r>
    </w:p>
    <w:p w:rsidR="00A455C6" w:rsidRPr="00652C49" w:rsidRDefault="00A455C6" w:rsidP="00652C49">
      <w:pPr>
        <w:jc w:val="both"/>
        <w:rPr>
          <w:sz w:val="22"/>
          <w:szCs w:val="22"/>
        </w:rPr>
      </w:pPr>
    </w:p>
    <w:p w:rsidR="00652C49" w:rsidRDefault="00652C49" w:rsidP="00652C49">
      <w:pPr>
        <w:jc w:val="both"/>
        <w:rPr>
          <w:sz w:val="22"/>
          <w:szCs w:val="22"/>
        </w:rPr>
      </w:pPr>
      <w:r w:rsidRPr="00A455C6">
        <w:rPr>
          <w:b/>
          <w:sz w:val="22"/>
          <w:szCs w:val="22"/>
        </w:rPr>
        <w:t>Indikátor výstupu 410402 Počet nově vybudovaných či zmodernizovaných kulturních</w:t>
      </w:r>
      <w:r w:rsidRPr="00652C49">
        <w:rPr>
          <w:sz w:val="22"/>
          <w:szCs w:val="22"/>
        </w:rPr>
        <w:t xml:space="preserve"> zařízení stoupl v roce 2014 na 1 díky ukončení projektu z aktivity 5.1c Centrum sklářského umění Huť František v Sázavě.</w:t>
      </w:r>
    </w:p>
    <w:p w:rsidR="00652C49" w:rsidRPr="00652C49" w:rsidRDefault="00652C49" w:rsidP="00652C49">
      <w:pPr>
        <w:jc w:val="both"/>
        <w:rPr>
          <w:sz w:val="22"/>
          <w:szCs w:val="22"/>
        </w:rPr>
      </w:pPr>
    </w:p>
    <w:p w:rsidR="00652C49" w:rsidRDefault="00652C49" w:rsidP="00652C49">
      <w:pPr>
        <w:jc w:val="both"/>
        <w:rPr>
          <w:sz w:val="22"/>
          <w:szCs w:val="22"/>
        </w:rPr>
      </w:pPr>
      <w:r w:rsidRPr="00A455C6">
        <w:rPr>
          <w:b/>
          <w:sz w:val="22"/>
          <w:szCs w:val="22"/>
        </w:rPr>
        <w:t>Indikátor výsledku 410404 Počet vytvořených metodik v oblasti kulturního dědictví</w:t>
      </w:r>
      <w:r w:rsidRPr="00652C49">
        <w:rPr>
          <w:sz w:val="22"/>
          <w:szCs w:val="22"/>
        </w:rPr>
        <w:t xml:space="preserve"> zůstává nulový, protože projekty z aktivity 5.1a mají povinnost vytvořit odbornou metodiku pod</w:t>
      </w:r>
      <w:r>
        <w:rPr>
          <w:sz w:val="22"/>
          <w:szCs w:val="22"/>
        </w:rPr>
        <w:t>le stanovené závazné struktury </w:t>
      </w:r>
      <w:r w:rsidRPr="00652C49">
        <w:rPr>
          <w:sz w:val="22"/>
          <w:szCs w:val="22"/>
        </w:rPr>
        <w:t>do jednoho roku od ukončení realizace projektu, což nastane až v roce 2015.</w:t>
      </w:r>
    </w:p>
    <w:p w:rsidR="00A455C6" w:rsidRPr="00652C49" w:rsidRDefault="00A455C6" w:rsidP="00652C49">
      <w:pPr>
        <w:jc w:val="both"/>
        <w:rPr>
          <w:sz w:val="22"/>
          <w:szCs w:val="22"/>
        </w:rPr>
      </w:pPr>
    </w:p>
    <w:p w:rsidR="00652C49" w:rsidRPr="00652C49" w:rsidRDefault="00652C49" w:rsidP="00652C49">
      <w:pPr>
        <w:jc w:val="both"/>
        <w:rPr>
          <w:sz w:val="22"/>
          <w:szCs w:val="22"/>
        </w:rPr>
      </w:pPr>
      <w:r w:rsidRPr="00A455C6">
        <w:rPr>
          <w:b/>
          <w:sz w:val="22"/>
          <w:szCs w:val="22"/>
        </w:rPr>
        <w:t xml:space="preserve">Indikátor výsledku 410411 Zvýšení počtu návštěvníků památek a kulturních zařízení </w:t>
      </w:r>
      <w:r w:rsidRPr="00652C49">
        <w:rPr>
          <w:sz w:val="22"/>
          <w:szCs w:val="22"/>
        </w:rPr>
        <w:t xml:space="preserve">stoupl ze 129 % a 142 % zejména díky vysoké návštěvnosti památky </w:t>
      </w:r>
      <w:r w:rsidR="007D279A" w:rsidRPr="00652C49">
        <w:rPr>
          <w:sz w:val="22"/>
          <w:szCs w:val="22"/>
        </w:rPr>
        <w:t>U</w:t>
      </w:r>
      <w:r w:rsidR="007D279A">
        <w:rPr>
          <w:sz w:val="22"/>
          <w:szCs w:val="22"/>
        </w:rPr>
        <w:t>NESCO</w:t>
      </w:r>
      <w:r w:rsidR="007D279A" w:rsidRPr="00652C49">
        <w:rPr>
          <w:sz w:val="22"/>
          <w:szCs w:val="22"/>
        </w:rPr>
        <w:t xml:space="preserve"> </w:t>
      </w:r>
      <w:r w:rsidRPr="00652C49">
        <w:rPr>
          <w:sz w:val="22"/>
          <w:szCs w:val="22"/>
        </w:rPr>
        <w:t xml:space="preserve">Vily </w:t>
      </w:r>
      <w:proofErr w:type="spellStart"/>
      <w:r w:rsidRPr="00652C49">
        <w:rPr>
          <w:sz w:val="22"/>
          <w:szCs w:val="22"/>
        </w:rPr>
        <w:t>Tugendhat</w:t>
      </w:r>
      <w:proofErr w:type="spellEnd"/>
      <w:r w:rsidRPr="00652C49">
        <w:rPr>
          <w:sz w:val="22"/>
          <w:szCs w:val="22"/>
        </w:rPr>
        <w:t xml:space="preserve"> či projektu Zpřístupnění a nové využití NKP Vítkovice.</w:t>
      </w:r>
    </w:p>
    <w:p w:rsidR="00C31781" w:rsidRPr="003C26BC" w:rsidRDefault="00C31781" w:rsidP="00EC70ED">
      <w:pPr>
        <w:jc w:val="both"/>
        <w:rPr>
          <w:color w:val="000000"/>
          <w:sz w:val="22"/>
          <w:szCs w:val="22"/>
        </w:rPr>
      </w:pPr>
    </w:p>
    <w:p w:rsidR="00A455C6" w:rsidRPr="003C26BC" w:rsidRDefault="00A75862" w:rsidP="005C1034">
      <w:pPr>
        <w:rPr>
          <w:b/>
          <w:sz w:val="22"/>
          <w:szCs w:val="22"/>
        </w:rPr>
      </w:pPr>
      <w:r w:rsidRPr="003C26BC">
        <w:rPr>
          <w:b/>
          <w:sz w:val="22"/>
          <w:szCs w:val="22"/>
        </w:rPr>
        <w:t>Oblast intervence 5.2</w:t>
      </w:r>
    </w:p>
    <w:p w:rsidR="00A455C6" w:rsidRDefault="003C26BC" w:rsidP="00A455C6">
      <w:pPr>
        <w:jc w:val="both"/>
        <w:rPr>
          <w:sz w:val="22"/>
          <w:szCs w:val="22"/>
        </w:rPr>
      </w:pPr>
      <w:r w:rsidRPr="003C26BC">
        <w:rPr>
          <w:b/>
          <w:sz w:val="22"/>
          <w:szCs w:val="22"/>
        </w:rPr>
        <w:t>Indikátor</w:t>
      </w:r>
      <w:r w:rsidR="00A455C6" w:rsidRPr="003C26BC">
        <w:rPr>
          <w:b/>
          <w:sz w:val="22"/>
          <w:szCs w:val="22"/>
        </w:rPr>
        <w:t xml:space="preserve"> 330103 Počet projektů zvyšujících atraktivitu bydlení v území</w:t>
      </w:r>
      <w:r w:rsidR="00A455C6" w:rsidRPr="00A455C6">
        <w:rPr>
          <w:sz w:val="22"/>
          <w:szCs w:val="22"/>
        </w:rPr>
        <w:t xml:space="preserve"> se přeplňuje. Při nastavování indikátorů v Programovém dokumentu předpokládal ŘO IOP, že se dílčí projekty revitalizace veřejného prostranství budou realizovat jako jeden projekt na území celého IPRM. Města však realizují dílčí projekty a díky tomu je počet projektů vyšší než cílová hodnota indikátoru. Počet souhrnných projektů na úrovni IPRM odpovídá cílové hodnotě indikátoru.</w:t>
      </w:r>
    </w:p>
    <w:p w:rsidR="003C26BC" w:rsidRPr="00A455C6" w:rsidRDefault="003C26BC" w:rsidP="00A455C6">
      <w:pPr>
        <w:jc w:val="both"/>
        <w:rPr>
          <w:sz w:val="22"/>
          <w:szCs w:val="22"/>
        </w:rPr>
      </w:pPr>
    </w:p>
    <w:p w:rsidR="00A455C6" w:rsidRPr="00A455C6" w:rsidRDefault="00A455C6" w:rsidP="00A455C6">
      <w:pPr>
        <w:jc w:val="both"/>
        <w:rPr>
          <w:sz w:val="22"/>
          <w:szCs w:val="22"/>
        </w:rPr>
      </w:pPr>
      <w:r w:rsidRPr="00A455C6">
        <w:rPr>
          <w:sz w:val="22"/>
          <w:szCs w:val="22"/>
        </w:rPr>
        <w:t>U všech ostatních MI dochází k uspokojivému vývoji a jsou spíše přeplňována. Důvodem je větší počet z realizovaných projektů oproti původním očekáváním. Důvodem jsou zejména úspory v projektech, kdy se nevyužitá alokace projektu vrací do celkové alokace jednotlivého IPRM a je možné ji opět využít.</w:t>
      </w:r>
    </w:p>
    <w:p w:rsidR="00155136" w:rsidRPr="00FD0773" w:rsidRDefault="00155136" w:rsidP="00642923">
      <w:pPr>
        <w:jc w:val="both"/>
        <w:rPr>
          <w:sz w:val="22"/>
          <w:szCs w:val="22"/>
          <w:highlight w:val="yellow"/>
        </w:rPr>
      </w:pPr>
    </w:p>
    <w:p w:rsidR="00A75862" w:rsidRPr="003C26BC" w:rsidRDefault="00A75862" w:rsidP="005C1034">
      <w:pPr>
        <w:rPr>
          <w:b/>
          <w:sz w:val="22"/>
          <w:szCs w:val="22"/>
        </w:rPr>
      </w:pPr>
      <w:r w:rsidRPr="003C26BC">
        <w:rPr>
          <w:b/>
          <w:sz w:val="22"/>
          <w:szCs w:val="22"/>
        </w:rPr>
        <w:t>Oblast intervence 5.3</w:t>
      </w:r>
    </w:p>
    <w:p w:rsidR="00693293" w:rsidRDefault="00A455C6" w:rsidP="00A455C6">
      <w:pPr>
        <w:jc w:val="both"/>
        <w:rPr>
          <w:sz w:val="22"/>
          <w:szCs w:val="22"/>
        </w:rPr>
      </w:pPr>
      <w:r w:rsidRPr="003C26BC">
        <w:rPr>
          <w:b/>
          <w:sz w:val="22"/>
          <w:szCs w:val="22"/>
        </w:rPr>
        <w:t>V oblasti intervence 5.3</w:t>
      </w:r>
      <w:r w:rsidRPr="003C26BC">
        <w:rPr>
          <w:sz w:val="22"/>
          <w:szCs w:val="22"/>
        </w:rPr>
        <w:t xml:space="preserve"> v aktivitě a) je závazek ze schválených projektů splněn a výdaje za všechny projekty v aktivitě a) jsou certifikovány. Cílová hodnota </w:t>
      </w:r>
      <w:r w:rsidRPr="003C26BC">
        <w:rPr>
          <w:b/>
          <w:sz w:val="22"/>
          <w:szCs w:val="22"/>
        </w:rPr>
        <w:t>indikátoru 330400</w:t>
      </w:r>
      <w:r w:rsidR="00693293">
        <w:rPr>
          <w:b/>
          <w:sz w:val="22"/>
          <w:szCs w:val="22"/>
        </w:rPr>
        <w:t xml:space="preserve"> </w:t>
      </w:r>
      <w:r w:rsidR="00693293" w:rsidRPr="00693293">
        <w:rPr>
          <w:b/>
          <w:color w:val="000000"/>
          <w:sz w:val="22"/>
          <w:szCs w:val="22"/>
        </w:rPr>
        <w:t>Počet projektů pro tvorbu územně-analytických podkladů krajů</w:t>
      </w:r>
      <w:r w:rsidR="00693293">
        <w:rPr>
          <w:color w:val="000000"/>
          <w:sz w:val="18"/>
          <w:szCs w:val="18"/>
        </w:rPr>
        <w:t xml:space="preserve"> </w:t>
      </w:r>
      <w:r w:rsidRPr="003C26BC">
        <w:rPr>
          <w:sz w:val="22"/>
          <w:szCs w:val="22"/>
        </w:rPr>
        <w:t xml:space="preserve">je již naplněna. Ve výši předpokládané cílové hodnoty počtu projektů pro tvorbu územně-analytických podkladů krajů bylo podáno 10 projektových žádostí, jeden projekt byl v průběhu administrace vyřazen. </w:t>
      </w:r>
    </w:p>
    <w:p w:rsidR="00696610" w:rsidRDefault="00696610" w:rsidP="00A455C6">
      <w:pPr>
        <w:jc w:val="both"/>
        <w:rPr>
          <w:sz w:val="22"/>
          <w:szCs w:val="22"/>
        </w:rPr>
      </w:pPr>
    </w:p>
    <w:p w:rsidR="009C1D2C" w:rsidRDefault="00A455C6" w:rsidP="00A455C6">
      <w:pPr>
        <w:jc w:val="both"/>
        <w:rPr>
          <w:sz w:val="22"/>
          <w:szCs w:val="22"/>
        </w:rPr>
      </w:pPr>
      <w:r w:rsidRPr="003C26BC">
        <w:rPr>
          <w:sz w:val="22"/>
          <w:szCs w:val="22"/>
        </w:rPr>
        <w:t xml:space="preserve">Při nastavení cílové hodnoty indikátoru </w:t>
      </w:r>
      <w:r w:rsidRPr="00693293">
        <w:rPr>
          <w:b/>
          <w:sz w:val="22"/>
          <w:szCs w:val="22"/>
        </w:rPr>
        <w:t>330415</w:t>
      </w:r>
      <w:r w:rsidR="00693293" w:rsidRPr="00693293">
        <w:rPr>
          <w:b/>
          <w:sz w:val="22"/>
          <w:szCs w:val="22"/>
        </w:rPr>
        <w:t xml:space="preserve"> </w:t>
      </w:r>
      <w:r w:rsidR="00693293" w:rsidRPr="00693293">
        <w:rPr>
          <w:b/>
          <w:color w:val="000000"/>
          <w:sz w:val="22"/>
          <w:szCs w:val="22"/>
        </w:rPr>
        <w:t xml:space="preserve">Plocha území obcí </w:t>
      </w:r>
      <w:proofErr w:type="gramStart"/>
      <w:r w:rsidR="00693293" w:rsidRPr="00693293">
        <w:rPr>
          <w:b/>
          <w:color w:val="000000"/>
          <w:sz w:val="22"/>
          <w:szCs w:val="22"/>
        </w:rPr>
        <w:t>pokrytá</w:t>
      </w:r>
      <w:proofErr w:type="gramEnd"/>
      <w:r w:rsidR="00693293" w:rsidRPr="00693293">
        <w:rPr>
          <w:b/>
          <w:color w:val="000000"/>
          <w:sz w:val="22"/>
          <w:szCs w:val="22"/>
        </w:rPr>
        <w:t xml:space="preserve"> územně analytickými podklady obcí</w:t>
      </w:r>
      <w:r w:rsidRPr="00693293">
        <w:rPr>
          <w:sz w:val="22"/>
          <w:szCs w:val="22"/>
        </w:rPr>
        <w:t xml:space="preserve"> </w:t>
      </w:r>
      <w:r w:rsidRPr="003C26BC">
        <w:rPr>
          <w:sz w:val="22"/>
          <w:szCs w:val="22"/>
        </w:rPr>
        <w:t xml:space="preserve">se vycházelo z předpokládané hodnoty v indikátoru č. </w:t>
      </w:r>
      <w:r w:rsidRPr="00693293">
        <w:rPr>
          <w:b/>
          <w:sz w:val="22"/>
          <w:szCs w:val="22"/>
        </w:rPr>
        <w:t>330401</w:t>
      </w:r>
      <w:r w:rsidR="00693293">
        <w:rPr>
          <w:sz w:val="22"/>
          <w:szCs w:val="22"/>
        </w:rPr>
        <w:t xml:space="preserve"> </w:t>
      </w:r>
      <w:r w:rsidR="00693293" w:rsidRPr="00693293">
        <w:rPr>
          <w:b/>
          <w:color w:val="000000"/>
          <w:sz w:val="22"/>
          <w:szCs w:val="22"/>
        </w:rPr>
        <w:t>Počet podpořených projektů pro tvorbu územně-analytických podkladů obcí</w:t>
      </w:r>
      <w:r w:rsidRPr="00693293">
        <w:rPr>
          <w:b/>
          <w:sz w:val="22"/>
          <w:szCs w:val="22"/>
        </w:rPr>
        <w:t>.</w:t>
      </w:r>
      <w:r w:rsidRPr="003C26BC">
        <w:rPr>
          <w:sz w:val="22"/>
          <w:szCs w:val="22"/>
        </w:rPr>
        <w:t xml:space="preserve"> Plocha byla spočítána jako plocha 140 nejmenších obcí s rozšířenou působností, ale nakonec bylo podpořeno 170 žádostí obcí a plocha území obcí pokrytá územně analytickými podklady obcí naplnila indikátor 330415. Dosažené hodnoty indikátorů aktivity b) byly k rozhodnému datu ve všech případech přeplněny. </w:t>
      </w:r>
    </w:p>
    <w:p w:rsidR="00696610" w:rsidRDefault="00696610" w:rsidP="00A455C6">
      <w:pPr>
        <w:jc w:val="both"/>
        <w:rPr>
          <w:sz w:val="22"/>
          <w:szCs w:val="22"/>
        </w:rPr>
      </w:pPr>
    </w:p>
    <w:p w:rsidR="000F2749" w:rsidRDefault="00A455C6" w:rsidP="00184E0A">
      <w:pPr>
        <w:jc w:val="both"/>
        <w:rPr>
          <w:sz w:val="22"/>
          <w:szCs w:val="22"/>
        </w:rPr>
      </w:pPr>
      <w:r w:rsidRPr="003C26BC">
        <w:rPr>
          <w:sz w:val="22"/>
          <w:szCs w:val="22"/>
        </w:rPr>
        <w:t xml:space="preserve">Při nastavení indikátoru </w:t>
      </w:r>
      <w:r w:rsidRPr="00696610">
        <w:rPr>
          <w:b/>
          <w:sz w:val="22"/>
          <w:szCs w:val="22"/>
        </w:rPr>
        <w:t>330411</w:t>
      </w:r>
      <w:r w:rsidR="00696610">
        <w:rPr>
          <w:sz w:val="22"/>
          <w:szCs w:val="22"/>
        </w:rPr>
        <w:t xml:space="preserve"> </w:t>
      </w:r>
      <w:r w:rsidR="00696610" w:rsidRPr="00696610">
        <w:rPr>
          <w:b/>
          <w:color w:val="000000"/>
          <w:sz w:val="22"/>
          <w:szCs w:val="22"/>
        </w:rPr>
        <w:t>Počet podpořených projektů tvorby nových nebo aktualizace existujících územních plánů</w:t>
      </w:r>
      <w:r w:rsidRPr="00696610">
        <w:rPr>
          <w:b/>
          <w:sz w:val="22"/>
          <w:szCs w:val="22"/>
        </w:rPr>
        <w:t xml:space="preserve"> </w:t>
      </w:r>
      <w:r w:rsidRPr="003C26BC">
        <w:rPr>
          <w:sz w:val="22"/>
          <w:szCs w:val="22"/>
        </w:rPr>
        <w:t>se vycházelo z několikanásobně vyšší ceny za územní plány, která platila v době přípravy programového dokumentu. Vycházelo se z max. ceny 4 mil. Kč na 1 územní plán včetně posudků, průměrná žádost o dotaci je však 800 tis. Kč, což mělo za následek více než pětinásobné překročení cílové hodnoty. Při nastavení cílové hodnoty indikátoru 330416 se vycházelo z předpokládané hodnoty v indikátoru č. 330411. Plocha byla spočítána jako plocha 60 nejmenších obcí nad 500 obyvatel, které splňovaly podmínky připravovaných výzev v 5.3b). Dosažená hodnota indikátoru 330418 mnohonásobně převyšuje cílovou hodnotu z důvodu uvedených u indikátorů 330411 a 330416 (indikátory výstupu), ze kterých vychází.</w:t>
      </w:r>
    </w:p>
    <w:p w:rsidR="000F2749" w:rsidRPr="009C5A3E" w:rsidRDefault="000F2749" w:rsidP="00184E0A">
      <w:pPr>
        <w:jc w:val="both"/>
        <w:rPr>
          <w:sz w:val="22"/>
          <w:szCs w:val="22"/>
        </w:rPr>
        <w:sectPr w:rsidR="000F2749" w:rsidRPr="009C5A3E" w:rsidSect="00A455C6">
          <w:pgSz w:w="11906" w:h="16838"/>
          <w:pgMar w:top="1417" w:right="1417" w:bottom="1417" w:left="1417" w:header="708" w:footer="708" w:gutter="0"/>
          <w:cols w:space="708"/>
          <w:docGrid w:linePitch="272"/>
        </w:sectPr>
      </w:pPr>
    </w:p>
    <w:p w:rsidR="0023228E" w:rsidRPr="00155136" w:rsidRDefault="005656F9" w:rsidP="006B59CE">
      <w:pPr>
        <w:pStyle w:val="Tabulkanzev"/>
      </w:pPr>
      <w:bookmarkStart w:id="223" w:name="_Toc416431855"/>
      <w:r w:rsidRPr="00C43D42">
        <w:lastRenderedPageBreak/>
        <w:t xml:space="preserve">Indikátory </w:t>
      </w:r>
      <w:r w:rsidR="001A6861">
        <w:t>výstupu</w:t>
      </w:r>
      <w:r w:rsidR="00F1486E">
        <w:t xml:space="preserve"> v PO 5</w:t>
      </w:r>
      <w:bookmarkEnd w:id="223"/>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24"/>
        <w:gridCol w:w="3400"/>
        <w:gridCol w:w="896"/>
        <w:gridCol w:w="854"/>
        <w:gridCol w:w="890"/>
        <w:gridCol w:w="653"/>
        <w:gridCol w:w="653"/>
        <w:gridCol w:w="654"/>
        <w:gridCol w:w="654"/>
        <w:gridCol w:w="654"/>
        <w:gridCol w:w="782"/>
        <w:gridCol w:w="745"/>
        <w:gridCol w:w="748"/>
        <w:gridCol w:w="841"/>
        <w:gridCol w:w="796"/>
      </w:tblGrid>
      <w:tr w:rsidR="00D62880" w:rsidRPr="00D62880" w:rsidTr="009C5A3E">
        <w:trPr>
          <w:trHeight w:val="765"/>
          <w:tblHeader/>
        </w:trPr>
        <w:tc>
          <w:tcPr>
            <w:tcW w:w="309"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Kód NČI</w:t>
            </w:r>
          </w:p>
        </w:tc>
        <w:tc>
          <w:tcPr>
            <w:tcW w:w="1209" w:type="pct"/>
            <w:shd w:val="clear" w:color="000000" w:fill="C4D79B"/>
            <w:vAlign w:val="center"/>
            <w:hideMark/>
          </w:tcPr>
          <w:p w:rsidR="00D62880" w:rsidRPr="00D62880" w:rsidRDefault="00D62880" w:rsidP="00D62880">
            <w:pPr>
              <w:jc w:val="center"/>
              <w:rPr>
                <w:b/>
                <w:bCs/>
                <w:color w:val="000000"/>
              </w:rPr>
            </w:pPr>
            <w:r w:rsidRPr="00D62880">
              <w:rPr>
                <w:b/>
                <w:bCs/>
                <w:color w:val="000000"/>
              </w:rPr>
              <w:t>Název indikátoru</w:t>
            </w:r>
          </w:p>
        </w:tc>
        <w:tc>
          <w:tcPr>
            <w:tcW w:w="309" w:type="pct"/>
            <w:shd w:val="clear" w:color="000000" w:fill="C4D79B"/>
            <w:vAlign w:val="center"/>
            <w:hideMark/>
          </w:tcPr>
          <w:p w:rsidR="00D62880" w:rsidRPr="00D62880" w:rsidRDefault="00D62880" w:rsidP="00D62880">
            <w:pPr>
              <w:jc w:val="center"/>
              <w:rPr>
                <w:b/>
                <w:bCs/>
                <w:color w:val="000000"/>
              </w:rPr>
            </w:pPr>
            <w:r w:rsidRPr="00D62880">
              <w:rPr>
                <w:b/>
                <w:bCs/>
                <w:color w:val="000000"/>
              </w:rPr>
              <w:t>Měrná jednotka</w:t>
            </w:r>
          </w:p>
        </w:tc>
        <w:tc>
          <w:tcPr>
            <w:tcW w:w="309"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 xml:space="preserve">Zdroj </w:t>
            </w:r>
          </w:p>
        </w:tc>
        <w:tc>
          <w:tcPr>
            <w:tcW w:w="309"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 xml:space="preserve">Hodnota </w:t>
            </w:r>
          </w:p>
        </w:tc>
        <w:tc>
          <w:tcPr>
            <w:tcW w:w="238"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2007</w:t>
            </w:r>
          </w:p>
        </w:tc>
        <w:tc>
          <w:tcPr>
            <w:tcW w:w="238"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2008</w:t>
            </w:r>
          </w:p>
        </w:tc>
        <w:tc>
          <w:tcPr>
            <w:tcW w:w="238"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2009</w:t>
            </w:r>
          </w:p>
        </w:tc>
        <w:tc>
          <w:tcPr>
            <w:tcW w:w="238"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2010</w:t>
            </w:r>
          </w:p>
        </w:tc>
        <w:tc>
          <w:tcPr>
            <w:tcW w:w="238"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2011</w:t>
            </w:r>
          </w:p>
        </w:tc>
        <w:tc>
          <w:tcPr>
            <w:tcW w:w="283"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2012</w:t>
            </w:r>
          </w:p>
        </w:tc>
        <w:tc>
          <w:tcPr>
            <w:tcW w:w="270"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2013</w:t>
            </w:r>
          </w:p>
        </w:tc>
        <w:tc>
          <w:tcPr>
            <w:tcW w:w="270"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2014</w:t>
            </w:r>
          </w:p>
        </w:tc>
        <w:tc>
          <w:tcPr>
            <w:tcW w:w="271" w:type="pct"/>
            <w:shd w:val="clear" w:color="000000" w:fill="C4D79B"/>
            <w:vAlign w:val="center"/>
            <w:hideMark/>
          </w:tcPr>
          <w:p w:rsidR="00D62880" w:rsidRPr="00D62880" w:rsidRDefault="00D62880" w:rsidP="00D62880">
            <w:pPr>
              <w:jc w:val="center"/>
              <w:rPr>
                <w:b/>
                <w:bCs/>
                <w:color w:val="000000"/>
              </w:rPr>
            </w:pPr>
            <w:r w:rsidRPr="00D62880">
              <w:rPr>
                <w:b/>
                <w:bCs/>
                <w:color w:val="000000"/>
              </w:rPr>
              <w:t>Cílová hodnota 2015</w:t>
            </w:r>
          </w:p>
        </w:tc>
        <w:tc>
          <w:tcPr>
            <w:tcW w:w="270" w:type="pct"/>
            <w:shd w:val="clear" w:color="000000" w:fill="C4D79B"/>
            <w:noWrap/>
            <w:vAlign w:val="center"/>
            <w:hideMark/>
          </w:tcPr>
          <w:p w:rsidR="00D62880" w:rsidRPr="00D62880" w:rsidRDefault="00D62880" w:rsidP="00D62880">
            <w:pPr>
              <w:jc w:val="center"/>
              <w:rPr>
                <w:b/>
                <w:bCs/>
                <w:color w:val="000000"/>
              </w:rPr>
            </w:pPr>
            <w:r w:rsidRPr="00D62880">
              <w:rPr>
                <w:b/>
                <w:bCs/>
                <w:color w:val="000000"/>
              </w:rPr>
              <w:t xml:space="preserve">Celkem </w:t>
            </w:r>
          </w:p>
        </w:tc>
      </w:tr>
      <w:tr w:rsidR="00D62880" w:rsidRPr="00D62880" w:rsidTr="00D62880">
        <w:trPr>
          <w:trHeight w:val="300"/>
        </w:trPr>
        <w:tc>
          <w:tcPr>
            <w:tcW w:w="309" w:type="pct"/>
            <w:vMerge w:val="restart"/>
            <w:shd w:val="clear" w:color="auto" w:fill="auto"/>
            <w:vAlign w:val="center"/>
            <w:hideMark/>
          </w:tcPr>
          <w:p w:rsidR="00D62880" w:rsidRPr="00D62880" w:rsidRDefault="00D62880" w:rsidP="00D62880">
            <w:pPr>
              <w:rPr>
                <w:color w:val="000000"/>
                <w:sz w:val="18"/>
                <w:szCs w:val="18"/>
              </w:rPr>
            </w:pPr>
            <w:r w:rsidRPr="00D62880">
              <w:rPr>
                <w:color w:val="000000"/>
                <w:sz w:val="18"/>
                <w:szCs w:val="18"/>
              </w:rPr>
              <w:t>410401</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Počet zregenerovaných nemovitých kulturních památek</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vAlign w:val="bottom"/>
            <w:hideMark/>
          </w:tcPr>
          <w:p w:rsidR="00D62880" w:rsidRPr="00D62880" w:rsidRDefault="00840236"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840236"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3</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19</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31</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31</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840236"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840236" w:rsidP="00D62880">
            <w:pPr>
              <w:jc w:val="right"/>
              <w:rPr>
                <w:color w:val="000000"/>
                <w:sz w:val="18"/>
                <w:szCs w:val="18"/>
              </w:rPr>
            </w:pPr>
            <w:r>
              <w:rPr>
                <w:color w:val="000000"/>
                <w:sz w:val="18"/>
                <w:szCs w:val="18"/>
              </w:rPr>
              <w:t>0</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3</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19</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70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70</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410402</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 xml:space="preserve">Počet nově vybudovaných či zmodernizovaných kulturních zařízení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0</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1</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83"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5</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5</w:t>
            </w:r>
          </w:p>
        </w:tc>
      </w:tr>
      <w:tr w:rsidR="00D62880" w:rsidRPr="00D62880" w:rsidTr="00D62880">
        <w:trPr>
          <w:trHeight w:val="315"/>
        </w:trPr>
        <w:tc>
          <w:tcPr>
            <w:tcW w:w="309" w:type="pct"/>
            <w:vMerge w:val="restart"/>
            <w:shd w:val="clear" w:color="auto" w:fill="auto"/>
            <w:vAlign w:val="center"/>
            <w:hideMark/>
          </w:tcPr>
          <w:p w:rsidR="00D62880" w:rsidRPr="00D62880" w:rsidRDefault="00D62880" w:rsidP="00D62880">
            <w:pPr>
              <w:rPr>
                <w:color w:val="000000"/>
                <w:sz w:val="18"/>
                <w:szCs w:val="18"/>
              </w:rPr>
            </w:pPr>
            <w:r w:rsidRPr="00D62880">
              <w:rPr>
                <w:color w:val="000000"/>
                <w:sz w:val="18"/>
                <w:szCs w:val="18"/>
              </w:rPr>
              <w:t>330100</w:t>
            </w:r>
            <w:r w:rsidRPr="00D62880">
              <w:rPr>
                <w:color w:val="000000"/>
                <w:sz w:val="18"/>
                <w:szCs w:val="18"/>
              </w:rPr>
              <w:br/>
            </w:r>
            <w:proofErr w:type="spellStart"/>
            <w:r w:rsidRPr="00D62880">
              <w:rPr>
                <w:color w:val="000000"/>
                <w:sz w:val="18"/>
                <w:szCs w:val="18"/>
              </w:rPr>
              <w:t>Core</w:t>
            </w:r>
            <w:proofErr w:type="spellEnd"/>
            <w:r w:rsidRPr="00D62880">
              <w:rPr>
                <w:color w:val="000000"/>
                <w:sz w:val="18"/>
                <w:szCs w:val="18"/>
              </w:rPr>
              <w:t xml:space="preserve"> 39</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 xml:space="preserve">Počet projektů zvyšujících atraktivitu měst </w:t>
            </w:r>
          </w:p>
        </w:tc>
        <w:tc>
          <w:tcPr>
            <w:tcW w:w="309" w:type="pct"/>
            <w:vMerge w:val="restart"/>
            <w:shd w:val="clear" w:color="auto" w:fill="auto"/>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66</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230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598</w:t>
            </w:r>
          </w:p>
        </w:tc>
        <w:tc>
          <w:tcPr>
            <w:tcW w:w="283" w:type="pct"/>
            <w:shd w:val="clear" w:color="000000" w:fill="FFFFFF"/>
            <w:vAlign w:val="bottom"/>
            <w:hideMark/>
          </w:tcPr>
          <w:p w:rsidR="00D62880" w:rsidRPr="00D62880" w:rsidRDefault="00D62880" w:rsidP="00CC19F9">
            <w:pPr>
              <w:jc w:val="right"/>
              <w:rPr>
                <w:color w:val="000000"/>
                <w:sz w:val="18"/>
                <w:szCs w:val="18"/>
              </w:rPr>
            </w:pPr>
            <w:r w:rsidRPr="00D62880">
              <w:rPr>
                <w:color w:val="000000"/>
                <w:sz w:val="18"/>
                <w:szCs w:val="18"/>
              </w:rPr>
              <w:t>8</w:t>
            </w:r>
            <w:r w:rsidR="00CC19F9">
              <w:rPr>
                <w:color w:val="000000"/>
                <w:sz w:val="18"/>
                <w:szCs w:val="18"/>
              </w:rPr>
              <w:t>57</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1094</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1347</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1347</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66</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230</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598</w:t>
            </w:r>
          </w:p>
        </w:tc>
        <w:tc>
          <w:tcPr>
            <w:tcW w:w="270"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857</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1094</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1 000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1 000</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331000</w:t>
            </w:r>
          </w:p>
        </w:tc>
        <w:tc>
          <w:tcPr>
            <w:tcW w:w="1209" w:type="pct"/>
            <w:vMerge w:val="restart"/>
            <w:shd w:val="clear" w:color="000000" w:fill="FFFFFF"/>
            <w:vAlign w:val="center"/>
            <w:hideMark/>
          </w:tcPr>
          <w:p w:rsidR="00D62880" w:rsidRPr="00D62880" w:rsidRDefault="0095318B" w:rsidP="00D62880">
            <w:pPr>
              <w:rPr>
                <w:color w:val="000000"/>
                <w:sz w:val="18"/>
                <w:szCs w:val="18"/>
              </w:rPr>
            </w:pPr>
            <w:hyperlink r:id="rId41" w:anchor="RANGE!_ftn2" w:history="1">
              <w:r w:rsidR="00D62880" w:rsidRPr="00D62880">
                <w:rPr>
                  <w:color w:val="000000"/>
                  <w:sz w:val="18"/>
                  <w:szCs w:val="18"/>
                </w:rPr>
                <w:t>Počet vytvořených Fondů rozvoje měst[2]</w:t>
              </w:r>
            </w:hyperlink>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noWrap/>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1</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330103</w:t>
            </w:r>
          </w:p>
        </w:tc>
        <w:tc>
          <w:tcPr>
            <w:tcW w:w="1209" w:type="pct"/>
            <w:vMerge w:val="restart"/>
            <w:shd w:val="clear" w:color="000000" w:fill="FFFFFF"/>
            <w:vAlign w:val="center"/>
            <w:hideMark/>
          </w:tcPr>
          <w:p w:rsidR="00D62880" w:rsidRPr="00D62880" w:rsidRDefault="00D62880" w:rsidP="007F0B2D">
            <w:pPr>
              <w:rPr>
                <w:color w:val="000000"/>
                <w:sz w:val="18"/>
                <w:szCs w:val="18"/>
              </w:rPr>
            </w:pPr>
            <w:r w:rsidRPr="00D62880">
              <w:rPr>
                <w:color w:val="000000"/>
                <w:sz w:val="18"/>
                <w:szCs w:val="18"/>
              </w:rPr>
              <w:t xml:space="preserve">Počet projektů zvyšujících atraktivitu bydlení v území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33</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81</w:t>
            </w:r>
          </w:p>
        </w:tc>
        <w:tc>
          <w:tcPr>
            <w:tcW w:w="283"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127</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172</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220</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220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33</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81</w:t>
            </w:r>
          </w:p>
        </w:tc>
        <w:tc>
          <w:tcPr>
            <w:tcW w:w="270"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127</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172</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41</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41</w:t>
            </w:r>
          </w:p>
        </w:tc>
      </w:tr>
      <w:tr w:rsidR="00D62880" w:rsidRPr="00D62880" w:rsidTr="00D62880">
        <w:trPr>
          <w:trHeight w:val="300"/>
        </w:trPr>
        <w:tc>
          <w:tcPr>
            <w:tcW w:w="309" w:type="pct"/>
            <w:vMerge w:val="restart"/>
            <w:shd w:val="clear" w:color="auto" w:fill="auto"/>
            <w:vAlign w:val="center"/>
            <w:hideMark/>
          </w:tcPr>
          <w:p w:rsidR="00D62880" w:rsidRPr="00D62880" w:rsidRDefault="00D62880" w:rsidP="00D62880">
            <w:pPr>
              <w:rPr>
                <w:color w:val="000000"/>
                <w:sz w:val="18"/>
                <w:szCs w:val="18"/>
              </w:rPr>
            </w:pPr>
            <w:r w:rsidRPr="00D62880">
              <w:rPr>
                <w:color w:val="000000"/>
                <w:sz w:val="18"/>
                <w:szCs w:val="18"/>
              </w:rPr>
              <w:t>330101</w:t>
            </w:r>
          </w:p>
        </w:tc>
        <w:tc>
          <w:tcPr>
            <w:tcW w:w="1209" w:type="pct"/>
            <w:vMerge w:val="restart"/>
            <w:shd w:val="clear" w:color="000000" w:fill="FFFFFF"/>
            <w:vAlign w:val="center"/>
            <w:hideMark/>
          </w:tcPr>
          <w:p w:rsidR="00D62880" w:rsidRPr="00D62880" w:rsidRDefault="00D62880" w:rsidP="007F0B2D">
            <w:pPr>
              <w:rPr>
                <w:color w:val="000000"/>
                <w:sz w:val="18"/>
                <w:szCs w:val="18"/>
              </w:rPr>
            </w:pPr>
            <w:r w:rsidRPr="00D62880">
              <w:rPr>
                <w:color w:val="000000"/>
                <w:sz w:val="18"/>
                <w:szCs w:val="18"/>
              </w:rPr>
              <w:t xml:space="preserve">Počet projektů zlepšující stav bytových domů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192</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501</w:t>
            </w:r>
          </w:p>
        </w:tc>
        <w:tc>
          <w:tcPr>
            <w:tcW w:w="283"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693</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870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1062</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1062</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192</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501</w:t>
            </w:r>
          </w:p>
        </w:tc>
        <w:tc>
          <w:tcPr>
            <w:tcW w:w="270"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693</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870</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950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950</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330102</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 xml:space="preserve">Počet pilotních projektů – podpora vybraných romských lokalit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5</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16</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6</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5</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16</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7</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7</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330400</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Počet projektů pro tvorbu územně-analytických podkladů krajů</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9</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CC19F9" w:rsidP="00D62880">
            <w:pPr>
              <w:jc w:val="right"/>
              <w:rPr>
                <w:color w:val="000000"/>
                <w:sz w:val="18"/>
                <w:szCs w:val="18"/>
              </w:rPr>
            </w:pPr>
            <w:r>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9</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10</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330401</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 xml:space="preserve">Počet podpořených projektů pro tvorbu </w:t>
            </w:r>
            <w:r w:rsidRPr="00D62880">
              <w:rPr>
                <w:color w:val="000000"/>
                <w:sz w:val="18"/>
                <w:szCs w:val="18"/>
              </w:rPr>
              <w:lastRenderedPageBreak/>
              <w:t xml:space="preserve">územně-analytických podkladů obcí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lastRenderedPageBreak/>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174</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170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174</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170</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140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140</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330411</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 xml:space="preserve">Počet podpořených projektů tvorby nových nebo aktualizace existujících územních plánů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Počet</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2</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93</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227</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287</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330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353</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412</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412</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2</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93</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227</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278</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330</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353</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60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60</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330415</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 xml:space="preserve">Plocha území obcí pokrytá územně analytickými podklady obcí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km2</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65175</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63398</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65175</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63398</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34800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34800</w:t>
            </w:r>
          </w:p>
        </w:tc>
      </w:tr>
      <w:tr w:rsidR="00D62880" w:rsidRPr="00D62880" w:rsidTr="00D62880">
        <w:trPr>
          <w:trHeight w:val="300"/>
        </w:trPr>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330416</w:t>
            </w:r>
          </w:p>
        </w:tc>
        <w:tc>
          <w:tcPr>
            <w:tcW w:w="1209" w:type="pct"/>
            <w:vMerge w:val="restart"/>
            <w:shd w:val="clear" w:color="000000" w:fill="FFFFFF"/>
            <w:vAlign w:val="center"/>
            <w:hideMark/>
          </w:tcPr>
          <w:p w:rsidR="00D62880" w:rsidRPr="00D62880" w:rsidRDefault="00D62880" w:rsidP="00D62880">
            <w:pPr>
              <w:rPr>
                <w:color w:val="000000"/>
                <w:sz w:val="18"/>
                <w:szCs w:val="18"/>
              </w:rPr>
            </w:pPr>
            <w:r w:rsidRPr="00D62880">
              <w:rPr>
                <w:color w:val="000000"/>
                <w:sz w:val="18"/>
                <w:szCs w:val="18"/>
              </w:rPr>
              <w:t xml:space="preserve">Plocha území obcí pokrytá novým územním plánem </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km2</w:t>
            </w:r>
          </w:p>
        </w:tc>
        <w:tc>
          <w:tcPr>
            <w:tcW w:w="309" w:type="pct"/>
            <w:vMerge w:val="restart"/>
            <w:shd w:val="clear" w:color="auto" w:fill="auto"/>
            <w:noWrap/>
            <w:vAlign w:val="center"/>
            <w:hideMark/>
          </w:tcPr>
          <w:p w:rsidR="00D62880" w:rsidRPr="00D62880" w:rsidRDefault="00D62880" w:rsidP="00D62880">
            <w:pPr>
              <w:rPr>
                <w:color w:val="000000"/>
                <w:sz w:val="18"/>
                <w:szCs w:val="18"/>
              </w:rPr>
            </w:pPr>
            <w:r w:rsidRPr="00D62880">
              <w:rPr>
                <w:color w:val="000000"/>
                <w:sz w:val="18"/>
                <w:szCs w:val="18"/>
              </w:rPr>
              <w:t>ŘO IOP</w:t>
            </w:r>
          </w:p>
        </w:tc>
        <w:tc>
          <w:tcPr>
            <w:tcW w:w="309" w:type="pct"/>
            <w:shd w:val="clear" w:color="000000" w:fill="FFFFFF"/>
            <w:noWrap/>
            <w:vAlign w:val="bottom"/>
            <w:hideMark/>
          </w:tcPr>
          <w:p w:rsidR="00D62880" w:rsidRPr="00D62880" w:rsidRDefault="00D62880" w:rsidP="00D62880">
            <w:pPr>
              <w:jc w:val="center"/>
              <w:rPr>
                <w:color w:val="000000"/>
                <w:sz w:val="18"/>
                <w:szCs w:val="18"/>
              </w:rPr>
            </w:pPr>
            <w:r w:rsidRPr="00D62880">
              <w:rPr>
                <w:color w:val="000000"/>
                <w:sz w:val="18"/>
                <w:szCs w:val="18"/>
              </w:rPr>
              <w:t>Dosažená</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84</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2289</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3344</w:t>
            </w:r>
          </w:p>
        </w:tc>
        <w:tc>
          <w:tcPr>
            <w:tcW w:w="238"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6777</w:t>
            </w:r>
          </w:p>
        </w:tc>
        <w:tc>
          <w:tcPr>
            <w:tcW w:w="283"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8361</w:t>
            </w:r>
          </w:p>
        </w:tc>
        <w:tc>
          <w:tcPr>
            <w:tcW w:w="270" w:type="pct"/>
            <w:shd w:val="clear" w:color="000000" w:fill="FFFFFF"/>
            <w:vAlign w:val="bottom"/>
            <w:hideMark/>
          </w:tcPr>
          <w:p w:rsidR="00D62880" w:rsidRPr="00D62880" w:rsidRDefault="00C8156A" w:rsidP="00D62880">
            <w:pPr>
              <w:jc w:val="right"/>
              <w:rPr>
                <w:color w:val="000000"/>
                <w:sz w:val="18"/>
                <w:szCs w:val="18"/>
              </w:rPr>
            </w:pPr>
            <w:r w:rsidRPr="00D62880">
              <w:rPr>
                <w:color w:val="000000"/>
                <w:sz w:val="18"/>
                <w:szCs w:val="18"/>
              </w:rPr>
              <w:t>9020</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10359</w:t>
            </w:r>
          </w:p>
        </w:tc>
        <w:tc>
          <w:tcPr>
            <w:tcW w:w="271" w:type="pct"/>
            <w:shd w:val="clear" w:color="000000" w:fill="FFFFFF"/>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FFFFFF"/>
            <w:vAlign w:val="bottom"/>
            <w:hideMark/>
          </w:tcPr>
          <w:p w:rsidR="00D62880" w:rsidRPr="00D62880" w:rsidRDefault="00D62880" w:rsidP="00D62880">
            <w:pPr>
              <w:jc w:val="right"/>
              <w:rPr>
                <w:color w:val="000000"/>
                <w:sz w:val="18"/>
                <w:szCs w:val="18"/>
              </w:rPr>
            </w:pPr>
            <w:r w:rsidRPr="00D62880">
              <w:rPr>
                <w:color w:val="000000"/>
                <w:sz w:val="18"/>
                <w:szCs w:val="18"/>
              </w:rPr>
              <w:t>10359</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000000" w:fill="D8E4BC"/>
            <w:noWrap/>
            <w:vAlign w:val="bottom"/>
            <w:hideMark/>
          </w:tcPr>
          <w:p w:rsidR="00D62880" w:rsidRPr="00D62880" w:rsidRDefault="00D62880" w:rsidP="00D62880">
            <w:pPr>
              <w:jc w:val="center"/>
              <w:rPr>
                <w:color w:val="000000"/>
                <w:sz w:val="18"/>
                <w:szCs w:val="18"/>
              </w:rPr>
            </w:pPr>
            <w:r w:rsidRPr="00D62880">
              <w:rPr>
                <w:color w:val="000000"/>
                <w:sz w:val="18"/>
                <w:szCs w:val="18"/>
              </w:rPr>
              <w:t>Výchozí</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84</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2289</w:t>
            </w:r>
          </w:p>
        </w:tc>
        <w:tc>
          <w:tcPr>
            <w:tcW w:w="238"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3344</w:t>
            </w:r>
          </w:p>
        </w:tc>
        <w:tc>
          <w:tcPr>
            <w:tcW w:w="283"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6777</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8361</w:t>
            </w:r>
          </w:p>
        </w:tc>
        <w:tc>
          <w:tcPr>
            <w:tcW w:w="270" w:type="pct"/>
            <w:shd w:val="clear" w:color="000000" w:fill="D8E4BC"/>
            <w:vAlign w:val="bottom"/>
            <w:hideMark/>
          </w:tcPr>
          <w:p w:rsidR="00D62880" w:rsidRPr="00D62880" w:rsidRDefault="00D62880" w:rsidP="00D62880">
            <w:pPr>
              <w:jc w:val="right"/>
              <w:rPr>
                <w:color w:val="000000"/>
                <w:sz w:val="18"/>
                <w:szCs w:val="18"/>
              </w:rPr>
            </w:pPr>
            <w:r w:rsidRPr="00D62880">
              <w:rPr>
                <w:color w:val="000000"/>
                <w:sz w:val="18"/>
                <w:szCs w:val="18"/>
              </w:rPr>
              <w:t>9020</w:t>
            </w:r>
          </w:p>
        </w:tc>
        <w:tc>
          <w:tcPr>
            <w:tcW w:w="271"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N/A</w:t>
            </w:r>
          </w:p>
        </w:tc>
        <w:tc>
          <w:tcPr>
            <w:tcW w:w="270" w:type="pct"/>
            <w:shd w:val="clear" w:color="000000" w:fill="D8E4BC"/>
            <w:noWrap/>
            <w:vAlign w:val="bottom"/>
            <w:hideMark/>
          </w:tcPr>
          <w:p w:rsidR="00D62880" w:rsidRPr="00D62880" w:rsidRDefault="00D62880" w:rsidP="00D62880">
            <w:pPr>
              <w:jc w:val="right"/>
              <w:rPr>
                <w:color w:val="000000"/>
                <w:sz w:val="18"/>
                <w:szCs w:val="18"/>
              </w:rPr>
            </w:pPr>
            <w:r w:rsidRPr="00D62880">
              <w:rPr>
                <w:color w:val="000000"/>
                <w:sz w:val="18"/>
                <w:szCs w:val="18"/>
              </w:rPr>
              <w:t>0</w:t>
            </w:r>
          </w:p>
        </w:tc>
      </w:tr>
      <w:tr w:rsidR="00D62880" w:rsidRPr="00D62880" w:rsidTr="00D62880">
        <w:trPr>
          <w:trHeight w:val="300"/>
        </w:trPr>
        <w:tc>
          <w:tcPr>
            <w:tcW w:w="309" w:type="pct"/>
            <w:vMerge/>
            <w:vAlign w:val="center"/>
            <w:hideMark/>
          </w:tcPr>
          <w:p w:rsidR="00D62880" w:rsidRPr="00D62880" w:rsidRDefault="00D62880" w:rsidP="00D62880">
            <w:pPr>
              <w:rPr>
                <w:color w:val="000000"/>
                <w:sz w:val="18"/>
                <w:szCs w:val="18"/>
              </w:rPr>
            </w:pPr>
          </w:p>
        </w:tc>
        <w:tc>
          <w:tcPr>
            <w:tcW w:w="12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vMerge/>
            <w:vAlign w:val="center"/>
            <w:hideMark/>
          </w:tcPr>
          <w:p w:rsidR="00D62880" w:rsidRPr="00D62880" w:rsidRDefault="00D62880" w:rsidP="00D62880">
            <w:pPr>
              <w:rPr>
                <w:color w:val="000000"/>
                <w:sz w:val="18"/>
                <w:szCs w:val="18"/>
              </w:rPr>
            </w:pPr>
          </w:p>
        </w:tc>
        <w:tc>
          <w:tcPr>
            <w:tcW w:w="309" w:type="pct"/>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Plánovaná</w:t>
            </w:r>
          </w:p>
        </w:tc>
        <w:tc>
          <w:tcPr>
            <w:tcW w:w="2014" w:type="pct"/>
            <w:gridSpan w:val="8"/>
            <w:shd w:val="clear" w:color="auto" w:fill="auto"/>
            <w:noWrap/>
            <w:vAlign w:val="bottom"/>
            <w:hideMark/>
          </w:tcPr>
          <w:p w:rsidR="00D62880" w:rsidRPr="00D62880" w:rsidRDefault="00D62880" w:rsidP="00D62880">
            <w:pPr>
              <w:jc w:val="center"/>
              <w:rPr>
                <w:color w:val="000000"/>
                <w:sz w:val="18"/>
                <w:szCs w:val="18"/>
              </w:rPr>
            </w:pPr>
            <w:r w:rsidRPr="00D62880">
              <w:rPr>
                <w:color w:val="000000"/>
                <w:sz w:val="18"/>
                <w:szCs w:val="18"/>
              </w:rPr>
              <w:t>N/A</w:t>
            </w:r>
          </w:p>
        </w:tc>
        <w:tc>
          <w:tcPr>
            <w:tcW w:w="271"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140</w:t>
            </w:r>
          </w:p>
        </w:tc>
        <w:tc>
          <w:tcPr>
            <w:tcW w:w="270" w:type="pct"/>
            <w:shd w:val="clear" w:color="auto" w:fill="auto"/>
            <w:noWrap/>
            <w:vAlign w:val="bottom"/>
            <w:hideMark/>
          </w:tcPr>
          <w:p w:rsidR="00D62880" w:rsidRPr="00D62880" w:rsidRDefault="00D62880" w:rsidP="00D62880">
            <w:pPr>
              <w:jc w:val="right"/>
              <w:rPr>
                <w:color w:val="000000"/>
                <w:sz w:val="18"/>
                <w:szCs w:val="18"/>
              </w:rPr>
            </w:pPr>
            <w:r w:rsidRPr="00D62880">
              <w:rPr>
                <w:color w:val="000000"/>
                <w:sz w:val="18"/>
                <w:szCs w:val="18"/>
              </w:rPr>
              <w:t>140</w:t>
            </w:r>
          </w:p>
        </w:tc>
      </w:tr>
    </w:tbl>
    <w:p w:rsidR="00A646BF" w:rsidRPr="009026D3" w:rsidRDefault="00A646BF" w:rsidP="00A646BF">
      <w:pPr>
        <w:spacing w:line="276" w:lineRule="auto"/>
        <w:jc w:val="both"/>
        <w:rPr>
          <w:b/>
          <w:i/>
          <w:color w:val="0070C0"/>
          <w:sz w:val="18"/>
          <w:szCs w:val="18"/>
        </w:rPr>
      </w:pPr>
      <w:r w:rsidRPr="00A646BF">
        <w:rPr>
          <w:i/>
          <w:sz w:val="18"/>
          <w:szCs w:val="18"/>
        </w:rPr>
        <w:t xml:space="preserve">Zdroj: MSC 2007 ke dni </w:t>
      </w:r>
      <w:r w:rsidR="00AE4209">
        <w:rPr>
          <w:i/>
          <w:sz w:val="18"/>
          <w:szCs w:val="18"/>
        </w:rPr>
        <w:t>2</w:t>
      </w:r>
      <w:r w:rsidR="00AE4209" w:rsidRPr="00453C61">
        <w:rPr>
          <w:i/>
          <w:sz w:val="18"/>
          <w:szCs w:val="18"/>
        </w:rPr>
        <w:t>. 3. 2015</w:t>
      </w:r>
    </w:p>
    <w:p w:rsidR="00A75862" w:rsidRDefault="00A75862" w:rsidP="00184E0A">
      <w:pPr>
        <w:jc w:val="both"/>
        <w:rPr>
          <w:b/>
          <w:sz w:val="24"/>
          <w:szCs w:val="24"/>
        </w:rPr>
      </w:pPr>
    </w:p>
    <w:p w:rsidR="00A75862" w:rsidRDefault="00A75862" w:rsidP="00184E0A">
      <w:pPr>
        <w:jc w:val="both"/>
        <w:rPr>
          <w:b/>
          <w:sz w:val="24"/>
          <w:szCs w:val="24"/>
        </w:rPr>
      </w:pPr>
    </w:p>
    <w:p w:rsidR="00A75862" w:rsidRPr="001A6861" w:rsidRDefault="001A6861" w:rsidP="006B59CE">
      <w:pPr>
        <w:pStyle w:val="Tabulkanzev"/>
      </w:pPr>
      <w:bookmarkStart w:id="224" w:name="_Toc416431856"/>
      <w:r w:rsidRPr="001A6861">
        <w:t>Indikátory výsledku</w:t>
      </w:r>
      <w:r w:rsidR="00F1486E">
        <w:t xml:space="preserve"> v PO 5</w:t>
      </w:r>
      <w:bookmarkEnd w:id="224"/>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Layout w:type="fixed"/>
        <w:tblCellMar>
          <w:left w:w="70" w:type="dxa"/>
          <w:right w:w="70" w:type="dxa"/>
        </w:tblCellMar>
        <w:tblLook w:val="04A0" w:firstRow="1" w:lastRow="0" w:firstColumn="1" w:lastColumn="0" w:noHBand="0" w:noVBand="1"/>
      </w:tblPr>
      <w:tblGrid>
        <w:gridCol w:w="777"/>
        <w:gridCol w:w="1986"/>
        <w:gridCol w:w="993"/>
        <w:gridCol w:w="851"/>
        <w:gridCol w:w="1273"/>
        <w:gridCol w:w="569"/>
        <w:gridCol w:w="566"/>
        <w:gridCol w:w="707"/>
        <w:gridCol w:w="849"/>
        <w:gridCol w:w="993"/>
        <w:gridCol w:w="993"/>
        <w:gridCol w:w="990"/>
        <w:gridCol w:w="877"/>
        <w:gridCol w:w="860"/>
        <w:gridCol w:w="860"/>
      </w:tblGrid>
      <w:tr w:rsidR="00CE6142" w:rsidRPr="00D92F11" w:rsidTr="009C5A3E">
        <w:trPr>
          <w:trHeight w:val="765"/>
          <w:tblHeader/>
        </w:trPr>
        <w:tc>
          <w:tcPr>
            <w:tcW w:w="275"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Kód NČI</w:t>
            </w:r>
          </w:p>
        </w:tc>
        <w:tc>
          <w:tcPr>
            <w:tcW w:w="702" w:type="pct"/>
            <w:shd w:val="clear" w:color="000000" w:fill="C4D79B"/>
            <w:vAlign w:val="center"/>
            <w:hideMark/>
          </w:tcPr>
          <w:p w:rsidR="00D92F11" w:rsidRPr="00D92F11" w:rsidRDefault="00D92F11" w:rsidP="00D92F11">
            <w:pPr>
              <w:jc w:val="center"/>
              <w:rPr>
                <w:b/>
                <w:bCs/>
                <w:color w:val="000000"/>
              </w:rPr>
            </w:pPr>
            <w:r w:rsidRPr="00D92F11">
              <w:rPr>
                <w:b/>
                <w:bCs/>
                <w:color w:val="000000"/>
              </w:rPr>
              <w:t>Název indikátoru</w:t>
            </w:r>
          </w:p>
        </w:tc>
        <w:tc>
          <w:tcPr>
            <w:tcW w:w="351" w:type="pct"/>
            <w:shd w:val="clear" w:color="000000" w:fill="C4D79B"/>
            <w:vAlign w:val="center"/>
            <w:hideMark/>
          </w:tcPr>
          <w:p w:rsidR="00D92F11" w:rsidRPr="00D92F11" w:rsidRDefault="00D92F11" w:rsidP="00D92F11">
            <w:pPr>
              <w:jc w:val="center"/>
              <w:rPr>
                <w:b/>
                <w:bCs/>
                <w:color w:val="000000"/>
              </w:rPr>
            </w:pPr>
            <w:r w:rsidRPr="00D92F11">
              <w:rPr>
                <w:b/>
                <w:bCs/>
                <w:color w:val="000000"/>
              </w:rPr>
              <w:t>Měrná jednotka</w:t>
            </w:r>
          </w:p>
        </w:tc>
        <w:tc>
          <w:tcPr>
            <w:tcW w:w="301"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 xml:space="preserve">Zdroj </w:t>
            </w:r>
          </w:p>
        </w:tc>
        <w:tc>
          <w:tcPr>
            <w:tcW w:w="450"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 xml:space="preserve">Hodnota </w:t>
            </w:r>
          </w:p>
        </w:tc>
        <w:tc>
          <w:tcPr>
            <w:tcW w:w="201"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2007</w:t>
            </w:r>
          </w:p>
        </w:tc>
        <w:tc>
          <w:tcPr>
            <w:tcW w:w="200"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2008</w:t>
            </w:r>
          </w:p>
        </w:tc>
        <w:tc>
          <w:tcPr>
            <w:tcW w:w="250"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2009</w:t>
            </w:r>
          </w:p>
        </w:tc>
        <w:tc>
          <w:tcPr>
            <w:tcW w:w="300"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2010</w:t>
            </w:r>
          </w:p>
        </w:tc>
        <w:tc>
          <w:tcPr>
            <w:tcW w:w="351"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2011</w:t>
            </w:r>
          </w:p>
        </w:tc>
        <w:tc>
          <w:tcPr>
            <w:tcW w:w="351"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2012</w:t>
            </w:r>
          </w:p>
        </w:tc>
        <w:tc>
          <w:tcPr>
            <w:tcW w:w="350"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2013</w:t>
            </w:r>
          </w:p>
        </w:tc>
        <w:tc>
          <w:tcPr>
            <w:tcW w:w="310"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2014</w:t>
            </w:r>
          </w:p>
        </w:tc>
        <w:tc>
          <w:tcPr>
            <w:tcW w:w="304" w:type="pct"/>
            <w:shd w:val="clear" w:color="000000" w:fill="C4D79B"/>
            <w:vAlign w:val="center"/>
            <w:hideMark/>
          </w:tcPr>
          <w:p w:rsidR="00D92F11" w:rsidRPr="00D92F11" w:rsidRDefault="00D92F11" w:rsidP="00D92F11">
            <w:pPr>
              <w:jc w:val="center"/>
              <w:rPr>
                <w:b/>
                <w:bCs/>
                <w:color w:val="000000"/>
              </w:rPr>
            </w:pPr>
            <w:r w:rsidRPr="00D92F11">
              <w:rPr>
                <w:b/>
                <w:bCs/>
                <w:color w:val="000000"/>
              </w:rPr>
              <w:t>Cílová hodnota 2015</w:t>
            </w:r>
          </w:p>
        </w:tc>
        <w:tc>
          <w:tcPr>
            <w:tcW w:w="304" w:type="pct"/>
            <w:shd w:val="clear" w:color="000000" w:fill="C4D79B"/>
            <w:noWrap/>
            <w:vAlign w:val="center"/>
            <w:hideMark/>
          </w:tcPr>
          <w:p w:rsidR="00D92F11" w:rsidRPr="00D92F11" w:rsidRDefault="00D92F11" w:rsidP="00D92F11">
            <w:pPr>
              <w:jc w:val="center"/>
              <w:rPr>
                <w:b/>
                <w:bCs/>
                <w:color w:val="000000"/>
              </w:rPr>
            </w:pPr>
            <w:r w:rsidRPr="00D92F11">
              <w:rPr>
                <w:b/>
                <w:bCs/>
                <w:color w:val="000000"/>
              </w:rPr>
              <w:t xml:space="preserve">Celkem </w:t>
            </w:r>
          </w:p>
        </w:tc>
      </w:tr>
      <w:tr w:rsidR="00CE6142" w:rsidRPr="00D92F11" w:rsidTr="00CE6142">
        <w:trPr>
          <w:trHeight w:val="300"/>
        </w:trPr>
        <w:tc>
          <w:tcPr>
            <w:tcW w:w="275"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410404</w:t>
            </w:r>
          </w:p>
        </w:tc>
        <w:tc>
          <w:tcPr>
            <w:tcW w:w="702" w:type="pct"/>
            <w:vMerge w:val="restart"/>
            <w:shd w:val="clear" w:color="000000" w:fill="FFFFFF"/>
            <w:vAlign w:val="center"/>
            <w:hideMark/>
          </w:tcPr>
          <w:p w:rsidR="00D92F11" w:rsidRPr="00D92F11" w:rsidRDefault="00D92F11" w:rsidP="00D92F11">
            <w:pPr>
              <w:rPr>
                <w:color w:val="000000"/>
                <w:sz w:val="18"/>
                <w:szCs w:val="18"/>
              </w:rPr>
            </w:pPr>
            <w:r w:rsidRPr="00D92F11">
              <w:rPr>
                <w:color w:val="000000"/>
                <w:sz w:val="18"/>
                <w:szCs w:val="18"/>
              </w:rPr>
              <w:t xml:space="preserve">Počet vytvořených metodik v oblasti kulturního dědictví </w:t>
            </w:r>
          </w:p>
        </w:tc>
        <w:tc>
          <w:tcPr>
            <w:tcW w:w="35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Počet</w:t>
            </w:r>
          </w:p>
        </w:tc>
        <w:tc>
          <w:tcPr>
            <w:tcW w:w="301" w:type="pct"/>
            <w:vMerge w:val="restart"/>
            <w:shd w:val="clear" w:color="auto" w:fill="auto"/>
            <w:vAlign w:val="center"/>
            <w:hideMark/>
          </w:tcPr>
          <w:p w:rsidR="00D92F11" w:rsidRPr="00D92F11" w:rsidRDefault="00D92F11" w:rsidP="00D92F11">
            <w:pPr>
              <w:rPr>
                <w:color w:val="000000"/>
                <w:sz w:val="18"/>
                <w:szCs w:val="18"/>
              </w:rPr>
            </w:pPr>
            <w:r w:rsidRPr="00D92F11">
              <w:rPr>
                <w:color w:val="000000"/>
                <w:sz w:val="18"/>
                <w:szCs w:val="18"/>
              </w:rPr>
              <w:t>ŘO IOP</w:t>
            </w:r>
          </w:p>
        </w:tc>
        <w:tc>
          <w:tcPr>
            <w:tcW w:w="450" w:type="pct"/>
            <w:shd w:val="clear" w:color="000000" w:fill="FFFFFF"/>
            <w:noWrap/>
            <w:vAlign w:val="bottom"/>
            <w:hideMark/>
          </w:tcPr>
          <w:p w:rsidR="00D92F11" w:rsidRPr="00D92F11" w:rsidRDefault="00D92F11" w:rsidP="00D92F11">
            <w:pPr>
              <w:jc w:val="center"/>
              <w:rPr>
                <w:color w:val="000000"/>
                <w:sz w:val="18"/>
                <w:szCs w:val="18"/>
              </w:rPr>
            </w:pPr>
            <w:r w:rsidRPr="00D92F11">
              <w:rPr>
                <w:color w:val="000000"/>
                <w:sz w:val="18"/>
                <w:szCs w:val="18"/>
              </w:rPr>
              <w:t>Dosažená</w:t>
            </w:r>
          </w:p>
        </w:tc>
        <w:tc>
          <w:tcPr>
            <w:tcW w:w="201"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10" w:type="pct"/>
            <w:shd w:val="clear" w:color="000000" w:fill="FFFFFF"/>
            <w:vAlign w:val="bottom"/>
            <w:hideMark/>
          </w:tcPr>
          <w:p w:rsidR="00D92F11" w:rsidRPr="00D92F11" w:rsidRDefault="00A10849" w:rsidP="00D92F11">
            <w:pPr>
              <w:jc w:val="right"/>
              <w:rPr>
                <w:color w:val="000000"/>
                <w:sz w:val="18"/>
                <w:szCs w:val="18"/>
              </w:rPr>
            </w:pPr>
            <w:r>
              <w:rPr>
                <w:color w:val="000000"/>
                <w:sz w:val="18"/>
                <w:szCs w:val="18"/>
              </w:rPr>
              <w:t>N/A</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000000" w:fill="D8E4BC"/>
            <w:noWrap/>
            <w:vAlign w:val="bottom"/>
            <w:hideMark/>
          </w:tcPr>
          <w:p w:rsidR="00D92F11" w:rsidRPr="00D92F11" w:rsidRDefault="00D92F11" w:rsidP="00D92F11">
            <w:pPr>
              <w:jc w:val="center"/>
              <w:rPr>
                <w:color w:val="000000"/>
                <w:sz w:val="18"/>
                <w:szCs w:val="18"/>
              </w:rPr>
            </w:pPr>
            <w:r w:rsidRPr="00D92F11">
              <w:rPr>
                <w:color w:val="000000"/>
                <w:sz w:val="18"/>
                <w:szCs w:val="18"/>
              </w:rPr>
              <w:t>Výchozí</w:t>
            </w:r>
          </w:p>
        </w:tc>
        <w:tc>
          <w:tcPr>
            <w:tcW w:w="201"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1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D8E4BC"/>
            <w:noWrap/>
            <w:vAlign w:val="bottom"/>
            <w:hideMark/>
          </w:tcPr>
          <w:p w:rsidR="00D92F11" w:rsidRPr="00D92F11" w:rsidRDefault="00C8156A" w:rsidP="00D92F11">
            <w:pPr>
              <w:jc w:val="right"/>
              <w:rPr>
                <w:color w:val="000000"/>
                <w:sz w:val="18"/>
                <w:szCs w:val="18"/>
              </w:rPr>
            </w:pPr>
            <w:r>
              <w:rPr>
                <w:color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Plánovaná</w:t>
            </w:r>
          </w:p>
        </w:tc>
        <w:tc>
          <w:tcPr>
            <w:tcW w:w="2313" w:type="pct"/>
            <w:gridSpan w:val="8"/>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N/A</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13</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13</w:t>
            </w:r>
          </w:p>
        </w:tc>
      </w:tr>
      <w:tr w:rsidR="00CE6142" w:rsidRPr="00D92F11" w:rsidTr="00CE6142">
        <w:trPr>
          <w:trHeight w:val="300"/>
        </w:trPr>
        <w:tc>
          <w:tcPr>
            <w:tcW w:w="275"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410411</w:t>
            </w:r>
          </w:p>
        </w:tc>
        <w:tc>
          <w:tcPr>
            <w:tcW w:w="702" w:type="pct"/>
            <w:vMerge w:val="restart"/>
            <w:shd w:val="clear" w:color="000000" w:fill="FFFFFF"/>
            <w:vAlign w:val="center"/>
            <w:hideMark/>
          </w:tcPr>
          <w:p w:rsidR="00D92F11" w:rsidRPr="00D92F11" w:rsidRDefault="00D92F11" w:rsidP="00D92F11">
            <w:pPr>
              <w:rPr>
                <w:color w:val="000000"/>
                <w:sz w:val="18"/>
                <w:szCs w:val="18"/>
              </w:rPr>
            </w:pPr>
            <w:r w:rsidRPr="00D92F11">
              <w:rPr>
                <w:color w:val="000000"/>
                <w:sz w:val="18"/>
                <w:szCs w:val="18"/>
              </w:rPr>
              <w:t xml:space="preserve">Zvýšení počtu návštěvníků památek a kulturních zařízení </w:t>
            </w:r>
          </w:p>
        </w:tc>
        <w:tc>
          <w:tcPr>
            <w:tcW w:w="35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w:t>
            </w:r>
          </w:p>
        </w:tc>
        <w:tc>
          <w:tcPr>
            <w:tcW w:w="30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ŘO IOP</w:t>
            </w:r>
          </w:p>
        </w:tc>
        <w:tc>
          <w:tcPr>
            <w:tcW w:w="450" w:type="pct"/>
            <w:shd w:val="clear" w:color="000000" w:fill="FFFFFF"/>
            <w:noWrap/>
            <w:vAlign w:val="bottom"/>
            <w:hideMark/>
          </w:tcPr>
          <w:p w:rsidR="00D92F11" w:rsidRPr="00D92F11" w:rsidRDefault="00D92F11" w:rsidP="00D92F11">
            <w:pPr>
              <w:jc w:val="center"/>
              <w:rPr>
                <w:color w:val="000000"/>
                <w:sz w:val="18"/>
                <w:szCs w:val="18"/>
              </w:rPr>
            </w:pPr>
            <w:r w:rsidRPr="00D92F11">
              <w:rPr>
                <w:color w:val="000000"/>
                <w:sz w:val="18"/>
                <w:szCs w:val="18"/>
              </w:rPr>
              <w:t>Dosažená</w:t>
            </w:r>
          </w:p>
        </w:tc>
        <w:tc>
          <w:tcPr>
            <w:tcW w:w="201"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200"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2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30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103</w:t>
            </w:r>
          </w:p>
        </w:tc>
        <w:tc>
          <w:tcPr>
            <w:tcW w:w="350" w:type="pct"/>
            <w:shd w:val="clear" w:color="000000" w:fill="FFFFFF"/>
            <w:vAlign w:val="bottom"/>
            <w:hideMark/>
          </w:tcPr>
          <w:p w:rsidR="00D92F11" w:rsidRPr="00D92F11" w:rsidRDefault="00A10849" w:rsidP="00D92F11">
            <w:pPr>
              <w:jc w:val="right"/>
              <w:rPr>
                <w:color w:val="000000"/>
                <w:sz w:val="18"/>
                <w:szCs w:val="18"/>
              </w:rPr>
            </w:pPr>
            <w:r>
              <w:rPr>
                <w:color w:val="000000"/>
                <w:sz w:val="18"/>
                <w:szCs w:val="18"/>
              </w:rPr>
              <w:t>128,9</w:t>
            </w:r>
          </w:p>
        </w:tc>
        <w:tc>
          <w:tcPr>
            <w:tcW w:w="31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142</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142</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000000" w:fill="D8E4BC"/>
            <w:noWrap/>
            <w:vAlign w:val="bottom"/>
            <w:hideMark/>
          </w:tcPr>
          <w:p w:rsidR="00D92F11" w:rsidRPr="00D92F11" w:rsidRDefault="00D92F11" w:rsidP="00D92F11">
            <w:pPr>
              <w:jc w:val="center"/>
              <w:rPr>
                <w:color w:val="000000"/>
                <w:sz w:val="18"/>
                <w:szCs w:val="18"/>
              </w:rPr>
            </w:pPr>
            <w:r w:rsidRPr="00D92F11">
              <w:rPr>
                <w:color w:val="000000"/>
                <w:sz w:val="18"/>
                <w:szCs w:val="18"/>
              </w:rPr>
              <w:t>Výchozí</w:t>
            </w:r>
          </w:p>
        </w:tc>
        <w:tc>
          <w:tcPr>
            <w:tcW w:w="201"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200"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2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30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100</w:t>
            </w:r>
          </w:p>
        </w:tc>
        <w:tc>
          <w:tcPr>
            <w:tcW w:w="350" w:type="pct"/>
            <w:shd w:val="clear" w:color="000000" w:fill="D8E4BC"/>
            <w:vAlign w:val="bottom"/>
            <w:hideMark/>
          </w:tcPr>
          <w:p w:rsidR="00D92F11" w:rsidRPr="00D92F11" w:rsidRDefault="00D92F11" w:rsidP="00C8156A">
            <w:pPr>
              <w:jc w:val="right"/>
              <w:rPr>
                <w:color w:val="000000"/>
                <w:sz w:val="18"/>
                <w:szCs w:val="18"/>
              </w:rPr>
            </w:pPr>
            <w:r w:rsidRPr="00D92F11">
              <w:rPr>
                <w:color w:val="000000"/>
                <w:sz w:val="18"/>
                <w:szCs w:val="18"/>
              </w:rPr>
              <w:t>10</w:t>
            </w:r>
            <w:r w:rsidR="00C8156A">
              <w:rPr>
                <w:color w:val="000000"/>
                <w:sz w:val="18"/>
                <w:szCs w:val="18"/>
              </w:rPr>
              <w:t>3</w:t>
            </w:r>
          </w:p>
        </w:tc>
        <w:tc>
          <w:tcPr>
            <w:tcW w:w="310" w:type="pct"/>
            <w:shd w:val="clear" w:color="000000" w:fill="D8E4BC"/>
            <w:vAlign w:val="bottom"/>
            <w:hideMark/>
          </w:tcPr>
          <w:p w:rsidR="00D92F11" w:rsidRPr="00D92F11" w:rsidRDefault="00A10849" w:rsidP="00D92F11">
            <w:pPr>
              <w:jc w:val="right"/>
              <w:rPr>
                <w:color w:val="000000"/>
                <w:sz w:val="18"/>
                <w:szCs w:val="18"/>
              </w:rPr>
            </w:pPr>
            <w:r>
              <w:rPr>
                <w:color w:val="000000"/>
                <w:sz w:val="18"/>
                <w:szCs w:val="18"/>
              </w:rPr>
              <w:t>128,9</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100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Plánovaná</w:t>
            </w:r>
          </w:p>
        </w:tc>
        <w:tc>
          <w:tcPr>
            <w:tcW w:w="2313" w:type="pct"/>
            <w:gridSpan w:val="8"/>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N/A</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161</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161</w:t>
            </w:r>
          </w:p>
        </w:tc>
      </w:tr>
      <w:tr w:rsidR="00CE6142" w:rsidRPr="00D92F11" w:rsidTr="00CE6142">
        <w:trPr>
          <w:trHeight w:val="300"/>
        </w:trPr>
        <w:tc>
          <w:tcPr>
            <w:tcW w:w="275"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331200</w:t>
            </w:r>
          </w:p>
        </w:tc>
        <w:tc>
          <w:tcPr>
            <w:tcW w:w="702" w:type="pct"/>
            <w:vMerge w:val="restart"/>
            <w:shd w:val="clear" w:color="000000" w:fill="FFFFFF"/>
            <w:vAlign w:val="center"/>
            <w:hideMark/>
          </w:tcPr>
          <w:p w:rsidR="00D92F11" w:rsidRPr="00D92F11" w:rsidRDefault="00D92F11" w:rsidP="00D92F11">
            <w:pPr>
              <w:rPr>
                <w:color w:val="000000"/>
                <w:sz w:val="18"/>
                <w:szCs w:val="18"/>
              </w:rPr>
            </w:pPr>
            <w:r w:rsidRPr="00D92F11">
              <w:rPr>
                <w:color w:val="000000"/>
                <w:sz w:val="18"/>
                <w:szCs w:val="18"/>
              </w:rPr>
              <w:t xml:space="preserve">Počet regenerovaných bytů </w:t>
            </w:r>
          </w:p>
        </w:tc>
        <w:tc>
          <w:tcPr>
            <w:tcW w:w="35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Počet</w:t>
            </w:r>
          </w:p>
        </w:tc>
        <w:tc>
          <w:tcPr>
            <w:tcW w:w="30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ŘO IOP</w:t>
            </w:r>
          </w:p>
        </w:tc>
        <w:tc>
          <w:tcPr>
            <w:tcW w:w="450" w:type="pct"/>
            <w:shd w:val="clear" w:color="000000" w:fill="FFFFFF"/>
            <w:noWrap/>
            <w:vAlign w:val="bottom"/>
            <w:hideMark/>
          </w:tcPr>
          <w:p w:rsidR="00D92F11" w:rsidRPr="00D92F11" w:rsidRDefault="00D92F11" w:rsidP="00D92F11">
            <w:pPr>
              <w:jc w:val="center"/>
              <w:rPr>
                <w:color w:val="000000"/>
                <w:sz w:val="18"/>
                <w:szCs w:val="18"/>
              </w:rPr>
            </w:pPr>
            <w:r w:rsidRPr="00D92F11">
              <w:rPr>
                <w:color w:val="000000"/>
                <w:sz w:val="18"/>
                <w:szCs w:val="18"/>
              </w:rPr>
              <w:t>Dosažená</w:t>
            </w:r>
          </w:p>
        </w:tc>
        <w:tc>
          <w:tcPr>
            <w:tcW w:w="201"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FFFFFF"/>
            <w:vAlign w:val="bottom"/>
            <w:hideMark/>
          </w:tcPr>
          <w:p w:rsidR="00D92F11" w:rsidRPr="00D92F11" w:rsidRDefault="00A10849" w:rsidP="00D92F11">
            <w:pPr>
              <w:jc w:val="right"/>
              <w:rPr>
                <w:color w:val="000000"/>
                <w:sz w:val="18"/>
                <w:szCs w:val="18"/>
              </w:rPr>
            </w:pPr>
            <w:r>
              <w:rPr>
                <w:color w:val="000000"/>
                <w:sz w:val="18"/>
                <w:szCs w:val="18"/>
              </w:rPr>
              <w:t>0</w:t>
            </w:r>
          </w:p>
        </w:tc>
        <w:tc>
          <w:tcPr>
            <w:tcW w:w="30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10 126</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24 809</w:t>
            </w:r>
          </w:p>
        </w:tc>
        <w:tc>
          <w:tcPr>
            <w:tcW w:w="351" w:type="pct"/>
            <w:shd w:val="clear" w:color="000000" w:fill="FFFFFF"/>
            <w:vAlign w:val="bottom"/>
            <w:hideMark/>
          </w:tcPr>
          <w:p w:rsidR="00D92F11" w:rsidRPr="00D92F11" w:rsidRDefault="00D92F11" w:rsidP="00A10849">
            <w:pPr>
              <w:jc w:val="right"/>
              <w:rPr>
                <w:color w:val="000000"/>
                <w:sz w:val="18"/>
                <w:szCs w:val="18"/>
              </w:rPr>
            </w:pPr>
            <w:r w:rsidRPr="00D92F11">
              <w:rPr>
                <w:color w:val="000000"/>
                <w:sz w:val="18"/>
                <w:szCs w:val="18"/>
              </w:rPr>
              <w:t xml:space="preserve">35 </w:t>
            </w:r>
            <w:r w:rsidR="00A10849">
              <w:rPr>
                <w:color w:val="000000"/>
                <w:sz w:val="18"/>
                <w:szCs w:val="18"/>
              </w:rPr>
              <w:t>888</w:t>
            </w:r>
          </w:p>
        </w:tc>
        <w:tc>
          <w:tcPr>
            <w:tcW w:w="3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45 341</w:t>
            </w:r>
          </w:p>
        </w:tc>
        <w:tc>
          <w:tcPr>
            <w:tcW w:w="31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55 099</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55</w:t>
            </w:r>
            <w:r w:rsidR="00A10849">
              <w:rPr>
                <w:color w:val="000000"/>
                <w:sz w:val="18"/>
                <w:szCs w:val="18"/>
              </w:rPr>
              <w:t xml:space="preserve"> </w:t>
            </w:r>
            <w:r w:rsidRPr="00D92F11">
              <w:rPr>
                <w:color w:val="000000"/>
                <w:sz w:val="18"/>
                <w:szCs w:val="18"/>
              </w:rPr>
              <w:t>099</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000000" w:fill="D8E4BC"/>
            <w:noWrap/>
            <w:vAlign w:val="bottom"/>
            <w:hideMark/>
          </w:tcPr>
          <w:p w:rsidR="00D92F11" w:rsidRPr="00D92F11" w:rsidRDefault="00D92F11" w:rsidP="00D92F11">
            <w:pPr>
              <w:jc w:val="center"/>
              <w:rPr>
                <w:color w:val="000000"/>
                <w:sz w:val="18"/>
                <w:szCs w:val="18"/>
              </w:rPr>
            </w:pPr>
            <w:r w:rsidRPr="00D92F11">
              <w:rPr>
                <w:color w:val="000000"/>
                <w:sz w:val="18"/>
                <w:szCs w:val="18"/>
              </w:rPr>
              <w:t>Výchozí</w:t>
            </w:r>
          </w:p>
        </w:tc>
        <w:tc>
          <w:tcPr>
            <w:tcW w:w="201"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D8E4BC"/>
            <w:vAlign w:val="bottom"/>
            <w:hideMark/>
          </w:tcPr>
          <w:p w:rsidR="00D92F11" w:rsidRPr="00D92F11" w:rsidRDefault="00A10849" w:rsidP="00D92F11">
            <w:pPr>
              <w:jc w:val="right"/>
              <w:rPr>
                <w:color w:val="000000"/>
                <w:sz w:val="18"/>
                <w:szCs w:val="18"/>
              </w:rPr>
            </w:pPr>
            <w:r>
              <w:rPr>
                <w:color w:val="000000"/>
                <w:sz w:val="18"/>
                <w:szCs w:val="18"/>
              </w:rPr>
              <w:t>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10 126</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24 809</w:t>
            </w:r>
          </w:p>
        </w:tc>
        <w:tc>
          <w:tcPr>
            <w:tcW w:w="350" w:type="pct"/>
            <w:shd w:val="clear" w:color="000000" w:fill="D8E4BC"/>
            <w:vAlign w:val="bottom"/>
            <w:hideMark/>
          </w:tcPr>
          <w:p w:rsidR="00D92F11" w:rsidRPr="00D92F11" w:rsidRDefault="00D92F11" w:rsidP="00A10849">
            <w:pPr>
              <w:jc w:val="right"/>
              <w:rPr>
                <w:color w:val="000000"/>
                <w:sz w:val="18"/>
                <w:szCs w:val="18"/>
              </w:rPr>
            </w:pPr>
            <w:r w:rsidRPr="00D92F11">
              <w:rPr>
                <w:color w:val="000000"/>
                <w:sz w:val="18"/>
                <w:szCs w:val="18"/>
              </w:rPr>
              <w:t xml:space="preserve">35 </w:t>
            </w:r>
            <w:r w:rsidR="00A10849">
              <w:rPr>
                <w:color w:val="000000"/>
                <w:sz w:val="18"/>
                <w:szCs w:val="18"/>
              </w:rPr>
              <w:t>888</w:t>
            </w:r>
          </w:p>
        </w:tc>
        <w:tc>
          <w:tcPr>
            <w:tcW w:w="31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45 341</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Plánovaná</w:t>
            </w:r>
          </w:p>
        </w:tc>
        <w:tc>
          <w:tcPr>
            <w:tcW w:w="2313" w:type="pct"/>
            <w:gridSpan w:val="8"/>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N/A</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24 500</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24 500</w:t>
            </w:r>
          </w:p>
        </w:tc>
      </w:tr>
      <w:tr w:rsidR="00CE6142" w:rsidRPr="00D92F11" w:rsidTr="00CE6142">
        <w:trPr>
          <w:trHeight w:val="300"/>
        </w:trPr>
        <w:tc>
          <w:tcPr>
            <w:tcW w:w="275"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lastRenderedPageBreak/>
              <w:t>331300</w:t>
            </w:r>
          </w:p>
        </w:tc>
        <w:tc>
          <w:tcPr>
            <w:tcW w:w="702" w:type="pct"/>
            <w:vMerge w:val="restart"/>
            <w:shd w:val="clear" w:color="000000" w:fill="FFFFFF"/>
            <w:vAlign w:val="center"/>
            <w:hideMark/>
          </w:tcPr>
          <w:p w:rsidR="00D92F11" w:rsidRPr="00D92F11" w:rsidRDefault="00D92F11" w:rsidP="00D92F11">
            <w:pPr>
              <w:rPr>
                <w:color w:val="000000"/>
                <w:sz w:val="18"/>
                <w:szCs w:val="18"/>
              </w:rPr>
            </w:pPr>
            <w:r w:rsidRPr="00D92F11">
              <w:rPr>
                <w:color w:val="000000"/>
                <w:sz w:val="18"/>
                <w:szCs w:val="18"/>
              </w:rPr>
              <w:t xml:space="preserve">Plocha revitalizovaného území </w:t>
            </w:r>
          </w:p>
        </w:tc>
        <w:tc>
          <w:tcPr>
            <w:tcW w:w="35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m2</w:t>
            </w:r>
          </w:p>
        </w:tc>
        <w:tc>
          <w:tcPr>
            <w:tcW w:w="301" w:type="pct"/>
            <w:vMerge w:val="restart"/>
            <w:shd w:val="clear" w:color="auto" w:fill="auto"/>
            <w:vAlign w:val="center"/>
            <w:hideMark/>
          </w:tcPr>
          <w:p w:rsidR="00D92F11" w:rsidRPr="00D92F11" w:rsidRDefault="00D92F11" w:rsidP="00D92F11">
            <w:pPr>
              <w:rPr>
                <w:color w:val="000000"/>
                <w:sz w:val="18"/>
                <w:szCs w:val="18"/>
              </w:rPr>
            </w:pPr>
            <w:r w:rsidRPr="00D92F11">
              <w:rPr>
                <w:color w:val="000000"/>
                <w:sz w:val="18"/>
                <w:szCs w:val="18"/>
              </w:rPr>
              <w:t>ŘO IOP</w:t>
            </w:r>
          </w:p>
        </w:tc>
        <w:tc>
          <w:tcPr>
            <w:tcW w:w="450" w:type="pct"/>
            <w:shd w:val="clear" w:color="000000" w:fill="FFFFFF"/>
            <w:noWrap/>
            <w:vAlign w:val="bottom"/>
            <w:hideMark/>
          </w:tcPr>
          <w:p w:rsidR="00D92F11" w:rsidRPr="00D92F11" w:rsidRDefault="00D92F11" w:rsidP="00D92F11">
            <w:pPr>
              <w:jc w:val="center"/>
              <w:rPr>
                <w:color w:val="000000"/>
                <w:sz w:val="18"/>
                <w:szCs w:val="18"/>
              </w:rPr>
            </w:pPr>
            <w:r w:rsidRPr="00D92F11">
              <w:rPr>
                <w:color w:val="000000"/>
                <w:sz w:val="18"/>
                <w:szCs w:val="18"/>
              </w:rPr>
              <w:t>Dosažená</w:t>
            </w:r>
          </w:p>
        </w:tc>
        <w:tc>
          <w:tcPr>
            <w:tcW w:w="201"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381 848</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1 094 067</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2 182 516</w:t>
            </w:r>
          </w:p>
        </w:tc>
        <w:tc>
          <w:tcPr>
            <w:tcW w:w="3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3 165 872</w:t>
            </w:r>
          </w:p>
        </w:tc>
        <w:tc>
          <w:tcPr>
            <w:tcW w:w="31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4 390 968</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4 390 968</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000000" w:fill="D8E4BC"/>
            <w:noWrap/>
            <w:vAlign w:val="bottom"/>
            <w:hideMark/>
          </w:tcPr>
          <w:p w:rsidR="00D92F11" w:rsidRPr="00D92F11" w:rsidRDefault="00D92F11" w:rsidP="00D92F11">
            <w:pPr>
              <w:jc w:val="center"/>
              <w:rPr>
                <w:color w:val="000000"/>
                <w:sz w:val="18"/>
                <w:szCs w:val="18"/>
              </w:rPr>
            </w:pPr>
            <w:r w:rsidRPr="00D92F11">
              <w:rPr>
                <w:color w:val="000000"/>
                <w:sz w:val="18"/>
                <w:szCs w:val="18"/>
              </w:rPr>
              <w:t>Výchozí</w:t>
            </w:r>
          </w:p>
        </w:tc>
        <w:tc>
          <w:tcPr>
            <w:tcW w:w="201"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381 848</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1 094 067</w:t>
            </w:r>
          </w:p>
        </w:tc>
        <w:tc>
          <w:tcPr>
            <w:tcW w:w="3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2 182 516</w:t>
            </w:r>
          </w:p>
        </w:tc>
        <w:tc>
          <w:tcPr>
            <w:tcW w:w="31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3 165 872</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Plánovaná</w:t>
            </w:r>
          </w:p>
        </w:tc>
        <w:tc>
          <w:tcPr>
            <w:tcW w:w="2313" w:type="pct"/>
            <w:gridSpan w:val="8"/>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N/A</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4 108 000</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4 108 000</w:t>
            </w:r>
          </w:p>
        </w:tc>
      </w:tr>
      <w:tr w:rsidR="00CE6142" w:rsidRPr="00D92F11" w:rsidTr="00CE6142">
        <w:trPr>
          <w:trHeight w:val="300"/>
        </w:trPr>
        <w:tc>
          <w:tcPr>
            <w:tcW w:w="275"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331500</w:t>
            </w:r>
          </w:p>
        </w:tc>
        <w:tc>
          <w:tcPr>
            <w:tcW w:w="702" w:type="pct"/>
            <w:vMerge w:val="restart"/>
            <w:shd w:val="clear" w:color="000000" w:fill="FFFFFF"/>
            <w:vAlign w:val="center"/>
            <w:hideMark/>
          </w:tcPr>
          <w:p w:rsidR="00D92F11" w:rsidRPr="00D92F11" w:rsidRDefault="00D92F11" w:rsidP="00D92F11">
            <w:pPr>
              <w:rPr>
                <w:color w:val="000000"/>
                <w:sz w:val="18"/>
                <w:szCs w:val="18"/>
              </w:rPr>
            </w:pPr>
            <w:r w:rsidRPr="00D92F11">
              <w:rPr>
                <w:color w:val="000000"/>
                <w:sz w:val="18"/>
                <w:szCs w:val="18"/>
              </w:rPr>
              <w:t xml:space="preserve">Úspora spotřeby energie bytových domů </w:t>
            </w:r>
          </w:p>
        </w:tc>
        <w:tc>
          <w:tcPr>
            <w:tcW w:w="35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w:t>
            </w:r>
          </w:p>
        </w:tc>
        <w:tc>
          <w:tcPr>
            <w:tcW w:w="30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ŘO IOP</w:t>
            </w:r>
          </w:p>
        </w:tc>
        <w:tc>
          <w:tcPr>
            <w:tcW w:w="450" w:type="pct"/>
            <w:shd w:val="clear" w:color="000000" w:fill="FFFFFF"/>
            <w:noWrap/>
            <w:vAlign w:val="bottom"/>
            <w:hideMark/>
          </w:tcPr>
          <w:p w:rsidR="00D92F11" w:rsidRPr="00D92F11" w:rsidRDefault="00D92F11" w:rsidP="00D92F11">
            <w:pPr>
              <w:jc w:val="center"/>
              <w:rPr>
                <w:color w:val="000000"/>
                <w:sz w:val="18"/>
                <w:szCs w:val="18"/>
              </w:rPr>
            </w:pPr>
            <w:r w:rsidRPr="00D92F11">
              <w:rPr>
                <w:color w:val="000000"/>
                <w:sz w:val="18"/>
                <w:szCs w:val="18"/>
              </w:rPr>
              <w:t>Dosažená</w:t>
            </w:r>
          </w:p>
        </w:tc>
        <w:tc>
          <w:tcPr>
            <w:tcW w:w="201"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FFFFFF"/>
            <w:vAlign w:val="bottom"/>
            <w:hideMark/>
          </w:tcPr>
          <w:p w:rsidR="00D92F11" w:rsidRPr="00D92F11" w:rsidRDefault="00A10849" w:rsidP="00D92F11">
            <w:pPr>
              <w:jc w:val="right"/>
              <w:rPr>
                <w:color w:val="000000"/>
                <w:sz w:val="18"/>
                <w:szCs w:val="18"/>
              </w:rPr>
            </w:pPr>
            <w:r>
              <w:rPr>
                <w:color w:val="000000"/>
                <w:sz w:val="18"/>
                <w:szCs w:val="18"/>
              </w:rPr>
              <w:t>0</w:t>
            </w:r>
          </w:p>
        </w:tc>
        <w:tc>
          <w:tcPr>
            <w:tcW w:w="30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23,63</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31,6</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33,75</w:t>
            </w:r>
          </w:p>
        </w:tc>
        <w:tc>
          <w:tcPr>
            <w:tcW w:w="3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28,4</w:t>
            </w:r>
          </w:p>
        </w:tc>
        <w:tc>
          <w:tcPr>
            <w:tcW w:w="31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30,54</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30,54</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000000" w:fill="D8E4BC"/>
            <w:noWrap/>
            <w:vAlign w:val="bottom"/>
            <w:hideMark/>
          </w:tcPr>
          <w:p w:rsidR="00D92F11" w:rsidRPr="00D92F11" w:rsidRDefault="00D92F11" w:rsidP="00D92F11">
            <w:pPr>
              <w:jc w:val="center"/>
              <w:rPr>
                <w:color w:val="000000"/>
                <w:sz w:val="18"/>
                <w:szCs w:val="18"/>
              </w:rPr>
            </w:pPr>
            <w:r w:rsidRPr="00D92F11">
              <w:rPr>
                <w:color w:val="000000"/>
                <w:sz w:val="18"/>
                <w:szCs w:val="18"/>
              </w:rPr>
              <w:t>Výchozí</w:t>
            </w:r>
          </w:p>
        </w:tc>
        <w:tc>
          <w:tcPr>
            <w:tcW w:w="201"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D8E4BC"/>
            <w:vAlign w:val="bottom"/>
            <w:hideMark/>
          </w:tcPr>
          <w:p w:rsidR="00D92F11" w:rsidRPr="00D92F11" w:rsidRDefault="00A10849" w:rsidP="00D92F11">
            <w:pPr>
              <w:jc w:val="right"/>
              <w:rPr>
                <w:color w:val="000000"/>
                <w:sz w:val="18"/>
                <w:szCs w:val="18"/>
              </w:rPr>
            </w:pPr>
            <w:r>
              <w:rPr>
                <w:color w:val="000000"/>
                <w:sz w:val="18"/>
                <w:szCs w:val="18"/>
              </w:rPr>
              <w:t>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23,63</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31,6</w:t>
            </w:r>
          </w:p>
        </w:tc>
        <w:tc>
          <w:tcPr>
            <w:tcW w:w="3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32,76</w:t>
            </w:r>
          </w:p>
        </w:tc>
        <w:tc>
          <w:tcPr>
            <w:tcW w:w="31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28,4</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Plánovaná</w:t>
            </w:r>
          </w:p>
        </w:tc>
        <w:tc>
          <w:tcPr>
            <w:tcW w:w="2313" w:type="pct"/>
            <w:gridSpan w:val="8"/>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N/A</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20</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20</w:t>
            </w:r>
          </w:p>
        </w:tc>
      </w:tr>
      <w:tr w:rsidR="00CE6142" w:rsidRPr="00D92F11" w:rsidTr="00CE6142">
        <w:trPr>
          <w:trHeight w:val="300"/>
        </w:trPr>
        <w:tc>
          <w:tcPr>
            <w:tcW w:w="275"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330418</w:t>
            </w:r>
          </w:p>
        </w:tc>
        <w:tc>
          <w:tcPr>
            <w:tcW w:w="702" w:type="pct"/>
            <w:vMerge w:val="restart"/>
            <w:shd w:val="clear" w:color="000000" w:fill="FFFFFF"/>
            <w:vAlign w:val="center"/>
            <w:hideMark/>
          </w:tcPr>
          <w:p w:rsidR="00D92F11" w:rsidRPr="00D92F11" w:rsidRDefault="00D92F11" w:rsidP="00D92F11">
            <w:pPr>
              <w:rPr>
                <w:color w:val="000000"/>
                <w:sz w:val="18"/>
                <w:szCs w:val="18"/>
              </w:rPr>
            </w:pPr>
            <w:r w:rsidRPr="00D92F11">
              <w:rPr>
                <w:color w:val="000000"/>
                <w:sz w:val="18"/>
                <w:szCs w:val="18"/>
              </w:rPr>
              <w:t>Zvýšení plochy území v rozvojových oblastech, rozvojových osách a specifických oblastech pokrytých novými územními plány</w:t>
            </w:r>
          </w:p>
        </w:tc>
        <w:tc>
          <w:tcPr>
            <w:tcW w:w="35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w:t>
            </w:r>
          </w:p>
        </w:tc>
        <w:tc>
          <w:tcPr>
            <w:tcW w:w="301" w:type="pct"/>
            <w:vMerge w:val="restart"/>
            <w:shd w:val="clear" w:color="auto" w:fill="auto"/>
            <w:vAlign w:val="center"/>
            <w:hideMark/>
          </w:tcPr>
          <w:p w:rsidR="00D92F11" w:rsidRPr="00D92F11" w:rsidRDefault="00D92F11" w:rsidP="00D92F11">
            <w:pPr>
              <w:rPr>
                <w:color w:val="000000"/>
                <w:sz w:val="18"/>
                <w:szCs w:val="18"/>
              </w:rPr>
            </w:pPr>
            <w:r w:rsidRPr="00D92F11">
              <w:rPr>
                <w:color w:val="000000"/>
                <w:sz w:val="18"/>
                <w:szCs w:val="18"/>
              </w:rPr>
              <w:t>ŘO IOP/ÚÚR</w:t>
            </w:r>
          </w:p>
        </w:tc>
        <w:tc>
          <w:tcPr>
            <w:tcW w:w="450" w:type="pct"/>
            <w:shd w:val="clear" w:color="000000" w:fill="FFFFFF"/>
            <w:noWrap/>
            <w:vAlign w:val="bottom"/>
            <w:hideMark/>
          </w:tcPr>
          <w:p w:rsidR="00D92F11" w:rsidRPr="00D92F11" w:rsidRDefault="00D92F11" w:rsidP="00D92F11">
            <w:pPr>
              <w:jc w:val="center"/>
              <w:rPr>
                <w:color w:val="000000"/>
                <w:sz w:val="18"/>
                <w:szCs w:val="18"/>
              </w:rPr>
            </w:pPr>
            <w:r w:rsidRPr="00D92F11">
              <w:rPr>
                <w:color w:val="000000"/>
                <w:sz w:val="18"/>
                <w:szCs w:val="18"/>
              </w:rPr>
              <w:t>Dosažená</w:t>
            </w:r>
          </w:p>
        </w:tc>
        <w:tc>
          <w:tcPr>
            <w:tcW w:w="201"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FFFFFF"/>
            <w:vAlign w:val="bottom"/>
            <w:hideMark/>
          </w:tcPr>
          <w:p w:rsidR="00D92F11" w:rsidRPr="00D92F11" w:rsidRDefault="00A10849" w:rsidP="00D92F11">
            <w:pPr>
              <w:jc w:val="right"/>
              <w:rPr>
                <w:color w:val="000000"/>
                <w:sz w:val="18"/>
                <w:szCs w:val="18"/>
              </w:rPr>
            </w:pPr>
            <w:r>
              <w:rPr>
                <w:color w:val="000000"/>
                <w:sz w:val="18"/>
                <w:szCs w:val="18"/>
              </w:rPr>
              <w:t>0</w:t>
            </w:r>
          </w:p>
        </w:tc>
        <w:tc>
          <w:tcPr>
            <w:tcW w:w="30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9,12</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18,25</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23,16</w:t>
            </w:r>
          </w:p>
        </w:tc>
        <w:tc>
          <w:tcPr>
            <w:tcW w:w="3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24,48</w:t>
            </w:r>
          </w:p>
        </w:tc>
        <w:tc>
          <w:tcPr>
            <w:tcW w:w="31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42,32</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42,32</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000000" w:fill="D8E4BC"/>
            <w:noWrap/>
            <w:vAlign w:val="bottom"/>
            <w:hideMark/>
          </w:tcPr>
          <w:p w:rsidR="00D92F11" w:rsidRPr="00D92F11" w:rsidRDefault="00D92F11" w:rsidP="00D92F11">
            <w:pPr>
              <w:jc w:val="center"/>
              <w:rPr>
                <w:color w:val="000000"/>
                <w:sz w:val="18"/>
                <w:szCs w:val="18"/>
              </w:rPr>
            </w:pPr>
            <w:r w:rsidRPr="00D92F11">
              <w:rPr>
                <w:color w:val="000000"/>
                <w:sz w:val="18"/>
                <w:szCs w:val="18"/>
              </w:rPr>
              <w:t>Výchozí</w:t>
            </w:r>
          </w:p>
        </w:tc>
        <w:tc>
          <w:tcPr>
            <w:tcW w:w="201"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D8E4BC"/>
            <w:vAlign w:val="bottom"/>
            <w:hideMark/>
          </w:tcPr>
          <w:p w:rsidR="00D92F11" w:rsidRPr="00D92F11" w:rsidRDefault="00A10849" w:rsidP="00D92F11">
            <w:pPr>
              <w:jc w:val="right"/>
              <w:rPr>
                <w:color w:val="000000"/>
                <w:sz w:val="18"/>
                <w:szCs w:val="18"/>
              </w:rPr>
            </w:pPr>
            <w:r>
              <w:rPr>
                <w:color w:val="000000"/>
                <w:sz w:val="18"/>
                <w:szCs w:val="18"/>
              </w:rPr>
              <w:t>0</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9,12</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18,25</w:t>
            </w:r>
          </w:p>
        </w:tc>
        <w:tc>
          <w:tcPr>
            <w:tcW w:w="3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23,16</w:t>
            </w:r>
          </w:p>
        </w:tc>
        <w:tc>
          <w:tcPr>
            <w:tcW w:w="31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24,48</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Plánovaná</w:t>
            </w:r>
          </w:p>
        </w:tc>
        <w:tc>
          <w:tcPr>
            <w:tcW w:w="2313" w:type="pct"/>
            <w:gridSpan w:val="8"/>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N/A</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0,18</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0,18</w:t>
            </w:r>
          </w:p>
        </w:tc>
      </w:tr>
      <w:tr w:rsidR="00CE6142" w:rsidRPr="00D92F11" w:rsidTr="00CE6142">
        <w:trPr>
          <w:trHeight w:val="300"/>
        </w:trPr>
        <w:tc>
          <w:tcPr>
            <w:tcW w:w="275"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330417</w:t>
            </w:r>
          </w:p>
        </w:tc>
        <w:tc>
          <w:tcPr>
            <w:tcW w:w="702" w:type="pct"/>
            <w:vMerge w:val="restart"/>
            <w:shd w:val="clear" w:color="000000" w:fill="FFFFFF"/>
            <w:vAlign w:val="center"/>
            <w:hideMark/>
          </w:tcPr>
          <w:p w:rsidR="00D92F11" w:rsidRPr="00D92F11" w:rsidRDefault="00D92F11" w:rsidP="00D92F11">
            <w:pPr>
              <w:rPr>
                <w:color w:val="000000"/>
                <w:sz w:val="18"/>
                <w:szCs w:val="18"/>
              </w:rPr>
            </w:pPr>
            <w:r w:rsidRPr="00D92F11">
              <w:rPr>
                <w:color w:val="000000"/>
                <w:sz w:val="18"/>
                <w:szCs w:val="18"/>
              </w:rPr>
              <w:t xml:space="preserve">Zvýšení plochy území ČR, které bude pokryto územně analytickými podklady obcí </w:t>
            </w:r>
          </w:p>
        </w:tc>
        <w:tc>
          <w:tcPr>
            <w:tcW w:w="351" w:type="pct"/>
            <w:vMerge w:val="restart"/>
            <w:shd w:val="clear" w:color="auto" w:fill="auto"/>
            <w:noWrap/>
            <w:vAlign w:val="center"/>
            <w:hideMark/>
          </w:tcPr>
          <w:p w:rsidR="00D92F11" w:rsidRPr="00D92F11" w:rsidRDefault="00D92F11" w:rsidP="00D92F11">
            <w:pPr>
              <w:rPr>
                <w:color w:val="000000"/>
                <w:sz w:val="18"/>
                <w:szCs w:val="18"/>
              </w:rPr>
            </w:pPr>
            <w:r w:rsidRPr="00D92F11">
              <w:rPr>
                <w:color w:val="000000"/>
                <w:sz w:val="18"/>
                <w:szCs w:val="18"/>
              </w:rPr>
              <w:t>%</w:t>
            </w:r>
          </w:p>
        </w:tc>
        <w:tc>
          <w:tcPr>
            <w:tcW w:w="301" w:type="pct"/>
            <w:vMerge w:val="restart"/>
            <w:shd w:val="clear" w:color="auto" w:fill="auto"/>
            <w:vAlign w:val="center"/>
            <w:hideMark/>
          </w:tcPr>
          <w:p w:rsidR="00D92F11" w:rsidRPr="00D92F11" w:rsidRDefault="00D92F11" w:rsidP="00D92F11">
            <w:pPr>
              <w:rPr>
                <w:color w:val="000000"/>
                <w:sz w:val="18"/>
                <w:szCs w:val="18"/>
              </w:rPr>
            </w:pPr>
            <w:r w:rsidRPr="00D92F11">
              <w:rPr>
                <w:color w:val="000000"/>
                <w:sz w:val="18"/>
                <w:szCs w:val="18"/>
              </w:rPr>
              <w:t>ŘO IOP/ÚÚR</w:t>
            </w:r>
          </w:p>
        </w:tc>
        <w:tc>
          <w:tcPr>
            <w:tcW w:w="450" w:type="pct"/>
            <w:shd w:val="clear" w:color="000000" w:fill="FFFFFF"/>
            <w:noWrap/>
            <w:vAlign w:val="bottom"/>
            <w:hideMark/>
          </w:tcPr>
          <w:p w:rsidR="00D92F11" w:rsidRPr="00D92F11" w:rsidRDefault="00D92F11" w:rsidP="00D92F11">
            <w:pPr>
              <w:jc w:val="center"/>
              <w:rPr>
                <w:color w:val="000000"/>
                <w:sz w:val="18"/>
                <w:szCs w:val="18"/>
              </w:rPr>
            </w:pPr>
            <w:r w:rsidRPr="00D92F11">
              <w:rPr>
                <w:color w:val="000000"/>
                <w:sz w:val="18"/>
                <w:szCs w:val="18"/>
              </w:rPr>
              <w:t>Dosažená</w:t>
            </w:r>
          </w:p>
        </w:tc>
        <w:tc>
          <w:tcPr>
            <w:tcW w:w="201"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0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51"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5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10" w:type="pct"/>
            <w:shd w:val="clear" w:color="000000" w:fill="FFFFFF"/>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FFFFFF"/>
            <w:noWrap/>
            <w:vAlign w:val="bottom"/>
            <w:hideMark/>
          </w:tcPr>
          <w:p w:rsidR="00D92F11" w:rsidRPr="00D92F11" w:rsidRDefault="00D92F11" w:rsidP="00D92F11">
            <w:pPr>
              <w:jc w:val="right"/>
              <w:rPr>
                <w:color w:val="000000"/>
                <w:sz w:val="18"/>
                <w:szCs w:val="18"/>
              </w:rPr>
            </w:pPr>
            <w:r w:rsidRPr="00D92F11">
              <w:rPr>
                <w:color w:val="000000"/>
                <w:sz w:val="18"/>
                <w:szCs w:val="18"/>
              </w:rPr>
              <w:t>80,3</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000000" w:fill="D8E4BC"/>
            <w:noWrap/>
            <w:vAlign w:val="bottom"/>
            <w:hideMark/>
          </w:tcPr>
          <w:p w:rsidR="00D92F11" w:rsidRPr="00D92F11" w:rsidRDefault="00D92F11" w:rsidP="00D92F11">
            <w:pPr>
              <w:jc w:val="center"/>
              <w:rPr>
                <w:color w:val="000000"/>
                <w:sz w:val="18"/>
                <w:szCs w:val="18"/>
              </w:rPr>
            </w:pPr>
            <w:r w:rsidRPr="00D92F11">
              <w:rPr>
                <w:color w:val="000000"/>
                <w:sz w:val="18"/>
                <w:szCs w:val="18"/>
              </w:rPr>
              <w:t>Výchozí</w:t>
            </w:r>
          </w:p>
        </w:tc>
        <w:tc>
          <w:tcPr>
            <w:tcW w:w="201"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00"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2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0</w:t>
            </w:r>
          </w:p>
        </w:tc>
        <w:tc>
          <w:tcPr>
            <w:tcW w:w="30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51"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5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10" w:type="pct"/>
            <w:shd w:val="clear" w:color="000000" w:fill="D8E4BC"/>
            <w:vAlign w:val="bottom"/>
            <w:hideMark/>
          </w:tcPr>
          <w:p w:rsidR="00D92F11" w:rsidRPr="00D92F11" w:rsidRDefault="00D92F11" w:rsidP="00D92F11">
            <w:pPr>
              <w:jc w:val="right"/>
              <w:rPr>
                <w:color w:val="000000"/>
                <w:sz w:val="18"/>
                <w:szCs w:val="18"/>
              </w:rPr>
            </w:pPr>
            <w:r w:rsidRPr="00D92F11">
              <w:rPr>
                <w:color w:val="000000"/>
                <w:sz w:val="18"/>
                <w:szCs w:val="18"/>
              </w:rPr>
              <w:t>80,3</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N/A</w:t>
            </w:r>
          </w:p>
        </w:tc>
        <w:tc>
          <w:tcPr>
            <w:tcW w:w="304" w:type="pct"/>
            <w:shd w:val="clear" w:color="000000" w:fill="D8E4BC"/>
            <w:noWrap/>
            <w:vAlign w:val="bottom"/>
            <w:hideMark/>
          </w:tcPr>
          <w:p w:rsidR="00D92F11" w:rsidRPr="00D92F11" w:rsidRDefault="00D92F11" w:rsidP="00D92F11">
            <w:pPr>
              <w:jc w:val="right"/>
              <w:rPr>
                <w:color w:val="000000"/>
                <w:sz w:val="18"/>
                <w:szCs w:val="18"/>
              </w:rPr>
            </w:pPr>
            <w:r w:rsidRPr="00D92F11">
              <w:rPr>
                <w:color w:val="000000"/>
                <w:sz w:val="18"/>
                <w:szCs w:val="18"/>
              </w:rPr>
              <w:t>0</w:t>
            </w:r>
          </w:p>
        </w:tc>
      </w:tr>
      <w:tr w:rsidR="00CE6142" w:rsidRPr="00D92F11" w:rsidTr="00CE6142">
        <w:trPr>
          <w:trHeight w:val="300"/>
        </w:trPr>
        <w:tc>
          <w:tcPr>
            <w:tcW w:w="275" w:type="pct"/>
            <w:vMerge/>
            <w:vAlign w:val="center"/>
            <w:hideMark/>
          </w:tcPr>
          <w:p w:rsidR="00D92F11" w:rsidRPr="00D92F11" w:rsidRDefault="00D92F11" w:rsidP="00D92F11">
            <w:pPr>
              <w:rPr>
                <w:color w:val="000000"/>
                <w:sz w:val="18"/>
                <w:szCs w:val="18"/>
              </w:rPr>
            </w:pPr>
          </w:p>
        </w:tc>
        <w:tc>
          <w:tcPr>
            <w:tcW w:w="702" w:type="pct"/>
            <w:vMerge/>
            <w:vAlign w:val="center"/>
            <w:hideMark/>
          </w:tcPr>
          <w:p w:rsidR="00D92F11" w:rsidRPr="00D92F11" w:rsidRDefault="00D92F11" w:rsidP="00D92F11">
            <w:pPr>
              <w:rPr>
                <w:color w:val="000000"/>
                <w:sz w:val="18"/>
                <w:szCs w:val="18"/>
              </w:rPr>
            </w:pPr>
          </w:p>
        </w:tc>
        <w:tc>
          <w:tcPr>
            <w:tcW w:w="351" w:type="pct"/>
            <w:vMerge/>
            <w:vAlign w:val="center"/>
            <w:hideMark/>
          </w:tcPr>
          <w:p w:rsidR="00D92F11" w:rsidRPr="00D92F11" w:rsidRDefault="00D92F11" w:rsidP="00D92F11">
            <w:pPr>
              <w:rPr>
                <w:color w:val="000000"/>
                <w:sz w:val="18"/>
                <w:szCs w:val="18"/>
              </w:rPr>
            </w:pPr>
          </w:p>
        </w:tc>
        <w:tc>
          <w:tcPr>
            <w:tcW w:w="301" w:type="pct"/>
            <w:vMerge/>
            <w:vAlign w:val="center"/>
            <w:hideMark/>
          </w:tcPr>
          <w:p w:rsidR="00D92F11" w:rsidRPr="00D92F11" w:rsidRDefault="00D92F11" w:rsidP="00D92F11">
            <w:pPr>
              <w:rPr>
                <w:color w:val="000000"/>
                <w:sz w:val="18"/>
                <w:szCs w:val="18"/>
              </w:rPr>
            </w:pPr>
          </w:p>
        </w:tc>
        <w:tc>
          <w:tcPr>
            <w:tcW w:w="450" w:type="pct"/>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Plánovaná</w:t>
            </w:r>
          </w:p>
        </w:tc>
        <w:tc>
          <w:tcPr>
            <w:tcW w:w="2313" w:type="pct"/>
            <w:gridSpan w:val="8"/>
            <w:shd w:val="clear" w:color="auto" w:fill="auto"/>
            <w:noWrap/>
            <w:vAlign w:val="bottom"/>
            <w:hideMark/>
          </w:tcPr>
          <w:p w:rsidR="00D92F11" w:rsidRPr="00D92F11" w:rsidRDefault="00D92F11" w:rsidP="00D92F11">
            <w:pPr>
              <w:jc w:val="center"/>
              <w:rPr>
                <w:color w:val="000000"/>
                <w:sz w:val="18"/>
                <w:szCs w:val="18"/>
              </w:rPr>
            </w:pPr>
            <w:r w:rsidRPr="00D92F11">
              <w:rPr>
                <w:color w:val="000000"/>
                <w:sz w:val="18"/>
                <w:szCs w:val="18"/>
              </w:rPr>
              <w:t>N/A</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18,5</w:t>
            </w:r>
          </w:p>
        </w:tc>
        <w:tc>
          <w:tcPr>
            <w:tcW w:w="304" w:type="pct"/>
            <w:shd w:val="clear" w:color="auto" w:fill="auto"/>
            <w:noWrap/>
            <w:vAlign w:val="bottom"/>
            <w:hideMark/>
          </w:tcPr>
          <w:p w:rsidR="00D92F11" w:rsidRPr="00D92F11" w:rsidRDefault="00D92F11" w:rsidP="00D92F11">
            <w:pPr>
              <w:jc w:val="right"/>
              <w:rPr>
                <w:color w:val="000000"/>
                <w:sz w:val="18"/>
                <w:szCs w:val="18"/>
              </w:rPr>
            </w:pPr>
            <w:r w:rsidRPr="00D92F11">
              <w:rPr>
                <w:color w:val="000000"/>
                <w:sz w:val="18"/>
                <w:szCs w:val="18"/>
              </w:rPr>
              <w:t>18,5</w:t>
            </w:r>
          </w:p>
        </w:tc>
      </w:tr>
    </w:tbl>
    <w:p w:rsidR="001A6861" w:rsidRPr="009026D3" w:rsidRDefault="001A6861" w:rsidP="001A6861">
      <w:pPr>
        <w:spacing w:line="276" w:lineRule="auto"/>
        <w:jc w:val="both"/>
        <w:rPr>
          <w:b/>
          <w:i/>
          <w:color w:val="0070C0"/>
          <w:sz w:val="18"/>
          <w:szCs w:val="18"/>
        </w:rPr>
      </w:pPr>
      <w:r w:rsidRPr="00A646BF">
        <w:rPr>
          <w:i/>
          <w:sz w:val="18"/>
          <w:szCs w:val="18"/>
        </w:rPr>
        <w:t xml:space="preserve">Zdroj: MSC 2007 ke dni </w:t>
      </w:r>
      <w:r w:rsidR="00AE4209">
        <w:rPr>
          <w:i/>
          <w:sz w:val="18"/>
          <w:szCs w:val="18"/>
        </w:rPr>
        <w:t>2</w:t>
      </w:r>
      <w:r w:rsidR="00AE4209" w:rsidRPr="00453C61">
        <w:rPr>
          <w:i/>
          <w:sz w:val="18"/>
          <w:szCs w:val="18"/>
        </w:rPr>
        <w:t>. 3. 2015</w:t>
      </w:r>
    </w:p>
    <w:p w:rsidR="001A6861" w:rsidRDefault="001A6861" w:rsidP="00184E0A">
      <w:pPr>
        <w:jc w:val="both"/>
        <w:rPr>
          <w:b/>
          <w:sz w:val="24"/>
          <w:szCs w:val="24"/>
        </w:rPr>
        <w:sectPr w:rsidR="001A6861" w:rsidSect="00A455C6">
          <w:pgSz w:w="16838" w:h="11906" w:orient="landscape"/>
          <w:pgMar w:top="1417" w:right="1417" w:bottom="1417" w:left="1417" w:header="708" w:footer="708" w:gutter="0"/>
          <w:cols w:space="708"/>
          <w:docGrid w:linePitch="272"/>
        </w:sectPr>
      </w:pPr>
    </w:p>
    <w:p w:rsidR="00A75862" w:rsidRDefault="00155136" w:rsidP="00184E0A">
      <w:pPr>
        <w:jc w:val="both"/>
        <w:rPr>
          <w:b/>
          <w:sz w:val="24"/>
          <w:szCs w:val="24"/>
        </w:rPr>
      </w:pPr>
      <w:r w:rsidRPr="00796E0A">
        <w:rPr>
          <w:b/>
          <w:sz w:val="24"/>
          <w:szCs w:val="24"/>
        </w:rPr>
        <w:lastRenderedPageBreak/>
        <w:t>3.</w:t>
      </w:r>
      <w:r>
        <w:rPr>
          <w:b/>
          <w:sz w:val="24"/>
          <w:szCs w:val="24"/>
        </w:rPr>
        <w:t>5</w:t>
      </w:r>
      <w:r w:rsidRPr="00796E0A">
        <w:rPr>
          <w:b/>
          <w:sz w:val="24"/>
          <w:szCs w:val="24"/>
        </w:rPr>
        <w:t>.</w:t>
      </w:r>
      <w:r>
        <w:rPr>
          <w:b/>
          <w:sz w:val="24"/>
          <w:szCs w:val="24"/>
        </w:rPr>
        <w:t>1.</w:t>
      </w:r>
      <w:r w:rsidRPr="00796E0A">
        <w:rPr>
          <w:b/>
          <w:sz w:val="24"/>
          <w:szCs w:val="24"/>
        </w:rPr>
        <w:t xml:space="preserve"> B Kvalitativní</w:t>
      </w:r>
      <w:r w:rsidR="00A75862" w:rsidRPr="00796E0A">
        <w:rPr>
          <w:b/>
          <w:sz w:val="24"/>
          <w:szCs w:val="24"/>
        </w:rPr>
        <w:t xml:space="preserve"> analýza</w:t>
      </w:r>
    </w:p>
    <w:p w:rsidR="00A75862" w:rsidRPr="009026D3" w:rsidRDefault="00A75862" w:rsidP="009026D3">
      <w:pPr>
        <w:ind w:left="426" w:hanging="426"/>
        <w:jc w:val="both"/>
        <w:rPr>
          <w:b/>
          <w:sz w:val="22"/>
          <w:szCs w:val="22"/>
        </w:rPr>
      </w:pPr>
      <w:r w:rsidRPr="009026D3">
        <w:rPr>
          <w:b/>
          <w:sz w:val="22"/>
          <w:szCs w:val="22"/>
        </w:rPr>
        <w:t>Finanční pokrok</w:t>
      </w:r>
    </w:p>
    <w:p w:rsidR="00E55736" w:rsidRPr="008252C5" w:rsidRDefault="00E55736" w:rsidP="00E55736">
      <w:pPr>
        <w:autoSpaceDE w:val="0"/>
        <w:autoSpaceDN w:val="0"/>
        <w:adjustRightInd w:val="0"/>
        <w:jc w:val="both"/>
      </w:pPr>
    </w:p>
    <w:p w:rsidR="00A72FFD" w:rsidRDefault="00E55736" w:rsidP="00A72FFD">
      <w:pPr>
        <w:jc w:val="both"/>
        <w:rPr>
          <w:sz w:val="22"/>
          <w:szCs w:val="22"/>
        </w:rPr>
      </w:pPr>
      <w:r w:rsidRPr="00267F33">
        <w:rPr>
          <w:b/>
          <w:sz w:val="22"/>
          <w:szCs w:val="22"/>
        </w:rPr>
        <w:t>V oblasti intervence 5.1</w:t>
      </w:r>
      <w:r w:rsidRPr="00267F33">
        <w:rPr>
          <w:sz w:val="22"/>
          <w:szCs w:val="22"/>
        </w:rPr>
        <w:t xml:space="preserve"> </w:t>
      </w:r>
      <w:r w:rsidRPr="004F23AC">
        <w:rPr>
          <w:sz w:val="22"/>
          <w:szCs w:val="22"/>
        </w:rPr>
        <w:t>představují projekty kryté Rozhodnutím o poskytnutí dotace 213 976 932 EUR (100,1 %</w:t>
      </w:r>
      <w:r w:rsidR="006E41F5">
        <w:rPr>
          <w:sz w:val="22"/>
          <w:szCs w:val="22"/>
        </w:rPr>
        <w:t xml:space="preserve"> - podíl EU</w:t>
      </w:r>
      <w:r w:rsidRPr="004F23AC">
        <w:rPr>
          <w:sz w:val="22"/>
          <w:szCs w:val="22"/>
        </w:rPr>
        <w:t>). Proplacené prostředky stouply ze 44 % (111 mil. EUR) v roce 2013 na 65,6 % v roce 2014 (140 175 543 EUR). Certifikované výdaje stouply ze 42 % v roce 2013 na 65,2 % (139 </w:t>
      </w:r>
      <w:r w:rsidR="00A72FFD">
        <w:rPr>
          <w:sz w:val="22"/>
          <w:szCs w:val="22"/>
        </w:rPr>
        <w:t xml:space="preserve">329 506 mil. EUR) v roce 2014. </w:t>
      </w:r>
    </w:p>
    <w:p w:rsidR="00E55736" w:rsidRPr="004F23AC" w:rsidRDefault="00E55736" w:rsidP="00A72FFD">
      <w:pPr>
        <w:jc w:val="both"/>
        <w:rPr>
          <w:sz w:val="22"/>
          <w:szCs w:val="22"/>
        </w:rPr>
      </w:pPr>
      <w:r w:rsidRPr="004F23AC">
        <w:rPr>
          <w:sz w:val="22"/>
          <w:szCs w:val="22"/>
        </w:rPr>
        <w:t>V důsledku spolupráce ŘO, CRR a příjemců se podařilo snížit předpokládanou ztrátu na rok 2014 plynoucí z nenaplnění pravidla n+2.</w:t>
      </w:r>
    </w:p>
    <w:p w:rsidR="00E55736" w:rsidRPr="004F23AC" w:rsidRDefault="00E55736" w:rsidP="00A72FFD">
      <w:pPr>
        <w:jc w:val="both"/>
        <w:rPr>
          <w:sz w:val="22"/>
          <w:szCs w:val="22"/>
        </w:rPr>
      </w:pPr>
      <w:r w:rsidRPr="004F23AC">
        <w:rPr>
          <w:sz w:val="22"/>
          <w:szCs w:val="22"/>
        </w:rPr>
        <w:t xml:space="preserve">V roce 2014 byla vyhlášena dodatečná 24. výzva jako jedno z opatření pro využití zbývajících volných prostředků v OI 5.1 IOP. Nové projekty neprodleně po vydání právního aktu vyhlásily výběrové řízení na dodavatele stavebních prací, na jehož hladkém průběhu závisí realizace projektů. </w:t>
      </w:r>
    </w:p>
    <w:p w:rsidR="00E55736" w:rsidRDefault="00E55736" w:rsidP="00510E1B">
      <w:pPr>
        <w:jc w:val="both"/>
        <w:rPr>
          <w:sz w:val="22"/>
          <w:szCs w:val="22"/>
          <w:u w:val="single"/>
        </w:rPr>
      </w:pPr>
    </w:p>
    <w:p w:rsidR="005B257A" w:rsidRPr="00C0213C" w:rsidRDefault="001004FB" w:rsidP="00A72FFD">
      <w:pPr>
        <w:jc w:val="both"/>
        <w:rPr>
          <w:sz w:val="22"/>
          <w:szCs w:val="22"/>
        </w:rPr>
      </w:pPr>
      <w:r>
        <w:rPr>
          <w:b/>
          <w:sz w:val="22"/>
          <w:szCs w:val="22"/>
        </w:rPr>
        <w:t>V</w:t>
      </w:r>
      <w:r w:rsidR="00A75862" w:rsidRPr="00C0213C">
        <w:rPr>
          <w:b/>
          <w:sz w:val="22"/>
          <w:szCs w:val="22"/>
        </w:rPr>
        <w:t> oblasti intervence 5.2</w:t>
      </w:r>
      <w:r>
        <w:rPr>
          <w:b/>
          <w:sz w:val="22"/>
          <w:szCs w:val="22"/>
        </w:rPr>
        <w:t xml:space="preserve"> </w:t>
      </w:r>
      <w:r w:rsidRPr="001004FB">
        <w:rPr>
          <w:sz w:val="22"/>
          <w:szCs w:val="22"/>
        </w:rPr>
        <w:t>jsou dlouhodobě plněny všechny predikce čerpání. Očekává se vyčerpání téměř celé alokace ve výši cca. 97-98%. Aktuálně ŘO IOP eviduje částku cca. 110 mil. K</w:t>
      </w:r>
      <w:r w:rsidR="00CF73C5">
        <w:rPr>
          <w:sz w:val="22"/>
          <w:szCs w:val="22"/>
        </w:rPr>
        <w:t>č</w:t>
      </w:r>
      <w:r w:rsidRPr="001004FB">
        <w:rPr>
          <w:sz w:val="22"/>
          <w:szCs w:val="22"/>
        </w:rPr>
        <w:t xml:space="preserve">, která nebude z důvodu naplnění absorpční kapacity měst IPRM vyčerpána.  Částka může být ještě navýšena o vzniklé úspory ze stále realizovaných projektových žádostí., které budou ukončovány v poslední fázi realizace a města již nestihnou vzniklé úspory využit na realizaci dalších projektů, které nejsou časově </w:t>
      </w:r>
      <w:r w:rsidR="00CF73C5" w:rsidRPr="001004FB">
        <w:rPr>
          <w:sz w:val="22"/>
          <w:szCs w:val="22"/>
        </w:rPr>
        <w:t>ani administrativně</w:t>
      </w:r>
      <w:r w:rsidRPr="001004FB">
        <w:rPr>
          <w:sz w:val="22"/>
          <w:szCs w:val="22"/>
        </w:rPr>
        <w:t xml:space="preserve"> náročné. </w:t>
      </w:r>
    </w:p>
    <w:p w:rsidR="00A75862" w:rsidRPr="00FA700E" w:rsidRDefault="00A75862" w:rsidP="00510E1B">
      <w:pPr>
        <w:autoSpaceDE w:val="0"/>
        <w:autoSpaceDN w:val="0"/>
        <w:adjustRightInd w:val="0"/>
        <w:jc w:val="both"/>
        <w:rPr>
          <w:sz w:val="22"/>
          <w:szCs w:val="22"/>
        </w:rPr>
      </w:pPr>
    </w:p>
    <w:p w:rsidR="00A75862" w:rsidRDefault="00A75862" w:rsidP="00A659DF">
      <w:pPr>
        <w:autoSpaceDE w:val="0"/>
        <w:autoSpaceDN w:val="0"/>
        <w:adjustRightInd w:val="0"/>
        <w:jc w:val="both"/>
        <w:rPr>
          <w:sz w:val="22"/>
          <w:szCs w:val="22"/>
        </w:rPr>
      </w:pPr>
      <w:r w:rsidRPr="004252A4">
        <w:rPr>
          <w:sz w:val="22"/>
          <w:szCs w:val="22"/>
        </w:rPr>
        <w:t>V </w:t>
      </w:r>
      <w:r w:rsidRPr="00C0213C">
        <w:rPr>
          <w:b/>
          <w:sz w:val="22"/>
          <w:szCs w:val="22"/>
        </w:rPr>
        <w:t>oblasti intervence 5.3</w:t>
      </w:r>
      <w:r w:rsidRPr="00C0213C">
        <w:rPr>
          <w:sz w:val="22"/>
          <w:szCs w:val="22"/>
        </w:rPr>
        <w:t xml:space="preserve"> </w:t>
      </w:r>
      <w:r w:rsidR="00A72FFD">
        <w:rPr>
          <w:sz w:val="22"/>
          <w:szCs w:val="22"/>
        </w:rPr>
        <w:t>již nebudou probíhat žádné výzvy a alokace v této oblasti intervence bude vyčerpána.</w:t>
      </w:r>
    </w:p>
    <w:p w:rsidR="005656F9" w:rsidRPr="00FA700E" w:rsidRDefault="005656F9" w:rsidP="00510E1B">
      <w:pPr>
        <w:autoSpaceDE w:val="0"/>
        <w:autoSpaceDN w:val="0"/>
        <w:adjustRightInd w:val="0"/>
        <w:jc w:val="both"/>
        <w:rPr>
          <w:sz w:val="22"/>
          <w:szCs w:val="22"/>
        </w:rPr>
      </w:pPr>
    </w:p>
    <w:p w:rsidR="00EE2CF0" w:rsidRDefault="005656F9" w:rsidP="008263BA">
      <w:pPr>
        <w:pStyle w:val="Tabulkanzev"/>
      </w:pPr>
      <w:bookmarkStart w:id="225" w:name="_Toc416431857"/>
      <w:r w:rsidRPr="005656F9">
        <w:t>Finanční stav PO 5 k </w:t>
      </w:r>
      <w:r w:rsidR="008263BA" w:rsidRPr="005656F9">
        <w:t>31. 12. 2014</w:t>
      </w:r>
      <w:r w:rsidR="00201102">
        <w:t xml:space="preserve"> (CZV)</w:t>
      </w:r>
      <w:bookmarkEnd w:id="225"/>
    </w:p>
    <w:tbl>
      <w:tblPr>
        <w:tblW w:w="908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2"/>
        <w:gridCol w:w="1449"/>
        <w:gridCol w:w="1352"/>
        <w:gridCol w:w="876"/>
        <w:gridCol w:w="1377"/>
        <w:gridCol w:w="839"/>
        <w:gridCol w:w="1377"/>
        <w:gridCol w:w="839"/>
      </w:tblGrid>
      <w:tr w:rsidR="00AD26E6" w:rsidRPr="00D0625B" w:rsidTr="001352F9">
        <w:trPr>
          <w:trHeight w:val="1116"/>
        </w:trPr>
        <w:tc>
          <w:tcPr>
            <w:tcW w:w="972" w:type="dxa"/>
            <w:vMerge w:val="restart"/>
            <w:shd w:val="clear" w:color="000000" w:fill="C4D79B"/>
            <w:vAlign w:val="center"/>
            <w:hideMark/>
          </w:tcPr>
          <w:p w:rsidR="00D0625B" w:rsidRPr="00D0625B" w:rsidRDefault="00D0625B" w:rsidP="00D0625B">
            <w:pPr>
              <w:jc w:val="center"/>
              <w:rPr>
                <w:b/>
                <w:bCs/>
                <w:color w:val="000000"/>
                <w:sz w:val="16"/>
                <w:szCs w:val="16"/>
              </w:rPr>
            </w:pPr>
            <w:r w:rsidRPr="00D0625B">
              <w:rPr>
                <w:b/>
                <w:bCs/>
                <w:color w:val="000000"/>
                <w:sz w:val="16"/>
                <w:szCs w:val="16"/>
              </w:rPr>
              <w:t>Oblast podpory</w:t>
            </w:r>
          </w:p>
        </w:tc>
        <w:tc>
          <w:tcPr>
            <w:tcW w:w="1449" w:type="dxa"/>
            <w:shd w:val="clear" w:color="000000" w:fill="C4D79B"/>
            <w:vAlign w:val="center"/>
            <w:hideMark/>
          </w:tcPr>
          <w:p w:rsidR="00D0625B" w:rsidRPr="00D0625B" w:rsidRDefault="00D0625B" w:rsidP="00D0625B">
            <w:pPr>
              <w:jc w:val="center"/>
              <w:rPr>
                <w:b/>
                <w:bCs/>
                <w:color w:val="000000"/>
                <w:sz w:val="16"/>
                <w:szCs w:val="16"/>
              </w:rPr>
            </w:pPr>
            <w:r w:rsidRPr="00D0625B">
              <w:rPr>
                <w:b/>
                <w:bCs/>
                <w:color w:val="000000"/>
                <w:sz w:val="16"/>
                <w:szCs w:val="16"/>
              </w:rPr>
              <w:t>Alokace podpory 2007-2013</w:t>
            </w:r>
          </w:p>
        </w:tc>
        <w:tc>
          <w:tcPr>
            <w:tcW w:w="2228" w:type="dxa"/>
            <w:gridSpan w:val="2"/>
            <w:shd w:val="clear" w:color="000000" w:fill="C4D79B"/>
            <w:vAlign w:val="center"/>
            <w:hideMark/>
          </w:tcPr>
          <w:p w:rsidR="00D0625B" w:rsidRPr="00D0625B" w:rsidRDefault="00D0625B" w:rsidP="00D0625B">
            <w:pPr>
              <w:jc w:val="center"/>
              <w:rPr>
                <w:b/>
                <w:bCs/>
                <w:color w:val="000000"/>
                <w:sz w:val="16"/>
                <w:szCs w:val="16"/>
              </w:rPr>
            </w:pPr>
            <w:r w:rsidRPr="00D0625B">
              <w:rPr>
                <w:b/>
                <w:bCs/>
                <w:color w:val="000000"/>
                <w:sz w:val="16"/>
                <w:szCs w:val="16"/>
              </w:rPr>
              <w:t>Prostředky kryté Rozhodnutím / Smlouvou (dodatkem)</w:t>
            </w:r>
          </w:p>
        </w:tc>
        <w:tc>
          <w:tcPr>
            <w:tcW w:w="2216" w:type="dxa"/>
            <w:gridSpan w:val="2"/>
            <w:shd w:val="clear" w:color="000000" w:fill="C4D79B"/>
            <w:vAlign w:val="center"/>
            <w:hideMark/>
          </w:tcPr>
          <w:p w:rsidR="00D0625B" w:rsidRPr="00D0625B" w:rsidRDefault="00D0625B" w:rsidP="00D0625B">
            <w:pPr>
              <w:jc w:val="center"/>
              <w:rPr>
                <w:b/>
                <w:bCs/>
                <w:color w:val="000000"/>
                <w:sz w:val="16"/>
                <w:szCs w:val="16"/>
              </w:rPr>
            </w:pPr>
            <w:r w:rsidRPr="00D0625B">
              <w:rPr>
                <w:b/>
                <w:bCs/>
                <w:color w:val="000000"/>
                <w:sz w:val="16"/>
                <w:szCs w:val="16"/>
              </w:rPr>
              <w:t>Proplacené prostředky příjemcům (vyúčtované prostředky)</w:t>
            </w:r>
          </w:p>
        </w:tc>
        <w:tc>
          <w:tcPr>
            <w:tcW w:w="2216" w:type="dxa"/>
            <w:gridSpan w:val="2"/>
            <w:shd w:val="clear" w:color="000000" w:fill="C4D79B"/>
            <w:vAlign w:val="center"/>
            <w:hideMark/>
          </w:tcPr>
          <w:p w:rsidR="00D0625B" w:rsidRPr="00D0625B" w:rsidRDefault="00D0625B" w:rsidP="00D0625B">
            <w:pPr>
              <w:jc w:val="center"/>
              <w:rPr>
                <w:b/>
                <w:bCs/>
                <w:color w:val="000000"/>
                <w:sz w:val="16"/>
                <w:szCs w:val="16"/>
              </w:rPr>
            </w:pPr>
            <w:r w:rsidRPr="00D0625B">
              <w:rPr>
                <w:b/>
                <w:bCs/>
                <w:color w:val="000000"/>
                <w:sz w:val="16"/>
                <w:szCs w:val="16"/>
              </w:rPr>
              <w:t>Certifikované prostředky (včetně vratek)</w:t>
            </w:r>
          </w:p>
        </w:tc>
      </w:tr>
      <w:tr w:rsidR="00D0625B" w:rsidRPr="00D0625B" w:rsidTr="001352F9">
        <w:trPr>
          <w:trHeight w:val="302"/>
        </w:trPr>
        <w:tc>
          <w:tcPr>
            <w:tcW w:w="972" w:type="dxa"/>
            <w:vMerge/>
            <w:vAlign w:val="center"/>
            <w:hideMark/>
          </w:tcPr>
          <w:p w:rsidR="00D0625B" w:rsidRPr="00D0625B" w:rsidRDefault="00D0625B" w:rsidP="00D0625B">
            <w:pPr>
              <w:rPr>
                <w:b/>
                <w:bCs/>
                <w:color w:val="000000"/>
                <w:sz w:val="16"/>
                <w:szCs w:val="16"/>
              </w:rPr>
            </w:pPr>
          </w:p>
        </w:tc>
        <w:tc>
          <w:tcPr>
            <w:tcW w:w="1449" w:type="dxa"/>
            <w:shd w:val="clear" w:color="000000" w:fill="C4D79B"/>
            <w:vAlign w:val="center"/>
            <w:hideMark/>
          </w:tcPr>
          <w:p w:rsidR="00D0625B" w:rsidRPr="00D0625B" w:rsidRDefault="00D0625B" w:rsidP="00D0625B">
            <w:pPr>
              <w:jc w:val="center"/>
              <w:rPr>
                <w:color w:val="000000"/>
                <w:sz w:val="18"/>
                <w:szCs w:val="18"/>
              </w:rPr>
            </w:pPr>
            <w:r w:rsidRPr="00D0625B">
              <w:rPr>
                <w:color w:val="000000"/>
                <w:sz w:val="18"/>
                <w:szCs w:val="18"/>
              </w:rPr>
              <w:t>EUR</w:t>
            </w:r>
          </w:p>
        </w:tc>
        <w:tc>
          <w:tcPr>
            <w:tcW w:w="1352" w:type="dxa"/>
            <w:shd w:val="clear" w:color="000000" w:fill="C4D79B"/>
            <w:vAlign w:val="center"/>
            <w:hideMark/>
          </w:tcPr>
          <w:p w:rsidR="00D0625B" w:rsidRPr="00D0625B" w:rsidRDefault="00D0625B" w:rsidP="00D0625B">
            <w:pPr>
              <w:jc w:val="center"/>
              <w:rPr>
                <w:color w:val="000000"/>
                <w:sz w:val="18"/>
                <w:szCs w:val="18"/>
              </w:rPr>
            </w:pPr>
            <w:r w:rsidRPr="00D0625B">
              <w:rPr>
                <w:color w:val="000000"/>
                <w:sz w:val="18"/>
                <w:szCs w:val="18"/>
              </w:rPr>
              <w:t>EUR</w:t>
            </w:r>
          </w:p>
        </w:tc>
        <w:tc>
          <w:tcPr>
            <w:tcW w:w="875" w:type="dxa"/>
            <w:shd w:val="clear" w:color="000000" w:fill="C4D79B"/>
            <w:vAlign w:val="center"/>
            <w:hideMark/>
          </w:tcPr>
          <w:p w:rsidR="00D0625B" w:rsidRPr="00D0625B" w:rsidRDefault="00D0625B" w:rsidP="00D0625B">
            <w:pPr>
              <w:jc w:val="center"/>
              <w:rPr>
                <w:color w:val="000000"/>
                <w:sz w:val="18"/>
                <w:szCs w:val="18"/>
              </w:rPr>
            </w:pPr>
            <w:r w:rsidRPr="00D0625B">
              <w:rPr>
                <w:color w:val="000000"/>
                <w:sz w:val="18"/>
                <w:szCs w:val="18"/>
              </w:rPr>
              <w:t>%</w:t>
            </w:r>
          </w:p>
        </w:tc>
        <w:tc>
          <w:tcPr>
            <w:tcW w:w="1377" w:type="dxa"/>
            <w:shd w:val="clear" w:color="000000" w:fill="C4D79B"/>
            <w:vAlign w:val="center"/>
            <w:hideMark/>
          </w:tcPr>
          <w:p w:rsidR="00D0625B" w:rsidRPr="00D0625B" w:rsidRDefault="00D0625B" w:rsidP="00D0625B">
            <w:pPr>
              <w:jc w:val="center"/>
              <w:rPr>
                <w:color w:val="000000"/>
                <w:sz w:val="18"/>
                <w:szCs w:val="18"/>
              </w:rPr>
            </w:pPr>
            <w:r w:rsidRPr="00D0625B">
              <w:rPr>
                <w:color w:val="000000"/>
                <w:sz w:val="18"/>
                <w:szCs w:val="18"/>
              </w:rPr>
              <w:t>EUR</w:t>
            </w:r>
          </w:p>
        </w:tc>
        <w:tc>
          <w:tcPr>
            <w:tcW w:w="839" w:type="dxa"/>
            <w:shd w:val="clear" w:color="000000" w:fill="C4D79B"/>
            <w:vAlign w:val="center"/>
            <w:hideMark/>
          </w:tcPr>
          <w:p w:rsidR="00D0625B" w:rsidRPr="00D0625B" w:rsidRDefault="00D0625B" w:rsidP="00D0625B">
            <w:pPr>
              <w:jc w:val="center"/>
              <w:rPr>
                <w:color w:val="000000"/>
                <w:sz w:val="18"/>
                <w:szCs w:val="18"/>
              </w:rPr>
            </w:pPr>
            <w:r w:rsidRPr="00D0625B">
              <w:rPr>
                <w:color w:val="000000"/>
                <w:sz w:val="18"/>
                <w:szCs w:val="18"/>
              </w:rPr>
              <w:t>%</w:t>
            </w:r>
          </w:p>
        </w:tc>
        <w:tc>
          <w:tcPr>
            <w:tcW w:w="1377" w:type="dxa"/>
            <w:shd w:val="clear" w:color="000000" w:fill="C4D79B"/>
            <w:vAlign w:val="center"/>
            <w:hideMark/>
          </w:tcPr>
          <w:p w:rsidR="00D0625B" w:rsidRPr="00D0625B" w:rsidRDefault="00D0625B" w:rsidP="00D0625B">
            <w:pPr>
              <w:jc w:val="center"/>
              <w:rPr>
                <w:color w:val="000000"/>
                <w:sz w:val="18"/>
                <w:szCs w:val="18"/>
              </w:rPr>
            </w:pPr>
            <w:r w:rsidRPr="00D0625B">
              <w:rPr>
                <w:color w:val="000000"/>
                <w:sz w:val="18"/>
                <w:szCs w:val="18"/>
              </w:rPr>
              <w:t>EUR</w:t>
            </w:r>
          </w:p>
        </w:tc>
        <w:tc>
          <w:tcPr>
            <w:tcW w:w="839" w:type="dxa"/>
            <w:shd w:val="clear" w:color="000000" w:fill="C4D79B"/>
            <w:vAlign w:val="center"/>
            <w:hideMark/>
          </w:tcPr>
          <w:p w:rsidR="00D0625B" w:rsidRPr="00D0625B" w:rsidRDefault="00D0625B" w:rsidP="00D0625B">
            <w:pPr>
              <w:jc w:val="center"/>
              <w:rPr>
                <w:color w:val="000000"/>
                <w:sz w:val="18"/>
                <w:szCs w:val="18"/>
              </w:rPr>
            </w:pPr>
            <w:r w:rsidRPr="00D0625B">
              <w:rPr>
                <w:color w:val="000000"/>
                <w:sz w:val="18"/>
                <w:szCs w:val="18"/>
              </w:rPr>
              <w:t>%</w:t>
            </w:r>
          </w:p>
        </w:tc>
      </w:tr>
      <w:tr w:rsidR="00D0625B" w:rsidRPr="00D0625B" w:rsidTr="001352F9">
        <w:trPr>
          <w:trHeight w:val="302"/>
        </w:trPr>
        <w:tc>
          <w:tcPr>
            <w:tcW w:w="972" w:type="dxa"/>
            <w:vMerge/>
            <w:vAlign w:val="center"/>
            <w:hideMark/>
          </w:tcPr>
          <w:p w:rsidR="00D0625B" w:rsidRPr="00D0625B" w:rsidRDefault="00D0625B" w:rsidP="00D0625B">
            <w:pPr>
              <w:rPr>
                <w:b/>
                <w:bCs/>
                <w:color w:val="000000"/>
                <w:sz w:val="16"/>
                <w:szCs w:val="16"/>
              </w:rPr>
            </w:pPr>
          </w:p>
        </w:tc>
        <w:tc>
          <w:tcPr>
            <w:tcW w:w="1449" w:type="dxa"/>
            <w:shd w:val="clear" w:color="000000" w:fill="C4D79B"/>
            <w:vAlign w:val="center"/>
            <w:hideMark/>
          </w:tcPr>
          <w:p w:rsidR="00D0625B" w:rsidRPr="00D0625B" w:rsidRDefault="00D0625B" w:rsidP="00D0625B">
            <w:pPr>
              <w:jc w:val="center"/>
              <w:rPr>
                <w:b/>
                <w:bCs/>
                <w:color w:val="000000"/>
                <w:sz w:val="18"/>
                <w:szCs w:val="18"/>
              </w:rPr>
            </w:pPr>
            <w:r w:rsidRPr="00D0625B">
              <w:rPr>
                <w:b/>
                <w:bCs/>
                <w:color w:val="000000"/>
                <w:sz w:val="18"/>
                <w:szCs w:val="18"/>
              </w:rPr>
              <w:t xml:space="preserve">a </w:t>
            </w:r>
          </w:p>
        </w:tc>
        <w:tc>
          <w:tcPr>
            <w:tcW w:w="1352" w:type="dxa"/>
            <w:shd w:val="clear" w:color="000000" w:fill="C4D79B"/>
            <w:vAlign w:val="center"/>
            <w:hideMark/>
          </w:tcPr>
          <w:p w:rsidR="00D0625B" w:rsidRPr="00D0625B" w:rsidRDefault="00D0625B" w:rsidP="00D0625B">
            <w:pPr>
              <w:jc w:val="center"/>
              <w:rPr>
                <w:b/>
                <w:bCs/>
                <w:color w:val="000000"/>
                <w:sz w:val="18"/>
                <w:szCs w:val="18"/>
              </w:rPr>
            </w:pPr>
            <w:r w:rsidRPr="00D0625B">
              <w:rPr>
                <w:b/>
                <w:bCs/>
                <w:color w:val="000000"/>
                <w:sz w:val="18"/>
                <w:szCs w:val="18"/>
              </w:rPr>
              <w:t xml:space="preserve">b </w:t>
            </w:r>
          </w:p>
        </w:tc>
        <w:tc>
          <w:tcPr>
            <w:tcW w:w="875" w:type="dxa"/>
            <w:shd w:val="clear" w:color="000000" w:fill="C4D79B"/>
            <w:vAlign w:val="center"/>
            <w:hideMark/>
          </w:tcPr>
          <w:p w:rsidR="00D0625B" w:rsidRPr="00D0625B" w:rsidRDefault="00D0625B" w:rsidP="00D0625B">
            <w:pPr>
              <w:jc w:val="center"/>
              <w:rPr>
                <w:b/>
                <w:bCs/>
                <w:color w:val="000000"/>
                <w:sz w:val="18"/>
                <w:szCs w:val="18"/>
              </w:rPr>
            </w:pPr>
            <w:r w:rsidRPr="00D0625B">
              <w:rPr>
                <w:b/>
                <w:bCs/>
                <w:color w:val="000000"/>
                <w:sz w:val="18"/>
                <w:szCs w:val="18"/>
              </w:rPr>
              <w:t xml:space="preserve">b/a </w:t>
            </w:r>
          </w:p>
        </w:tc>
        <w:tc>
          <w:tcPr>
            <w:tcW w:w="1377" w:type="dxa"/>
            <w:shd w:val="clear" w:color="000000" w:fill="C4D79B"/>
            <w:vAlign w:val="center"/>
            <w:hideMark/>
          </w:tcPr>
          <w:p w:rsidR="00D0625B" w:rsidRPr="00D0625B" w:rsidRDefault="00D0625B" w:rsidP="00D0625B">
            <w:pPr>
              <w:jc w:val="center"/>
              <w:rPr>
                <w:b/>
                <w:bCs/>
                <w:color w:val="000000"/>
                <w:sz w:val="18"/>
                <w:szCs w:val="18"/>
              </w:rPr>
            </w:pPr>
            <w:r w:rsidRPr="00D0625B">
              <w:rPr>
                <w:b/>
                <w:bCs/>
                <w:color w:val="000000"/>
                <w:sz w:val="18"/>
                <w:szCs w:val="18"/>
              </w:rPr>
              <w:t xml:space="preserve">c </w:t>
            </w:r>
          </w:p>
        </w:tc>
        <w:tc>
          <w:tcPr>
            <w:tcW w:w="839" w:type="dxa"/>
            <w:shd w:val="clear" w:color="000000" w:fill="C4D79B"/>
            <w:vAlign w:val="center"/>
            <w:hideMark/>
          </w:tcPr>
          <w:p w:rsidR="00D0625B" w:rsidRPr="00D0625B" w:rsidRDefault="00D0625B" w:rsidP="00D0625B">
            <w:pPr>
              <w:jc w:val="center"/>
              <w:rPr>
                <w:b/>
                <w:bCs/>
                <w:color w:val="000000"/>
                <w:sz w:val="18"/>
                <w:szCs w:val="18"/>
              </w:rPr>
            </w:pPr>
            <w:r w:rsidRPr="00D0625B">
              <w:rPr>
                <w:b/>
                <w:bCs/>
                <w:color w:val="000000"/>
                <w:sz w:val="18"/>
                <w:szCs w:val="18"/>
              </w:rPr>
              <w:t xml:space="preserve">c/a </w:t>
            </w:r>
          </w:p>
        </w:tc>
        <w:tc>
          <w:tcPr>
            <w:tcW w:w="1377" w:type="dxa"/>
            <w:shd w:val="clear" w:color="000000" w:fill="C4D79B"/>
            <w:vAlign w:val="center"/>
            <w:hideMark/>
          </w:tcPr>
          <w:p w:rsidR="00D0625B" w:rsidRPr="00D0625B" w:rsidRDefault="00D0625B" w:rsidP="00D0625B">
            <w:pPr>
              <w:jc w:val="center"/>
              <w:rPr>
                <w:b/>
                <w:bCs/>
                <w:color w:val="000000"/>
                <w:sz w:val="18"/>
                <w:szCs w:val="18"/>
              </w:rPr>
            </w:pPr>
            <w:r w:rsidRPr="00D0625B">
              <w:rPr>
                <w:b/>
                <w:bCs/>
                <w:color w:val="000000"/>
                <w:sz w:val="18"/>
                <w:szCs w:val="18"/>
              </w:rPr>
              <w:t xml:space="preserve">d </w:t>
            </w:r>
          </w:p>
        </w:tc>
        <w:tc>
          <w:tcPr>
            <w:tcW w:w="839" w:type="dxa"/>
            <w:shd w:val="clear" w:color="000000" w:fill="C4D79B"/>
            <w:vAlign w:val="center"/>
            <w:hideMark/>
          </w:tcPr>
          <w:p w:rsidR="00D0625B" w:rsidRPr="00D0625B" w:rsidRDefault="00D0625B" w:rsidP="00D0625B">
            <w:pPr>
              <w:jc w:val="center"/>
              <w:rPr>
                <w:b/>
                <w:bCs/>
                <w:color w:val="000000"/>
                <w:sz w:val="18"/>
                <w:szCs w:val="18"/>
              </w:rPr>
            </w:pPr>
            <w:r w:rsidRPr="00D0625B">
              <w:rPr>
                <w:b/>
                <w:bCs/>
                <w:color w:val="000000"/>
                <w:sz w:val="18"/>
                <w:szCs w:val="18"/>
              </w:rPr>
              <w:t xml:space="preserve">d/a </w:t>
            </w:r>
          </w:p>
        </w:tc>
      </w:tr>
      <w:tr w:rsidR="00D0625B" w:rsidRPr="00D0625B" w:rsidTr="001352F9">
        <w:trPr>
          <w:trHeight w:val="302"/>
        </w:trPr>
        <w:tc>
          <w:tcPr>
            <w:tcW w:w="972" w:type="dxa"/>
            <w:shd w:val="clear" w:color="000000" w:fill="FFFFFF"/>
            <w:vAlign w:val="center"/>
            <w:hideMark/>
          </w:tcPr>
          <w:p w:rsidR="00D0625B" w:rsidRPr="00D0625B" w:rsidRDefault="00D0625B" w:rsidP="007111CC">
            <w:pPr>
              <w:jc w:val="center"/>
              <w:rPr>
                <w:color w:val="000000"/>
                <w:sz w:val="18"/>
                <w:szCs w:val="18"/>
              </w:rPr>
            </w:pPr>
            <w:r w:rsidRPr="00D0625B">
              <w:rPr>
                <w:color w:val="000000"/>
                <w:sz w:val="18"/>
                <w:szCs w:val="18"/>
              </w:rPr>
              <w:t>5.1</w:t>
            </w:r>
          </w:p>
        </w:tc>
        <w:tc>
          <w:tcPr>
            <w:tcW w:w="144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251 453 425</w:t>
            </w:r>
          </w:p>
        </w:tc>
        <w:tc>
          <w:tcPr>
            <w:tcW w:w="1352"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251 737 569</w:t>
            </w:r>
          </w:p>
        </w:tc>
        <w:tc>
          <w:tcPr>
            <w:tcW w:w="875"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100,1%</w:t>
            </w:r>
          </w:p>
        </w:tc>
        <w:tc>
          <w:tcPr>
            <w:tcW w:w="1377"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164 912 409</w:t>
            </w:r>
          </w:p>
        </w:tc>
        <w:tc>
          <w:tcPr>
            <w:tcW w:w="83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65,6%</w:t>
            </w:r>
          </w:p>
        </w:tc>
        <w:tc>
          <w:tcPr>
            <w:tcW w:w="1377"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163 917 071</w:t>
            </w:r>
          </w:p>
        </w:tc>
        <w:tc>
          <w:tcPr>
            <w:tcW w:w="83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65,2%</w:t>
            </w:r>
          </w:p>
        </w:tc>
      </w:tr>
      <w:tr w:rsidR="00D0625B" w:rsidRPr="00D0625B" w:rsidTr="001352F9">
        <w:trPr>
          <w:trHeight w:val="302"/>
        </w:trPr>
        <w:tc>
          <w:tcPr>
            <w:tcW w:w="972" w:type="dxa"/>
            <w:shd w:val="clear" w:color="000000" w:fill="FFFFFF"/>
            <w:vAlign w:val="center"/>
            <w:hideMark/>
          </w:tcPr>
          <w:p w:rsidR="00D0625B" w:rsidRPr="00D0625B" w:rsidRDefault="00D0625B" w:rsidP="007111CC">
            <w:pPr>
              <w:jc w:val="center"/>
              <w:rPr>
                <w:color w:val="000000"/>
                <w:sz w:val="18"/>
                <w:szCs w:val="18"/>
              </w:rPr>
            </w:pPr>
            <w:r w:rsidRPr="00D0625B">
              <w:rPr>
                <w:color w:val="000000"/>
                <w:sz w:val="18"/>
                <w:szCs w:val="18"/>
              </w:rPr>
              <w:t>5.2</w:t>
            </w:r>
          </w:p>
        </w:tc>
        <w:tc>
          <w:tcPr>
            <w:tcW w:w="144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251 032 890</w:t>
            </w:r>
          </w:p>
        </w:tc>
        <w:tc>
          <w:tcPr>
            <w:tcW w:w="1352"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375 738 729</w:t>
            </w:r>
          </w:p>
        </w:tc>
        <w:tc>
          <w:tcPr>
            <w:tcW w:w="875"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149,7%</w:t>
            </w:r>
          </w:p>
        </w:tc>
        <w:tc>
          <w:tcPr>
            <w:tcW w:w="1377"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293 809 934</w:t>
            </w:r>
          </w:p>
        </w:tc>
        <w:tc>
          <w:tcPr>
            <w:tcW w:w="83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117,0%</w:t>
            </w:r>
          </w:p>
        </w:tc>
        <w:tc>
          <w:tcPr>
            <w:tcW w:w="1377"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292 368 592</w:t>
            </w:r>
          </w:p>
        </w:tc>
        <w:tc>
          <w:tcPr>
            <w:tcW w:w="83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116,5%</w:t>
            </w:r>
          </w:p>
        </w:tc>
      </w:tr>
      <w:tr w:rsidR="00D0625B" w:rsidRPr="00D0625B" w:rsidTr="001352F9">
        <w:trPr>
          <w:trHeight w:val="302"/>
        </w:trPr>
        <w:tc>
          <w:tcPr>
            <w:tcW w:w="972" w:type="dxa"/>
            <w:shd w:val="clear" w:color="000000" w:fill="FFFFFF"/>
            <w:vAlign w:val="center"/>
            <w:hideMark/>
          </w:tcPr>
          <w:p w:rsidR="00D0625B" w:rsidRPr="00D0625B" w:rsidRDefault="00D0625B" w:rsidP="007111CC">
            <w:pPr>
              <w:jc w:val="center"/>
              <w:rPr>
                <w:color w:val="000000"/>
                <w:sz w:val="18"/>
                <w:szCs w:val="18"/>
              </w:rPr>
            </w:pPr>
            <w:r w:rsidRPr="00D0625B">
              <w:rPr>
                <w:color w:val="000000"/>
                <w:sz w:val="18"/>
                <w:szCs w:val="18"/>
              </w:rPr>
              <w:t>5.3</w:t>
            </w:r>
          </w:p>
        </w:tc>
        <w:tc>
          <w:tcPr>
            <w:tcW w:w="144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18 270 715</w:t>
            </w:r>
          </w:p>
        </w:tc>
        <w:tc>
          <w:tcPr>
            <w:tcW w:w="1352"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18 463 709</w:t>
            </w:r>
          </w:p>
        </w:tc>
        <w:tc>
          <w:tcPr>
            <w:tcW w:w="875"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101,1%</w:t>
            </w:r>
          </w:p>
        </w:tc>
        <w:tc>
          <w:tcPr>
            <w:tcW w:w="1377"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18 378 638</w:t>
            </w:r>
          </w:p>
        </w:tc>
        <w:tc>
          <w:tcPr>
            <w:tcW w:w="83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100,6%</w:t>
            </w:r>
          </w:p>
        </w:tc>
        <w:tc>
          <w:tcPr>
            <w:tcW w:w="1377"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18 202 713</w:t>
            </w:r>
          </w:p>
        </w:tc>
        <w:tc>
          <w:tcPr>
            <w:tcW w:w="839" w:type="dxa"/>
            <w:shd w:val="clear" w:color="000000" w:fill="FFFFFF"/>
            <w:noWrap/>
            <w:vAlign w:val="center"/>
            <w:hideMark/>
          </w:tcPr>
          <w:p w:rsidR="00D0625B" w:rsidRPr="00D0625B" w:rsidRDefault="00D0625B" w:rsidP="007111CC">
            <w:pPr>
              <w:jc w:val="center"/>
              <w:rPr>
                <w:color w:val="000000"/>
                <w:sz w:val="18"/>
                <w:szCs w:val="18"/>
              </w:rPr>
            </w:pPr>
            <w:r w:rsidRPr="00D0625B">
              <w:rPr>
                <w:color w:val="000000"/>
                <w:sz w:val="18"/>
                <w:szCs w:val="18"/>
              </w:rPr>
              <w:t>99,6%</w:t>
            </w:r>
          </w:p>
        </w:tc>
      </w:tr>
      <w:tr w:rsidR="00D0625B" w:rsidRPr="00D0625B" w:rsidTr="001352F9">
        <w:trPr>
          <w:trHeight w:val="317"/>
        </w:trPr>
        <w:tc>
          <w:tcPr>
            <w:tcW w:w="972" w:type="dxa"/>
            <w:shd w:val="clear" w:color="000000" w:fill="D9D9D9"/>
            <w:vAlign w:val="center"/>
            <w:hideMark/>
          </w:tcPr>
          <w:p w:rsidR="00D0625B" w:rsidRPr="00D0625B" w:rsidRDefault="00D0625B" w:rsidP="007111CC">
            <w:pPr>
              <w:jc w:val="center"/>
              <w:rPr>
                <w:b/>
                <w:bCs/>
                <w:color w:val="000000"/>
                <w:sz w:val="18"/>
                <w:szCs w:val="18"/>
              </w:rPr>
            </w:pPr>
            <w:r w:rsidRPr="00D0625B">
              <w:rPr>
                <w:b/>
                <w:bCs/>
                <w:color w:val="000000"/>
                <w:sz w:val="18"/>
                <w:szCs w:val="18"/>
              </w:rPr>
              <w:t>PO 5</w:t>
            </w:r>
          </w:p>
        </w:tc>
        <w:tc>
          <w:tcPr>
            <w:tcW w:w="1449" w:type="dxa"/>
            <w:shd w:val="clear" w:color="000000" w:fill="D9D9D9"/>
            <w:noWrap/>
            <w:vAlign w:val="center"/>
            <w:hideMark/>
          </w:tcPr>
          <w:p w:rsidR="00D0625B" w:rsidRPr="00D0625B" w:rsidRDefault="00D0625B" w:rsidP="007111CC">
            <w:pPr>
              <w:jc w:val="center"/>
              <w:rPr>
                <w:b/>
                <w:bCs/>
                <w:color w:val="000000"/>
                <w:sz w:val="18"/>
                <w:szCs w:val="18"/>
              </w:rPr>
            </w:pPr>
            <w:r w:rsidRPr="00D0625B">
              <w:rPr>
                <w:b/>
                <w:bCs/>
                <w:color w:val="000000"/>
                <w:sz w:val="18"/>
                <w:szCs w:val="18"/>
              </w:rPr>
              <w:t>520 757 030</w:t>
            </w:r>
          </w:p>
        </w:tc>
        <w:tc>
          <w:tcPr>
            <w:tcW w:w="1352" w:type="dxa"/>
            <w:shd w:val="clear" w:color="000000" w:fill="D9D9D9"/>
            <w:noWrap/>
            <w:vAlign w:val="center"/>
            <w:hideMark/>
          </w:tcPr>
          <w:p w:rsidR="00D0625B" w:rsidRPr="00D0625B" w:rsidRDefault="00D0625B" w:rsidP="007111CC">
            <w:pPr>
              <w:jc w:val="center"/>
              <w:rPr>
                <w:b/>
                <w:bCs/>
                <w:color w:val="000000"/>
                <w:sz w:val="18"/>
                <w:szCs w:val="18"/>
              </w:rPr>
            </w:pPr>
            <w:r w:rsidRPr="00D0625B">
              <w:rPr>
                <w:b/>
                <w:bCs/>
                <w:color w:val="000000"/>
                <w:sz w:val="18"/>
                <w:szCs w:val="18"/>
              </w:rPr>
              <w:t>645 940 007</w:t>
            </w:r>
          </w:p>
        </w:tc>
        <w:tc>
          <w:tcPr>
            <w:tcW w:w="875" w:type="dxa"/>
            <w:shd w:val="clear" w:color="000000" w:fill="D9D9D9"/>
            <w:noWrap/>
            <w:vAlign w:val="center"/>
            <w:hideMark/>
          </w:tcPr>
          <w:p w:rsidR="00D0625B" w:rsidRPr="00D0625B" w:rsidRDefault="00D0625B" w:rsidP="007111CC">
            <w:pPr>
              <w:jc w:val="center"/>
              <w:rPr>
                <w:b/>
                <w:bCs/>
                <w:color w:val="000000"/>
                <w:sz w:val="18"/>
                <w:szCs w:val="18"/>
              </w:rPr>
            </w:pPr>
            <w:r w:rsidRPr="00D0625B">
              <w:rPr>
                <w:b/>
                <w:bCs/>
                <w:color w:val="000000"/>
                <w:sz w:val="18"/>
                <w:szCs w:val="18"/>
              </w:rPr>
              <w:t>124,0%</w:t>
            </w:r>
          </w:p>
        </w:tc>
        <w:tc>
          <w:tcPr>
            <w:tcW w:w="1377" w:type="dxa"/>
            <w:shd w:val="clear" w:color="000000" w:fill="D9D9D9"/>
            <w:noWrap/>
            <w:vAlign w:val="center"/>
            <w:hideMark/>
          </w:tcPr>
          <w:p w:rsidR="00D0625B" w:rsidRPr="00D0625B" w:rsidRDefault="00D0625B" w:rsidP="007111CC">
            <w:pPr>
              <w:jc w:val="center"/>
              <w:rPr>
                <w:b/>
                <w:bCs/>
                <w:color w:val="000000"/>
                <w:sz w:val="18"/>
                <w:szCs w:val="18"/>
              </w:rPr>
            </w:pPr>
            <w:r w:rsidRPr="00D0625B">
              <w:rPr>
                <w:b/>
                <w:bCs/>
                <w:color w:val="000000"/>
                <w:sz w:val="18"/>
                <w:szCs w:val="18"/>
              </w:rPr>
              <w:t>477 100 980</w:t>
            </w:r>
          </w:p>
        </w:tc>
        <w:tc>
          <w:tcPr>
            <w:tcW w:w="839" w:type="dxa"/>
            <w:shd w:val="clear" w:color="000000" w:fill="D9D9D9"/>
            <w:noWrap/>
            <w:vAlign w:val="center"/>
            <w:hideMark/>
          </w:tcPr>
          <w:p w:rsidR="00D0625B" w:rsidRPr="00D0625B" w:rsidRDefault="00D0625B" w:rsidP="007111CC">
            <w:pPr>
              <w:jc w:val="center"/>
              <w:rPr>
                <w:b/>
                <w:bCs/>
                <w:color w:val="000000"/>
                <w:sz w:val="18"/>
                <w:szCs w:val="18"/>
              </w:rPr>
            </w:pPr>
            <w:r w:rsidRPr="00D0625B">
              <w:rPr>
                <w:b/>
                <w:bCs/>
                <w:color w:val="000000"/>
                <w:sz w:val="18"/>
                <w:szCs w:val="18"/>
              </w:rPr>
              <w:t>91,6%</w:t>
            </w:r>
          </w:p>
        </w:tc>
        <w:tc>
          <w:tcPr>
            <w:tcW w:w="1377" w:type="dxa"/>
            <w:shd w:val="clear" w:color="000000" w:fill="D9D9D9"/>
            <w:noWrap/>
            <w:vAlign w:val="center"/>
            <w:hideMark/>
          </w:tcPr>
          <w:p w:rsidR="00D0625B" w:rsidRPr="00D0625B" w:rsidRDefault="00D0625B" w:rsidP="007111CC">
            <w:pPr>
              <w:jc w:val="center"/>
              <w:rPr>
                <w:b/>
                <w:bCs/>
                <w:color w:val="000000"/>
                <w:sz w:val="18"/>
                <w:szCs w:val="18"/>
              </w:rPr>
            </w:pPr>
            <w:r w:rsidRPr="00D0625B">
              <w:rPr>
                <w:b/>
                <w:bCs/>
                <w:color w:val="000000"/>
                <w:sz w:val="18"/>
                <w:szCs w:val="18"/>
              </w:rPr>
              <w:t>474 488 375</w:t>
            </w:r>
          </w:p>
        </w:tc>
        <w:tc>
          <w:tcPr>
            <w:tcW w:w="839" w:type="dxa"/>
            <w:shd w:val="clear" w:color="000000" w:fill="D9D9D9"/>
            <w:noWrap/>
            <w:vAlign w:val="center"/>
            <w:hideMark/>
          </w:tcPr>
          <w:p w:rsidR="00D0625B" w:rsidRPr="00D0625B" w:rsidRDefault="00D0625B" w:rsidP="007111CC">
            <w:pPr>
              <w:jc w:val="center"/>
              <w:rPr>
                <w:b/>
                <w:bCs/>
                <w:color w:val="000000"/>
                <w:sz w:val="18"/>
                <w:szCs w:val="18"/>
              </w:rPr>
            </w:pPr>
            <w:r w:rsidRPr="00D0625B">
              <w:rPr>
                <w:b/>
                <w:bCs/>
                <w:color w:val="000000"/>
                <w:sz w:val="18"/>
                <w:szCs w:val="18"/>
              </w:rPr>
              <w:t>91,1%</w:t>
            </w:r>
          </w:p>
        </w:tc>
      </w:tr>
    </w:tbl>
    <w:p w:rsidR="00A75862" w:rsidRPr="00D95A18" w:rsidRDefault="00A75862" w:rsidP="00C0213C">
      <w:pPr>
        <w:spacing w:before="60"/>
        <w:rPr>
          <w:i/>
          <w:sz w:val="18"/>
          <w:szCs w:val="18"/>
        </w:rPr>
      </w:pPr>
      <w:r w:rsidRPr="00D95A18">
        <w:rPr>
          <w:i/>
          <w:sz w:val="18"/>
          <w:szCs w:val="18"/>
        </w:rPr>
        <w:t xml:space="preserve">Zdroj: MSC2007 ke dni </w:t>
      </w:r>
      <w:r w:rsidR="00AE4209">
        <w:rPr>
          <w:i/>
          <w:sz w:val="18"/>
          <w:szCs w:val="18"/>
        </w:rPr>
        <w:t>31</w:t>
      </w:r>
      <w:r w:rsidR="00AE4209" w:rsidRPr="00D95A18">
        <w:rPr>
          <w:i/>
          <w:sz w:val="18"/>
          <w:szCs w:val="18"/>
        </w:rPr>
        <w:t>. 12. 2014</w:t>
      </w:r>
    </w:p>
    <w:p w:rsidR="00A75862" w:rsidRPr="00D95A18" w:rsidRDefault="00A75862" w:rsidP="00C0213C">
      <w:pPr>
        <w:rPr>
          <w:i/>
          <w:sz w:val="18"/>
          <w:szCs w:val="18"/>
        </w:rPr>
      </w:pPr>
      <w:r w:rsidRPr="00D95A18">
        <w:rPr>
          <w:i/>
          <w:sz w:val="18"/>
          <w:szCs w:val="18"/>
        </w:rPr>
        <w:t xml:space="preserve">Kurz CZK/EUR: </w:t>
      </w:r>
      <w:r w:rsidR="00D0625B">
        <w:rPr>
          <w:i/>
          <w:sz w:val="18"/>
          <w:szCs w:val="18"/>
        </w:rPr>
        <w:t>27,728</w:t>
      </w:r>
    </w:p>
    <w:p w:rsidR="00D62FA6" w:rsidRPr="000435AC" w:rsidRDefault="00D62FA6" w:rsidP="00D62FA6">
      <w:pPr>
        <w:spacing w:after="240"/>
        <w:rPr>
          <w:i/>
          <w:sz w:val="18"/>
          <w:szCs w:val="18"/>
        </w:rPr>
      </w:pPr>
      <w:r w:rsidRPr="000435AC">
        <w:rPr>
          <w:i/>
          <w:color w:val="000000"/>
          <w:sz w:val="18"/>
          <w:szCs w:val="18"/>
        </w:rPr>
        <w:t xml:space="preserve">Zdroj financování: </w:t>
      </w:r>
      <w:r w:rsidR="003A2C08">
        <w:rPr>
          <w:i/>
          <w:color w:val="000000"/>
          <w:sz w:val="18"/>
          <w:szCs w:val="18"/>
        </w:rPr>
        <w:t>p</w:t>
      </w:r>
      <w:r w:rsidRPr="000435AC">
        <w:rPr>
          <w:i/>
          <w:color w:val="000000"/>
          <w:sz w:val="18"/>
          <w:szCs w:val="18"/>
        </w:rPr>
        <w:t>odíl EU</w:t>
      </w:r>
      <w:r w:rsidR="00C50DD2">
        <w:rPr>
          <w:i/>
          <w:color w:val="000000"/>
          <w:sz w:val="18"/>
          <w:szCs w:val="18"/>
        </w:rPr>
        <w:t xml:space="preserve"> </w:t>
      </w:r>
      <w:r>
        <w:rPr>
          <w:i/>
          <w:color w:val="000000"/>
          <w:sz w:val="18"/>
          <w:szCs w:val="18"/>
        </w:rPr>
        <w:t>+</w:t>
      </w:r>
      <w:r w:rsidR="00C50DD2">
        <w:rPr>
          <w:i/>
          <w:color w:val="000000"/>
          <w:sz w:val="18"/>
          <w:szCs w:val="18"/>
        </w:rPr>
        <w:t xml:space="preserve"> </w:t>
      </w:r>
      <w:r w:rsidR="003A2C08">
        <w:rPr>
          <w:i/>
          <w:color w:val="000000"/>
          <w:sz w:val="18"/>
          <w:szCs w:val="18"/>
        </w:rPr>
        <w:t>n</w:t>
      </w:r>
      <w:r>
        <w:rPr>
          <w:i/>
          <w:color w:val="000000"/>
          <w:sz w:val="18"/>
          <w:szCs w:val="18"/>
        </w:rPr>
        <w:t>árodní veřejné zdroje</w:t>
      </w:r>
      <w:r w:rsidR="00C50DD2">
        <w:rPr>
          <w:i/>
          <w:color w:val="000000"/>
          <w:sz w:val="18"/>
          <w:szCs w:val="18"/>
        </w:rPr>
        <w:t xml:space="preserve"> </w:t>
      </w:r>
      <w:r>
        <w:rPr>
          <w:i/>
          <w:color w:val="000000"/>
          <w:sz w:val="18"/>
          <w:szCs w:val="18"/>
        </w:rPr>
        <w:t>+</w:t>
      </w:r>
      <w:r w:rsidR="00C50DD2">
        <w:rPr>
          <w:i/>
          <w:color w:val="000000"/>
          <w:sz w:val="18"/>
          <w:szCs w:val="18"/>
        </w:rPr>
        <w:t xml:space="preserve"> </w:t>
      </w:r>
      <w:r w:rsidR="003A2C08">
        <w:rPr>
          <w:i/>
          <w:color w:val="000000"/>
          <w:sz w:val="18"/>
          <w:szCs w:val="18"/>
        </w:rPr>
        <w:t>s</w:t>
      </w:r>
      <w:r>
        <w:rPr>
          <w:i/>
          <w:color w:val="000000"/>
          <w:sz w:val="18"/>
          <w:szCs w:val="18"/>
        </w:rPr>
        <w:t>oukromé výdaje</w:t>
      </w:r>
      <w:r w:rsidRPr="000435AC">
        <w:rPr>
          <w:i/>
          <w:color w:val="000000"/>
          <w:sz w:val="18"/>
          <w:szCs w:val="18"/>
        </w:rPr>
        <w:t xml:space="preserve">  </w:t>
      </w:r>
    </w:p>
    <w:p w:rsidR="00A75862" w:rsidRDefault="00A75862" w:rsidP="00510E1B">
      <w:pPr>
        <w:autoSpaceDE w:val="0"/>
        <w:autoSpaceDN w:val="0"/>
        <w:adjustRightInd w:val="0"/>
        <w:jc w:val="both"/>
        <w:rPr>
          <w:sz w:val="22"/>
          <w:szCs w:val="22"/>
        </w:rPr>
      </w:pPr>
    </w:p>
    <w:p w:rsidR="00A75862" w:rsidRDefault="005A1F0B" w:rsidP="008263BA">
      <w:pPr>
        <w:pStyle w:val="Tabulkanzev"/>
      </w:pPr>
      <w:bookmarkStart w:id="226" w:name="_Toc416431858"/>
      <w:r w:rsidRPr="00554B9A">
        <w:t>F</w:t>
      </w:r>
      <w:r w:rsidR="00EE2CF0">
        <w:t>inanční pokrok PO 5 k </w:t>
      </w:r>
      <w:r w:rsidR="008263BA">
        <w:t>31. 12. 2014</w:t>
      </w:r>
      <w:r w:rsidR="00201102">
        <w:t xml:space="preserve"> (podíl EU)</w:t>
      </w:r>
      <w:bookmarkEnd w:id="226"/>
    </w:p>
    <w:tbl>
      <w:tblPr>
        <w:tblW w:w="911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5"/>
        <w:gridCol w:w="1573"/>
        <w:gridCol w:w="1338"/>
        <w:gridCol w:w="852"/>
        <w:gridCol w:w="1526"/>
        <w:gridCol w:w="893"/>
        <w:gridCol w:w="1338"/>
        <w:gridCol w:w="746"/>
      </w:tblGrid>
      <w:tr w:rsidR="00EE2CF0" w:rsidRPr="00EE2CF0" w:rsidTr="001352F9">
        <w:trPr>
          <w:trHeight w:val="634"/>
        </w:trPr>
        <w:tc>
          <w:tcPr>
            <w:tcW w:w="845" w:type="dxa"/>
            <w:vMerge w:val="restart"/>
            <w:shd w:val="clear" w:color="000000" w:fill="C4D79B"/>
            <w:vAlign w:val="center"/>
            <w:hideMark/>
          </w:tcPr>
          <w:p w:rsidR="00EE2CF0" w:rsidRPr="00EE2CF0" w:rsidRDefault="00EE2CF0" w:rsidP="00EE2CF0">
            <w:pPr>
              <w:jc w:val="center"/>
              <w:rPr>
                <w:b/>
                <w:bCs/>
                <w:color w:val="000000"/>
                <w:sz w:val="16"/>
                <w:szCs w:val="16"/>
              </w:rPr>
            </w:pPr>
            <w:r w:rsidRPr="00EE2CF0">
              <w:rPr>
                <w:b/>
                <w:bCs/>
                <w:color w:val="000000"/>
                <w:sz w:val="16"/>
                <w:szCs w:val="16"/>
              </w:rPr>
              <w:t>Oblast podpory</w:t>
            </w:r>
          </w:p>
        </w:tc>
        <w:tc>
          <w:tcPr>
            <w:tcW w:w="1573" w:type="dxa"/>
            <w:shd w:val="clear" w:color="000000" w:fill="C4D79B"/>
            <w:vAlign w:val="center"/>
            <w:hideMark/>
          </w:tcPr>
          <w:p w:rsidR="00EE2CF0" w:rsidRPr="00EE2CF0" w:rsidRDefault="00EE2CF0" w:rsidP="00EE2CF0">
            <w:pPr>
              <w:jc w:val="center"/>
              <w:rPr>
                <w:b/>
                <w:bCs/>
                <w:color w:val="000000"/>
                <w:sz w:val="16"/>
                <w:szCs w:val="16"/>
              </w:rPr>
            </w:pPr>
            <w:r w:rsidRPr="00EE2CF0">
              <w:rPr>
                <w:b/>
                <w:bCs/>
                <w:color w:val="000000"/>
                <w:sz w:val="16"/>
                <w:szCs w:val="16"/>
              </w:rPr>
              <w:t>Alokace podpory 2007-2013</w:t>
            </w:r>
          </w:p>
        </w:tc>
        <w:tc>
          <w:tcPr>
            <w:tcW w:w="2190" w:type="dxa"/>
            <w:gridSpan w:val="2"/>
            <w:shd w:val="clear" w:color="000000" w:fill="C4D79B"/>
            <w:vAlign w:val="center"/>
            <w:hideMark/>
          </w:tcPr>
          <w:p w:rsidR="00EE2CF0" w:rsidRPr="00EE2CF0" w:rsidRDefault="00EE2CF0" w:rsidP="00EE2CF0">
            <w:pPr>
              <w:jc w:val="center"/>
              <w:rPr>
                <w:b/>
                <w:bCs/>
                <w:color w:val="000000"/>
                <w:sz w:val="16"/>
                <w:szCs w:val="16"/>
              </w:rPr>
            </w:pPr>
            <w:r w:rsidRPr="00EE2CF0">
              <w:rPr>
                <w:b/>
                <w:bCs/>
                <w:color w:val="000000"/>
                <w:sz w:val="16"/>
                <w:szCs w:val="16"/>
              </w:rPr>
              <w:t>Prostředky kryté Rozhodnutím / Smlouvou (dodatkem)</w:t>
            </w:r>
          </w:p>
        </w:tc>
        <w:tc>
          <w:tcPr>
            <w:tcW w:w="2419" w:type="dxa"/>
            <w:gridSpan w:val="2"/>
            <w:shd w:val="clear" w:color="000000" w:fill="C4D79B"/>
            <w:vAlign w:val="center"/>
            <w:hideMark/>
          </w:tcPr>
          <w:p w:rsidR="00EE2CF0" w:rsidRPr="00EE2CF0" w:rsidRDefault="00EE2CF0" w:rsidP="00EE2CF0">
            <w:pPr>
              <w:jc w:val="center"/>
              <w:rPr>
                <w:b/>
                <w:bCs/>
                <w:color w:val="000000"/>
                <w:sz w:val="16"/>
                <w:szCs w:val="16"/>
              </w:rPr>
            </w:pPr>
            <w:r w:rsidRPr="00EE2CF0">
              <w:rPr>
                <w:b/>
                <w:bCs/>
                <w:color w:val="000000"/>
                <w:sz w:val="16"/>
                <w:szCs w:val="16"/>
              </w:rPr>
              <w:t>Proplacené prostředky příjemcům (vyúčtované prostředky)</w:t>
            </w:r>
          </w:p>
        </w:tc>
        <w:tc>
          <w:tcPr>
            <w:tcW w:w="2084" w:type="dxa"/>
            <w:gridSpan w:val="2"/>
            <w:shd w:val="clear" w:color="000000" w:fill="C4D79B"/>
            <w:vAlign w:val="center"/>
            <w:hideMark/>
          </w:tcPr>
          <w:p w:rsidR="00EE2CF0" w:rsidRPr="00EE2CF0" w:rsidRDefault="00EE2CF0" w:rsidP="00EE2CF0">
            <w:pPr>
              <w:jc w:val="center"/>
              <w:rPr>
                <w:b/>
                <w:bCs/>
                <w:color w:val="000000"/>
                <w:sz w:val="16"/>
                <w:szCs w:val="16"/>
              </w:rPr>
            </w:pPr>
            <w:r w:rsidRPr="00EE2CF0">
              <w:rPr>
                <w:b/>
                <w:bCs/>
                <w:color w:val="000000"/>
                <w:sz w:val="16"/>
                <w:szCs w:val="16"/>
              </w:rPr>
              <w:t>Certifikované prostředky (včetně vratek)</w:t>
            </w:r>
          </w:p>
        </w:tc>
      </w:tr>
      <w:tr w:rsidR="00EE2CF0" w:rsidRPr="00EE2CF0" w:rsidTr="001352F9">
        <w:trPr>
          <w:trHeight w:val="302"/>
        </w:trPr>
        <w:tc>
          <w:tcPr>
            <w:tcW w:w="845" w:type="dxa"/>
            <w:vMerge/>
            <w:vAlign w:val="center"/>
            <w:hideMark/>
          </w:tcPr>
          <w:p w:rsidR="00EE2CF0" w:rsidRPr="00EE2CF0" w:rsidRDefault="00EE2CF0" w:rsidP="00EE2CF0">
            <w:pPr>
              <w:rPr>
                <w:b/>
                <w:bCs/>
                <w:color w:val="000000"/>
                <w:sz w:val="16"/>
                <w:szCs w:val="16"/>
              </w:rPr>
            </w:pPr>
          </w:p>
        </w:tc>
        <w:tc>
          <w:tcPr>
            <w:tcW w:w="1573" w:type="dxa"/>
            <w:shd w:val="clear" w:color="000000" w:fill="C4D79B"/>
            <w:vAlign w:val="bottom"/>
            <w:hideMark/>
          </w:tcPr>
          <w:p w:rsidR="00EE2CF0" w:rsidRPr="00EE2CF0" w:rsidRDefault="00EE2CF0" w:rsidP="00EE2CF0">
            <w:pPr>
              <w:jc w:val="center"/>
              <w:rPr>
                <w:color w:val="000000"/>
                <w:sz w:val="18"/>
                <w:szCs w:val="18"/>
              </w:rPr>
            </w:pPr>
            <w:r w:rsidRPr="00EE2CF0">
              <w:rPr>
                <w:color w:val="000000"/>
                <w:sz w:val="18"/>
                <w:szCs w:val="18"/>
              </w:rPr>
              <w:t>EUR</w:t>
            </w:r>
          </w:p>
        </w:tc>
        <w:tc>
          <w:tcPr>
            <w:tcW w:w="1338" w:type="dxa"/>
            <w:shd w:val="clear" w:color="000000" w:fill="C4D79B"/>
            <w:vAlign w:val="bottom"/>
            <w:hideMark/>
          </w:tcPr>
          <w:p w:rsidR="00EE2CF0" w:rsidRPr="00EE2CF0" w:rsidRDefault="00EE2CF0" w:rsidP="00EE2CF0">
            <w:pPr>
              <w:jc w:val="center"/>
              <w:rPr>
                <w:color w:val="000000"/>
                <w:sz w:val="18"/>
                <w:szCs w:val="18"/>
              </w:rPr>
            </w:pPr>
            <w:r w:rsidRPr="00EE2CF0">
              <w:rPr>
                <w:color w:val="000000"/>
                <w:sz w:val="18"/>
                <w:szCs w:val="18"/>
              </w:rPr>
              <w:t>EUR</w:t>
            </w:r>
          </w:p>
        </w:tc>
        <w:tc>
          <w:tcPr>
            <w:tcW w:w="851" w:type="dxa"/>
            <w:shd w:val="clear" w:color="000000" w:fill="C4D79B"/>
            <w:vAlign w:val="bottom"/>
            <w:hideMark/>
          </w:tcPr>
          <w:p w:rsidR="00EE2CF0" w:rsidRPr="00EE2CF0" w:rsidRDefault="00EE2CF0" w:rsidP="00EE2CF0">
            <w:pPr>
              <w:jc w:val="center"/>
              <w:rPr>
                <w:color w:val="000000"/>
                <w:sz w:val="18"/>
                <w:szCs w:val="18"/>
              </w:rPr>
            </w:pPr>
            <w:r w:rsidRPr="00EE2CF0">
              <w:rPr>
                <w:color w:val="000000"/>
                <w:sz w:val="18"/>
                <w:szCs w:val="18"/>
              </w:rPr>
              <w:t>%</w:t>
            </w:r>
          </w:p>
        </w:tc>
        <w:tc>
          <w:tcPr>
            <w:tcW w:w="1526" w:type="dxa"/>
            <w:shd w:val="clear" w:color="000000" w:fill="C4D79B"/>
            <w:vAlign w:val="bottom"/>
            <w:hideMark/>
          </w:tcPr>
          <w:p w:rsidR="00EE2CF0" w:rsidRPr="00EE2CF0" w:rsidRDefault="00EE2CF0" w:rsidP="00EE2CF0">
            <w:pPr>
              <w:jc w:val="center"/>
              <w:rPr>
                <w:color w:val="000000"/>
                <w:sz w:val="18"/>
                <w:szCs w:val="18"/>
              </w:rPr>
            </w:pPr>
            <w:r w:rsidRPr="00EE2CF0">
              <w:rPr>
                <w:color w:val="000000"/>
                <w:sz w:val="18"/>
                <w:szCs w:val="18"/>
              </w:rPr>
              <w:t>EUR</w:t>
            </w:r>
          </w:p>
        </w:tc>
        <w:tc>
          <w:tcPr>
            <w:tcW w:w="892" w:type="dxa"/>
            <w:shd w:val="clear" w:color="000000" w:fill="C4D79B"/>
            <w:vAlign w:val="bottom"/>
            <w:hideMark/>
          </w:tcPr>
          <w:p w:rsidR="00EE2CF0" w:rsidRPr="00EE2CF0" w:rsidRDefault="00EE2CF0" w:rsidP="00EE2CF0">
            <w:pPr>
              <w:jc w:val="center"/>
              <w:rPr>
                <w:color w:val="000000"/>
                <w:sz w:val="18"/>
                <w:szCs w:val="18"/>
              </w:rPr>
            </w:pPr>
            <w:r w:rsidRPr="00EE2CF0">
              <w:rPr>
                <w:color w:val="000000"/>
                <w:sz w:val="18"/>
                <w:szCs w:val="18"/>
              </w:rPr>
              <w:t>%</w:t>
            </w:r>
          </w:p>
        </w:tc>
        <w:tc>
          <w:tcPr>
            <w:tcW w:w="1338" w:type="dxa"/>
            <w:shd w:val="clear" w:color="000000" w:fill="C4D79B"/>
            <w:vAlign w:val="bottom"/>
            <w:hideMark/>
          </w:tcPr>
          <w:p w:rsidR="00EE2CF0" w:rsidRPr="00EE2CF0" w:rsidRDefault="00EE2CF0" w:rsidP="00EE2CF0">
            <w:pPr>
              <w:jc w:val="center"/>
              <w:rPr>
                <w:color w:val="000000"/>
                <w:sz w:val="18"/>
                <w:szCs w:val="18"/>
              </w:rPr>
            </w:pPr>
            <w:r w:rsidRPr="00EE2CF0">
              <w:rPr>
                <w:color w:val="000000"/>
                <w:sz w:val="18"/>
                <w:szCs w:val="18"/>
              </w:rPr>
              <w:t>EUR</w:t>
            </w:r>
          </w:p>
        </w:tc>
        <w:tc>
          <w:tcPr>
            <w:tcW w:w="746" w:type="dxa"/>
            <w:shd w:val="clear" w:color="000000" w:fill="C4D79B"/>
            <w:vAlign w:val="bottom"/>
            <w:hideMark/>
          </w:tcPr>
          <w:p w:rsidR="00EE2CF0" w:rsidRPr="00EE2CF0" w:rsidRDefault="00EE2CF0" w:rsidP="00EE2CF0">
            <w:pPr>
              <w:jc w:val="center"/>
              <w:rPr>
                <w:color w:val="000000"/>
                <w:sz w:val="18"/>
                <w:szCs w:val="18"/>
              </w:rPr>
            </w:pPr>
            <w:r w:rsidRPr="00EE2CF0">
              <w:rPr>
                <w:color w:val="000000"/>
                <w:sz w:val="18"/>
                <w:szCs w:val="18"/>
              </w:rPr>
              <w:t>%</w:t>
            </w:r>
          </w:p>
        </w:tc>
      </w:tr>
      <w:tr w:rsidR="00EE2CF0" w:rsidRPr="00EE2CF0" w:rsidTr="001352F9">
        <w:trPr>
          <w:trHeight w:val="302"/>
        </w:trPr>
        <w:tc>
          <w:tcPr>
            <w:tcW w:w="845" w:type="dxa"/>
            <w:vMerge/>
            <w:vAlign w:val="center"/>
            <w:hideMark/>
          </w:tcPr>
          <w:p w:rsidR="00EE2CF0" w:rsidRPr="00EE2CF0" w:rsidRDefault="00EE2CF0" w:rsidP="00EE2CF0">
            <w:pPr>
              <w:rPr>
                <w:b/>
                <w:bCs/>
                <w:color w:val="000000"/>
                <w:sz w:val="16"/>
                <w:szCs w:val="16"/>
              </w:rPr>
            </w:pPr>
          </w:p>
        </w:tc>
        <w:tc>
          <w:tcPr>
            <w:tcW w:w="1573" w:type="dxa"/>
            <w:shd w:val="clear" w:color="000000" w:fill="C4D79B"/>
            <w:vAlign w:val="bottom"/>
            <w:hideMark/>
          </w:tcPr>
          <w:p w:rsidR="00EE2CF0" w:rsidRPr="00EE2CF0" w:rsidRDefault="00EE2CF0" w:rsidP="00EE2CF0">
            <w:pPr>
              <w:jc w:val="center"/>
              <w:rPr>
                <w:b/>
                <w:bCs/>
                <w:color w:val="000000"/>
                <w:sz w:val="18"/>
                <w:szCs w:val="18"/>
              </w:rPr>
            </w:pPr>
            <w:r w:rsidRPr="00EE2CF0">
              <w:rPr>
                <w:b/>
                <w:bCs/>
                <w:color w:val="000000"/>
                <w:sz w:val="18"/>
                <w:szCs w:val="18"/>
              </w:rPr>
              <w:t xml:space="preserve">a </w:t>
            </w:r>
          </w:p>
        </w:tc>
        <w:tc>
          <w:tcPr>
            <w:tcW w:w="1338" w:type="dxa"/>
            <w:shd w:val="clear" w:color="000000" w:fill="C4D79B"/>
            <w:vAlign w:val="bottom"/>
            <w:hideMark/>
          </w:tcPr>
          <w:p w:rsidR="00EE2CF0" w:rsidRPr="00EE2CF0" w:rsidRDefault="00EE2CF0" w:rsidP="00EE2CF0">
            <w:pPr>
              <w:jc w:val="center"/>
              <w:rPr>
                <w:b/>
                <w:bCs/>
                <w:color w:val="000000"/>
                <w:sz w:val="18"/>
                <w:szCs w:val="18"/>
              </w:rPr>
            </w:pPr>
            <w:r w:rsidRPr="00EE2CF0">
              <w:rPr>
                <w:b/>
                <w:bCs/>
                <w:color w:val="000000"/>
                <w:sz w:val="18"/>
                <w:szCs w:val="18"/>
              </w:rPr>
              <w:t xml:space="preserve">b </w:t>
            </w:r>
          </w:p>
        </w:tc>
        <w:tc>
          <w:tcPr>
            <w:tcW w:w="851" w:type="dxa"/>
            <w:shd w:val="clear" w:color="000000" w:fill="C4D79B"/>
            <w:vAlign w:val="bottom"/>
            <w:hideMark/>
          </w:tcPr>
          <w:p w:rsidR="00EE2CF0" w:rsidRPr="00EE2CF0" w:rsidRDefault="00EE2CF0" w:rsidP="00EE2CF0">
            <w:pPr>
              <w:jc w:val="center"/>
              <w:rPr>
                <w:b/>
                <w:bCs/>
                <w:color w:val="000000"/>
                <w:sz w:val="18"/>
                <w:szCs w:val="18"/>
              </w:rPr>
            </w:pPr>
            <w:r w:rsidRPr="00EE2CF0">
              <w:rPr>
                <w:b/>
                <w:bCs/>
                <w:color w:val="000000"/>
                <w:sz w:val="18"/>
                <w:szCs w:val="18"/>
              </w:rPr>
              <w:t xml:space="preserve">b/a </w:t>
            </w:r>
          </w:p>
        </w:tc>
        <w:tc>
          <w:tcPr>
            <w:tcW w:w="1526" w:type="dxa"/>
            <w:shd w:val="clear" w:color="000000" w:fill="C4D79B"/>
            <w:vAlign w:val="bottom"/>
            <w:hideMark/>
          </w:tcPr>
          <w:p w:rsidR="00EE2CF0" w:rsidRPr="00EE2CF0" w:rsidRDefault="00EE2CF0" w:rsidP="00EE2CF0">
            <w:pPr>
              <w:jc w:val="center"/>
              <w:rPr>
                <w:b/>
                <w:bCs/>
                <w:color w:val="000000"/>
                <w:sz w:val="18"/>
                <w:szCs w:val="18"/>
              </w:rPr>
            </w:pPr>
            <w:r w:rsidRPr="00EE2CF0">
              <w:rPr>
                <w:b/>
                <w:bCs/>
                <w:color w:val="000000"/>
                <w:sz w:val="18"/>
                <w:szCs w:val="18"/>
              </w:rPr>
              <w:t xml:space="preserve">c </w:t>
            </w:r>
          </w:p>
        </w:tc>
        <w:tc>
          <w:tcPr>
            <w:tcW w:w="892" w:type="dxa"/>
            <w:shd w:val="clear" w:color="000000" w:fill="C4D79B"/>
            <w:vAlign w:val="bottom"/>
            <w:hideMark/>
          </w:tcPr>
          <w:p w:rsidR="00EE2CF0" w:rsidRPr="00EE2CF0" w:rsidRDefault="00EE2CF0" w:rsidP="00EE2CF0">
            <w:pPr>
              <w:jc w:val="center"/>
              <w:rPr>
                <w:b/>
                <w:bCs/>
                <w:color w:val="000000"/>
                <w:sz w:val="18"/>
                <w:szCs w:val="18"/>
              </w:rPr>
            </w:pPr>
            <w:r w:rsidRPr="00EE2CF0">
              <w:rPr>
                <w:b/>
                <w:bCs/>
                <w:color w:val="000000"/>
                <w:sz w:val="18"/>
                <w:szCs w:val="18"/>
              </w:rPr>
              <w:t xml:space="preserve">c/a </w:t>
            </w:r>
          </w:p>
        </w:tc>
        <w:tc>
          <w:tcPr>
            <w:tcW w:w="1338" w:type="dxa"/>
            <w:shd w:val="clear" w:color="000000" w:fill="C4D79B"/>
            <w:vAlign w:val="bottom"/>
            <w:hideMark/>
          </w:tcPr>
          <w:p w:rsidR="00EE2CF0" w:rsidRPr="00EE2CF0" w:rsidRDefault="00EE2CF0" w:rsidP="00EE2CF0">
            <w:pPr>
              <w:jc w:val="center"/>
              <w:rPr>
                <w:b/>
                <w:bCs/>
                <w:color w:val="000000"/>
                <w:sz w:val="18"/>
                <w:szCs w:val="18"/>
              </w:rPr>
            </w:pPr>
            <w:r w:rsidRPr="00EE2CF0">
              <w:rPr>
                <w:b/>
                <w:bCs/>
                <w:color w:val="000000"/>
                <w:sz w:val="18"/>
                <w:szCs w:val="18"/>
              </w:rPr>
              <w:t xml:space="preserve">d </w:t>
            </w:r>
          </w:p>
        </w:tc>
        <w:tc>
          <w:tcPr>
            <w:tcW w:w="746" w:type="dxa"/>
            <w:shd w:val="clear" w:color="000000" w:fill="C4D79B"/>
            <w:vAlign w:val="bottom"/>
            <w:hideMark/>
          </w:tcPr>
          <w:p w:rsidR="00EE2CF0" w:rsidRPr="00EE2CF0" w:rsidRDefault="00EE2CF0" w:rsidP="00EE2CF0">
            <w:pPr>
              <w:jc w:val="center"/>
              <w:rPr>
                <w:b/>
                <w:bCs/>
                <w:color w:val="000000"/>
                <w:sz w:val="18"/>
                <w:szCs w:val="18"/>
              </w:rPr>
            </w:pPr>
            <w:r w:rsidRPr="00EE2CF0">
              <w:rPr>
                <w:b/>
                <w:bCs/>
                <w:color w:val="000000"/>
                <w:sz w:val="18"/>
                <w:szCs w:val="18"/>
              </w:rPr>
              <w:t xml:space="preserve">d/a </w:t>
            </w:r>
          </w:p>
        </w:tc>
      </w:tr>
      <w:tr w:rsidR="00EE2CF0" w:rsidRPr="00EE2CF0" w:rsidTr="001352F9">
        <w:trPr>
          <w:trHeight w:val="302"/>
        </w:trPr>
        <w:tc>
          <w:tcPr>
            <w:tcW w:w="845" w:type="dxa"/>
            <w:shd w:val="clear" w:color="000000" w:fill="FFFFFF"/>
            <w:vAlign w:val="center"/>
            <w:hideMark/>
          </w:tcPr>
          <w:p w:rsidR="00EE2CF0" w:rsidRPr="00EE2CF0" w:rsidRDefault="00EE2CF0" w:rsidP="007111CC">
            <w:pPr>
              <w:jc w:val="center"/>
              <w:rPr>
                <w:color w:val="000000"/>
                <w:sz w:val="18"/>
                <w:szCs w:val="18"/>
              </w:rPr>
            </w:pPr>
            <w:r w:rsidRPr="00EE2CF0">
              <w:rPr>
                <w:color w:val="000000"/>
                <w:sz w:val="18"/>
                <w:szCs w:val="18"/>
              </w:rPr>
              <w:t>5.1</w:t>
            </w:r>
          </w:p>
        </w:tc>
        <w:tc>
          <w:tcPr>
            <w:tcW w:w="1573"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213 735 411</w:t>
            </w:r>
          </w:p>
        </w:tc>
        <w:tc>
          <w:tcPr>
            <w:tcW w:w="1338"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213 976 932</w:t>
            </w:r>
          </w:p>
        </w:tc>
        <w:tc>
          <w:tcPr>
            <w:tcW w:w="851"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100,1%</w:t>
            </w:r>
          </w:p>
        </w:tc>
        <w:tc>
          <w:tcPr>
            <w:tcW w:w="1526"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140 175 543</w:t>
            </w:r>
          </w:p>
        </w:tc>
        <w:tc>
          <w:tcPr>
            <w:tcW w:w="892"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65,6%</w:t>
            </w:r>
          </w:p>
        </w:tc>
        <w:tc>
          <w:tcPr>
            <w:tcW w:w="1338"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139 329 506</w:t>
            </w:r>
          </w:p>
        </w:tc>
        <w:tc>
          <w:tcPr>
            <w:tcW w:w="746"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65,2%</w:t>
            </w:r>
          </w:p>
        </w:tc>
      </w:tr>
      <w:tr w:rsidR="00EE2CF0" w:rsidRPr="00EE2CF0" w:rsidTr="001352F9">
        <w:trPr>
          <w:trHeight w:val="302"/>
        </w:trPr>
        <w:tc>
          <w:tcPr>
            <w:tcW w:w="845" w:type="dxa"/>
            <w:shd w:val="clear" w:color="000000" w:fill="FFFFFF"/>
            <w:vAlign w:val="center"/>
            <w:hideMark/>
          </w:tcPr>
          <w:p w:rsidR="00EE2CF0" w:rsidRPr="00EE2CF0" w:rsidRDefault="00EE2CF0" w:rsidP="007111CC">
            <w:pPr>
              <w:jc w:val="center"/>
              <w:rPr>
                <w:color w:val="000000"/>
                <w:sz w:val="18"/>
                <w:szCs w:val="18"/>
              </w:rPr>
            </w:pPr>
            <w:r w:rsidRPr="00EE2CF0">
              <w:rPr>
                <w:color w:val="000000"/>
                <w:sz w:val="18"/>
                <w:szCs w:val="18"/>
              </w:rPr>
              <w:t>5.2</w:t>
            </w:r>
          </w:p>
        </w:tc>
        <w:tc>
          <w:tcPr>
            <w:tcW w:w="1573"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213 377 956</w:t>
            </w:r>
          </w:p>
        </w:tc>
        <w:tc>
          <w:tcPr>
            <w:tcW w:w="1338"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214 304 155</w:t>
            </w:r>
          </w:p>
        </w:tc>
        <w:tc>
          <w:tcPr>
            <w:tcW w:w="851"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100,4%</w:t>
            </w:r>
          </w:p>
        </w:tc>
        <w:tc>
          <w:tcPr>
            <w:tcW w:w="1526"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164 783 694</w:t>
            </w:r>
          </w:p>
        </w:tc>
        <w:tc>
          <w:tcPr>
            <w:tcW w:w="892"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77,2%</w:t>
            </w:r>
          </w:p>
        </w:tc>
        <w:tc>
          <w:tcPr>
            <w:tcW w:w="1338"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164 091 810</w:t>
            </w:r>
          </w:p>
        </w:tc>
        <w:tc>
          <w:tcPr>
            <w:tcW w:w="746"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76,9%</w:t>
            </w:r>
          </w:p>
        </w:tc>
      </w:tr>
      <w:tr w:rsidR="00EE2CF0" w:rsidRPr="00EE2CF0" w:rsidTr="001352F9">
        <w:trPr>
          <w:trHeight w:val="302"/>
        </w:trPr>
        <w:tc>
          <w:tcPr>
            <w:tcW w:w="845" w:type="dxa"/>
            <w:shd w:val="clear" w:color="000000" w:fill="FFFFFF"/>
            <w:vAlign w:val="center"/>
            <w:hideMark/>
          </w:tcPr>
          <w:p w:rsidR="00EE2CF0" w:rsidRPr="00EE2CF0" w:rsidRDefault="00EE2CF0" w:rsidP="007111CC">
            <w:pPr>
              <w:jc w:val="center"/>
              <w:rPr>
                <w:color w:val="000000"/>
                <w:sz w:val="18"/>
                <w:szCs w:val="18"/>
              </w:rPr>
            </w:pPr>
            <w:r w:rsidRPr="00EE2CF0">
              <w:rPr>
                <w:color w:val="000000"/>
                <w:sz w:val="18"/>
                <w:szCs w:val="18"/>
              </w:rPr>
              <w:t>5.3</w:t>
            </w:r>
          </w:p>
        </w:tc>
        <w:tc>
          <w:tcPr>
            <w:tcW w:w="1573"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15 530 107</w:t>
            </w:r>
          </w:p>
        </w:tc>
        <w:tc>
          <w:tcPr>
            <w:tcW w:w="1338"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15 694 152</w:t>
            </w:r>
          </w:p>
        </w:tc>
        <w:tc>
          <w:tcPr>
            <w:tcW w:w="851"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101,1%</w:t>
            </w:r>
          </w:p>
        </w:tc>
        <w:tc>
          <w:tcPr>
            <w:tcW w:w="1526"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15 621 840</w:t>
            </w:r>
          </w:p>
        </w:tc>
        <w:tc>
          <w:tcPr>
            <w:tcW w:w="892"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100,6%</w:t>
            </w:r>
          </w:p>
        </w:tc>
        <w:tc>
          <w:tcPr>
            <w:tcW w:w="1338"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15 472 304</w:t>
            </w:r>
          </w:p>
        </w:tc>
        <w:tc>
          <w:tcPr>
            <w:tcW w:w="746" w:type="dxa"/>
            <w:shd w:val="clear" w:color="000000" w:fill="FFFFFF"/>
            <w:noWrap/>
            <w:vAlign w:val="center"/>
            <w:hideMark/>
          </w:tcPr>
          <w:p w:rsidR="00EE2CF0" w:rsidRPr="00EE2CF0" w:rsidRDefault="00EE2CF0" w:rsidP="007111CC">
            <w:pPr>
              <w:jc w:val="center"/>
              <w:rPr>
                <w:color w:val="000000"/>
                <w:sz w:val="18"/>
                <w:szCs w:val="18"/>
              </w:rPr>
            </w:pPr>
            <w:r w:rsidRPr="00EE2CF0">
              <w:rPr>
                <w:color w:val="000000"/>
                <w:sz w:val="18"/>
                <w:szCs w:val="18"/>
              </w:rPr>
              <w:t>99,6%</w:t>
            </w:r>
          </w:p>
        </w:tc>
      </w:tr>
      <w:tr w:rsidR="00EE2CF0" w:rsidRPr="00EE2CF0" w:rsidTr="001352F9">
        <w:trPr>
          <w:trHeight w:val="302"/>
        </w:trPr>
        <w:tc>
          <w:tcPr>
            <w:tcW w:w="845" w:type="dxa"/>
            <w:shd w:val="clear" w:color="000000" w:fill="D9D9D9"/>
            <w:vAlign w:val="center"/>
            <w:hideMark/>
          </w:tcPr>
          <w:p w:rsidR="00EE2CF0" w:rsidRPr="00EE2CF0" w:rsidRDefault="00EE2CF0" w:rsidP="007111CC">
            <w:pPr>
              <w:jc w:val="center"/>
              <w:rPr>
                <w:b/>
                <w:bCs/>
                <w:color w:val="000000"/>
                <w:sz w:val="18"/>
                <w:szCs w:val="18"/>
              </w:rPr>
            </w:pPr>
            <w:r w:rsidRPr="00EE2CF0">
              <w:rPr>
                <w:b/>
                <w:bCs/>
                <w:color w:val="000000"/>
                <w:sz w:val="18"/>
                <w:szCs w:val="18"/>
              </w:rPr>
              <w:t>PO 5</w:t>
            </w:r>
          </w:p>
        </w:tc>
        <w:tc>
          <w:tcPr>
            <w:tcW w:w="1573" w:type="dxa"/>
            <w:shd w:val="clear" w:color="000000" w:fill="D9D9D9"/>
            <w:noWrap/>
            <w:vAlign w:val="center"/>
            <w:hideMark/>
          </w:tcPr>
          <w:p w:rsidR="00EE2CF0" w:rsidRPr="00EE2CF0" w:rsidRDefault="00EE2CF0" w:rsidP="007111CC">
            <w:pPr>
              <w:jc w:val="center"/>
              <w:rPr>
                <w:b/>
                <w:bCs/>
                <w:color w:val="000000"/>
                <w:sz w:val="18"/>
                <w:szCs w:val="18"/>
              </w:rPr>
            </w:pPr>
            <w:r w:rsidRPr="00EE2CF0">
              <w:rPr>
                <w:b/>
                <w:bCs/>
                <w:color w:val="000000"/>
                <w:sz w:val="18"/>
                <w:szCs w:val="18"/>
              </w:rPr>
              <w:t>442 643 474</w:t>
            </w:r>
          </w:p>
        </w:tc>
        <w:tc>
          <w:tcPr>
            <w:tcW w:w="1338" w:type="dxa"/>
            <w:shd w:val="clear" w:color="000000" w:fill="D9D9D9"/>
            <w:noWrap/>
            <w:vAlign w:val="center"/>
            <w:hideMark/>
          </w:tcPr>
          <w:p w:rsidR="00EE2CF0" w:rsidRPr="00EE2CF0" w:rsidRDefault="00EE2CF0" w:rsidP="007111CC">
            <w:pPr>
              <w:jc w:val="center"/>
              <w:rPr>
                <w:b/>
                <w:bCs/>
                <w:color w:val="000000"/>
                <w:sz w:val="18"/>
                <w:szCs w:val="18"/>
              </w:rPr>
            </w:pPr>
            <w:r w:rsidRPr="00EE2CF0">
              <w:rPr>
                <w:b/>
                <w:bCs/>
                <w:color w:val="000000"/>
                <w:sz w:val="18"/>
                <w:szCs w:val="18"/>
              </w:rPr>
              <w:t>443 975 239</w:t>
            </w:r>
          </w:p>
        </w:tc>
        <w:tc>
          <w:tcPr>
            <w:tcW w:w="851" w:type="dxa"/>
            <w:shd w:val="clear" w:color="000000" w:fill="D9D9D9"/>
            <w:noWrap/>
            <w:vAlign w:val="center"/>
            <w:hideMark/>
          </w:tcPr>
          <w:p w:rsidR="00EE2CF0" w:rsidRPr="00EE2CF0" w:rsidRDefault="00EE2CF0" w:rsidP="007111CC">
            <w:pPr>
              <w:jc w:val="center"/>
              <w:rPr>
                <w:b/>
                <w:bCs/>
                <w:color w:val="000000"/>
                <w:sz w:val="18"/>
                <w:szCs w:val="18"/>
              </w:rPr>
            </w:pPr>
            <w:r w:rsidRPr="00EE2CF0">
              <w:rPr>
                <w:b/>
                <w:bCs/>
                <w:color w:val="000000"/>
                <w:sz w:val="18"/>
                <w:szCs w:val="18"/>
              </w:rPr>
              <w:t>100,3%</w:t>
            </w:r>
          </w:p>
        </w:tc>
        <w:tc>
          <w:tcPr>
            <w:tcW w:w="1526" w:type="dxa"/>
            <w:shd w:val="clear" w:color="000000" w:fill="D9D9D9"/>
            <w:noWrap/>
            <w:vAlign w:val="center"/>
            <w:hideMark/>
          </w:tcPr>
          <w:p w:rsidR="00EE2CF0" w:rsidRPr="00EE2CF0" w:rsidRDefault="00EE2CF0" w:rsidP="007111CC">
            <w:pPr>
              <w:jc w:val="center"/>
              <w:rPr>
                <w:b/>
                <w:bCs/>
                <w:color w:val="000000"/>
                <w:sz w:val="18"/>
                <w:szCs w:val="18"/>
              </w:rPr>
            </w:pPr>
            <w:r w:rsidRPr="00EE2CF0">
              <w:rPr>
                <w:b/>
                <w:bCs/>
                <w:color w:val="000000"/>
                <w:sz w:val="18"/>
                <w:szCs w:val="18"/>
              </w:rPr>
              <w:t>320 581 077</w:t>
            </w:r>
          </w:p>
        </w:tc>
        <w:tc>
          <w:tcPr>
            <w:tcW w:w="892" w:type="dxa"/>
            <w:shd w:val="clear" w:color="000000" w:fill="D9D9D9"/>
            <w:noWrap/>
            <w:vAlign w:val="center"/>
            <w:hideMark/>
          </w:tcPr>
          <w:p w:rsidR="00EE2CF0" w:rsidRPr="00EE2CF0" w:rsidRDefault="00EE2CF0" w:rsidP="007111CC">
            <w:pPr>
              <w:jc w:val="center"/>
              <w:rPr>
                <w:b/>
                <w:bCs/>
                <w:color w:val="000000"/>
                <w:sz w:val="18"/>
                <w:szCs w:val="18"/>
              </w:rPr>
            </w:pPr>
            <w:r w:rsidRPr="00EE2CF0">
              <w:rPr>
                <w:b/>
                <w:bCs/>
                <w:color w:val="000000"/>
                <w:sz w:val="18"/>
                <w:szCs w:val="18"/>
              </w:rPr>
              <w:t>72,4%</w:t>
            </w:r>
          </w:p>
        </w:tc>
        <w:tc>
          <w:tcPr>
            <w:tcW w:w="1338" w:type="dxa"/>
            <w:shd w:val="clear" w:color="000000" w:fill="D9D9D9"/>
            <w:noWrap/>
            <w:vAlign w:val="center"/>
            <w:hideMark/>
          </w:tcPr>
          <w:p w:rsidR="00EE2CF0" w:rsidRPr="00EE2CF0" w:rsidRDefault="00EE2CF0" w:rsidP="007111CC">
            <w:pPr>
              <w:jc w:val="center"/>
              <w:rPr>
                <w:b/>
                <w:bCs/>
                <w:color w:val="000000"/>
                <w:sz w:val="18"/>
                <w:szCs w:val="18"/>
              </w:rPr>
            </w:pPr>
            <w:r w:rsidRPr="00EE2CF0">
              <w:rPr>
                <w:b/>
                <w:bCs/>
                <w:color w:val="000000"/>
                <w:sz w:val="18"/>
                <w:szCs w:val="18"/>
              </w:rPr>
              <w:t>318 893 620</w:t>
            </w:r>
          </w:p>
        </w:tc>
        <w:tc>
          <w:tcPr>
            <w:tcW w:w="746" w:type="dxa"/>
            <w:shd w:val="clear" w:color="000000" w:fill="D9D9D9"/>
            <w:noWrap/>
            <w:vAlign w:val="center"/>
            <w:hideMark/>
          </w:tcPr>
          <w:p w:rsidR="00EE2CF0" w:rsidRPr="00EE2CF0" w:rsidRDefault="00EE2CF0" w:rsidP="007111CC">
            <w:pPr>
              <w:jc w:val="center"/>
              <w:rPr>
                <w:b/>
                <w:bCs/>
                <w:color w:val="000000"/>
                <w:sz w:val="18"/>
                <w:szCs w:val="18"/>
              </w:rPr>
            </w:pPr>
            <w:r w:rsidRPr="00EE2CF0">
              <w:rPr>
                <w:b/>
                <w:bCs/>
                <w:color w:val="000000"/>
                <w:sz w:val="18"/>
                <w:szCs w:val="18"/>
              </w:rPr>
              <w:t>72,0%</w:t>
            </w:r>
          </w:p>
        </w:tc>
      </w:tr>
    </w:tbl>
    <w:p w:rsidR="00A75862" w:rsidRPr="00D95A18" w:rsidRDefault="00A75862" w:rsidP="00C0213C">
      <w:pPr>
        <w:spacing w:before="60"/>
        <w:rPr>
          <w:i/>
          <w:sz w:val="18"/>
          <w:szCs w:val="18"/>
        </w:rPr>
      </w:pPr>
      <w:r w:rsidRPr="00D95A18">
        <w:rPr>
          <w:i/>
          <w:sz w:val="18"/>
          <w:szCs w:val="18"/>
        </w:rPr>
        <w:t xml:space="preserve">Zdroj: MSC2007 ke dni </w:t>
      </w:r>
      <w:r w:rsidR="00AE4209">
        <w:rPr>
          <w:i/>
          <w:sz w:val="18"/>
          <w:szCs w:val="18"/>
        </w:rPr>
        <w:t>31</w:t>
      </w:r>
      <w:r w:rsidR="00AE4209" w:rsidRPr="00D95A18">
        <w:rPr>
          <w:i/>
          <w:sz w:val="18"/>
          <w:szCs w:val="18"/>
        </w:rPr>
        <w:t>. 12. 2014</w:t>
      </w:r>
    </w:p>
    <w:p w:rsidR="00A75862" w:rsidRPr="00D95A18" w:rsidRDefault="00A75862" w:rsidP="00C0213C">
      <w:pPr>
        <w:rPr>
          <w:i/>
          <w:sz w:val="18"/>
          <w:szCs w:val="18"/>
        </w:rPr>
      </w:pPr>
      <w:r w:rsidRPr="00D95A18">
        <w:rPr>
          <w:i/>
          <w:sz w:val="18"/>
          <w:szCs w:val="18"/>
        </w:rPr>
        <w:t xml:space="preserve">Kurz CZK/EUR: </w:t>
      </w:r>
      <w:r w:rsidR="00EE2CF0">
        <w:rPr>
          <w:i/>
          <w:sz w:val="18"/>
          <w:szCs w:val="18"/>
        </w:rPr>
        <w:t>27,728</w:t>
      </w:r>
    </w:p>
    <w:p w:rsidR="00E55736" w:rsidRPr="00A72FFD" w:rsidRDefault="00327002" w:rsidP="00510E1B">
      <w:pPr>
        <w:jc w:val="both"/>
        <w:rPr>
          <w:sz w:val="22"/>
          <w:szCs w:val="22"/>
        </w:rPr>
      </w:pPr>
      <w:r w:rsidRPr="000435AC">
        <w:rPr>
          <w:i/>
          <w:color w:val="000000"/>
          <w:sz w:val="18"/>
          <w:szCs w:val="18"/>
        </w:rPr>
        <w:t>Zdroj financová</w:t>
      </w:r>
      <w:r w:rsidR="003A2C08">
        <w:rPr>
          <w:i/>
          <w:color w:val="000000"/>
          <w:sz w:val="18"/>
          <w:szCs w:val="18"/>
        </w:rPr>
        <w:t>ní: p</w:t>
      </w:r>
      <w:r w:rsidRPr="000435AC">
        <w:rPr>
          <w:i/>
          <w:color w:val="000000"/>
          <w:sz w:val="18"/>
          <w:szCs w:val="18"/>
        </w:rPr>
        <w:t xml:space="preserve">odíl EU </w:t>
      </w:r>
    </w:p>
    <w:p w:rsidR="00A75862" w:rsidRDefault="00A75862" w:rsidP="00510E1B">
      <w:pPr>
        <w:jc w:val="both"/>
        <w:rPr>
          <w:sz w:val="22"/>
          <w:szCs w:val="22"/>
          <w:u w:val="single"/>
        </w:rPr>
      </w:pPr>
      <w:r w:rsidRPr="002D519D">
        <w:rPr>
          <w:sz w:val="22"/>
          <w:szCs w:val="22"/>
          <w:u w:val="single"/>
        </w:rPr>
        <w:lastRenderedPageBreak/>
        <w:t>Statistika vyřazování projektů</w:t>
      </w:r>
    </w:p>
    <w:p w:rsidR="001438CB" w:rsidRDefault="001438CB" w:rsidP="00FF0777">
      <w:pPr>
        <w:spacing w:after="120"/>
        <w:jc w:val="both"/>
        <w:rPr>
          <w:sz w:val="22"/>
          <w:szCs w:val="22"/>
        </w:rPr>
      </w:pPr>
      <w:r>
        <w:rPr>
          <w:sz w:val="22"/>
          <w:szCs w:val="22"/>
        </w:rPr>
        <w:t>V oblasti intervence 5.1 bylo j</w:t>
      </w:r>
      <w:r w:rsidRPr="001438CB">
        <w:rPr>
          <w:sz w:val="22"/>
          <w:szCs w:val="22"/>
        </w:rPr>
        <w:t xml:space="preserve">ako opatření ke snížení rizika odstoupení projektů v průběhu realizace z důvodu nedostatku času pro dokončení realizace v rámci 24. výzvy požadováno předložení pravomocného stavebního povolení spolu s projektovou žádostí a dále vzhledem k relativně krátké době do konce programového období byla omezena velikost projektů z 300-500 mil. Kč </w:t>
      </w:r>
      <w:r w:rsidR="00201203">
        <w:rPr>
          <w:sz w:val="22"/>
          <w:szCs w:val="22"/>
        </w:rPr>
        <w:br/>
        <w:t xml:space="preserve">v </w:t>
      </w:r>
      <w:r w:rsidRPr="001438CB">
        <w:rPr>
          <w:sz w:val="22"/>
          <w:szCs w:val="22"/>
        </w:rPr>
        <w:t>předchozích výzvách) na 30-200 mil. Kč</w:t>
      </w:r>
      <w:r w:rsidR="00E5722B">
        <w:rPr>
          <w:sz w:val="22"/>
          <w:szCs w:val="22"/>
        </w:rPr>
        <w:t>.</w:t>
      </w:r>
    </w:p>
    <w:p w:rsidR="00FF0777" w:rsidRPr="001438CB" w:rsidRDefault="00FF0777" w:rsidP="00FF0777">
      <w:pPr>
        <w:spacing w:after="120"/>
        <w:jc w:val="both"/>
        <w:rPr>
          <w:sz w:val="22"/>
          <w:szCs w:val="22"/>
        </w:rPr>
      </w:pPr>
    </w:p>
    <w:p w:rsidR="00252334" w:rsidRPr="00FD4291" w:rsidRDefault="00252334" w:rsidP="008263BA">
      <w:pPr>
        <w:pStyle w:val="Tabulkanzev"/>
      </w:pPr>
      <w:bookmarkStart w:id="227" w:name="_Toc416431859"/>
      <w:r w:rsidRPr="00F72AFC">
        <w:t>Tabulka vyřazených projektů</w:t>
      </w:r>
      <w:r>
        <w:t xml:space="preserve"> v oblasti intervence 5.1</w:t>
      </w:r>
      <w:bookmarkEnd w:id="227"/>
    </w:p>
    <w:tbl>
      <w:tblPr>
        <w:tblW w:w="8979" w:type="dxa"/>
        <w:tblInd w:w="47" w:type="dxa"/>
        <w:tblCellMar>
          <w:left w:w="70" w:type="dxa"/>
          <w:right w:w="70" w:type="dxa"/>
        </w:tblCellMar>
        <w:tblLook w:val="04A0" w:firstRow="1" w:lastRow="0" w:firstColumn="1" w:lastColumn="0" w:noHBand="0" w:noVBand="1"/>
      </w:tblPr>
      <w:tblGrid>
        <w:gridCol w:w="3567"/>
        <w:gridCol w:w="1418"/>
        <w:gridCol w:w="1552"/>
        <w:gridCol w:w="1221"/>
        <w:gridCol w:w="1221"/>
      </w:tblGrid>
      <w:tr w:rsidR="00CC649A" w:rsidRPr="00CC649A" w:rsidTr="00EC0ADF">
        <w:trPr>
          <w:trHeight w:val="325"/>
        </w:trPr>
        <w:tc>
          <w:tcPr>
            <w:tcW w:w="8979"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CC649A" w:rsidRPr="00CC649A" w:rsidRDefault="00CC649A" w:rsidP="00CC649A">
            <w:pPr>
              <w:jc w:val="center"/>
              <w:rPr>
                <w:b/>
                <w:bCs/>
                <w:color w:val="000000"/>
              </w:rPr>
            </w:pPr>
            <w:r w:rsidRPr="00CC649A">
              <w:rPr>
                <w:b/>
                <w:bCs/>
                <w:color w:val="000000"/>
              </w:rPr>
              <w:t>Oblast podpory 5.1</w:t>
            </w:r>
          </w:p>
        </w:tc>
      </w:tr>
      <w:tr w:rsidR="00EC0ADF" w:rsidRPr="00CC649A" w:rsidTr="00EC0ADF">
        <w:trPr>
          <w:trHeight w:val="1063"/>
        </w:trPr>
        <w:tc>
          <w:tcPr>
            <w:tcW w:w="3567"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CC649A" w:rsidRPr="00CC649A" w:rsidRDefault="00CC649A" w:rsidP="00CC649A">
            <w:pPr>
              <w:jc w:val="center"/>
              <w:rPr>
                <w:b/>
                <w:bCs/>
                <w:color w:val="000000"/>
                <w:sz w:val="16"/>
                <w:szCs w:val="16"/>
              </w:rPr>
            </w:pPr>
            <w:r w:rsidRPr="00CC649A">
              <w:rPr>
                <w:b/>
                <w:bCs/>
                <w:color w:val="000000"/>
                <w:sz w:val="16"/>
                <w:szCs w:val="16"/>
              </w:rPr>
              <w:t>Stav projektů</w:t>
            </w:r>
          </w:p>
        </w:tc>
        <w:tc>
          <w:tcPr>
            <w:tcW w:w="1418" w:type="dxa"/>
            <w:tcBorders>
              <w:top w:val="nil"/>
              <w:left w:val="nil"/>
              <w:bottom w:val="single" w:sz="8" w:space="0" w:color="4F6228"/>
              <w:right w:val="single" w:sz="8" w:space="0" w:color="4F6228"/>
            </w:tcBorders>
            <w:shd w:val="clear" w:color="auto" w:fill="C2D69B" w:themeFill="accent3" w:themeFillTint="99"/>
            <w:vAlign w:val="center"/>
            <w:hideMark/>
          </w:tcPr>
          <w:p w:rsidR="00CC649A" w:rsidRPr="00CC649A" w:rsidRDefault="00CC649A" w:rsidP="00CC649A">
            <w:pPr>
              <w:jc w:val="center"/>
              <w:rPr>
                <w:b/>
                <w:bCs/>
                <w:color w:val="000000"/>
                <w:sz w:val="16"/>
                <w:szCs w:val="16"/>
              </w:rPr>
            </w:pPr>
            <w:r w:rsidRPr="00CC649A">
              <w:rPr>
                <w:b/>
                <w:bCs/>
                <w:color w:val="000000"/>
                <w:sz w:val="16"/>
                <w:szCs w:val="16"/>
              </w:rPr>
              <w:t>Počet projektů vyřazených za oblast podpory</w:t>
            </w:r>
          </w:p>
        </w:tc>
        <w:tc>
          <w:tcPr>
            <w:tcW w:w="1552" w:type="dxa"/>
            <w:tcBorders>
              <w:top w:val="nil"/>
              <w:left w:val="nil"/>
              <w:bottom w:val="single" w:sz="8" w:space="0" w:color="4F6228"/>
              <w:right w:val="single" w:sz="8" w:space="0" w:color="4F6228"/>
            </w:tcBorders>
            <w:shd w:val="clear" w:color="auto" w:fill="C2D69B" w:themeFill="accent3" w:themeFillTint="99"/>
            <w:vAlign w:val="center"/>
            <w:hideMark/>
          </w:tcPr>
          <w:p w:rsidR="00CC649A" w:rsidRPr="00CC649A" w:rsidRDefault="00CC649A" w:rsidP="00CC649A">
            <w:pPr>
              <w:jc w:val="center"/>
              <w:rPr>
                <w:b/>
                <w:bCs/>
                <w:color w:val="000000"/>
                <w:sz w:val="16"/>
                <w:szCs w:val="16"/>
              </w:rPr>
            </w:pPr>
            <w:r w:rsidRPr="00CC649A">
              <w:rPr>
                <w:b/>
                <w:bCs/>
                <w:color w:val="000000"/>
                <w:sz w:val="16"/>
                <w:szCs w:val="16"/>
              </w:rPr>
              <w:t>Podíl vyřazených projektů za oblast podpory</w:t>
            </w:r>
          </w:p>
        </w:tc>
        <w:tc>
          <w:tcPr>
            <w:tcW w:w="1221" w:type="dxa"/>
            <w:tcBorders>
              <w:top w:val="nil"/>
              <w:left w:val="nil"/>
              <w:bottom w:val="single" w:sz="8" w:space="0" w:color="4F6228"/>
              <w:right w:val="single" w:sz="8" w:space="0" w:color="4F6228"/>
            </w:tcBorders>
            <w:shd w:val="clear" w:color="auto" w:fill="C2D69B" w:themeFill="accent3" w:themeFillTint="99"/>
            <w:vAlign w:val="center"/>
            <w:hideMark/>
          </w:tcPr>
          <w:p w:rsidR="00CC649A" w:rsidRPr="00CC649A" w:rsidRDefault="00CC649A" w:rsidP="00CC649A">
            <w:pPr>
              <w:jc w:val="center"/>
              <w:rPr>
                <w:b/>
                <w:bCs/>
                <w:color w:val="000000"/>
                <w:sz w:val="16"/>
                <w:szCs w:val="16"/>
              </w:rPr>
            </w:pPr>
            <w:r w:rsidRPr="00CC649A">
              <w:rPr>
                <w:b/>
                <w:bCs/>
                <w:color w:val="000000"/>
                <w:sz w:val="16"/>
                <w:szCs w:val="16"/>
              </w:rPr>
              <w:t>Srovnávací hodnota podílu vyřazených projektů za celý program</w:t>
            </w:r>
          </w:p>
        </w:tc>
        <w:tc>
          <w:tcPr>
            <w:tcW w:w="1221" w:type="dxa"/>
            <w:tcBorders>
              <w:top w:val="nil"/>
              <w:left w:val="nil"/>
              <w:bottom w:val="single" w:sz="8" w:space="0" w:color="4F6228"/>
              <w:right w:val="double" w:sz="6" w:space="0" w:color="4F6228"/>
            </w:tcBorders>
            <w:shd w:val="clear" w:color="auto" w:fill="C2D69B" w:themeFill="accent3" w:themeFillTint="99"/>
            <w:vAlign w:val="center"/>
            <w:hideMark/>
          </w:tcPr>
          <w:p w:rsidR="00CC649A" w:rsidRPr="00CC649A" w:rsidRDefault="00CC649A" w:rsidP="00CC649A">
            <w:pPr>
              <w:jc w:val="center"/>
              <w:rPr>
                <w:b/>
                <w:bCs/>
                <w:color w:val="000000"/>
                <w:sz w:val="16"/>
                <w:szCs w:val="16"/>
              </w:rPr>
            </w:pPr>
            <w:r w:rsidRPr="00CC649A">
              <w:rPr>
                <w:b/>
                <w:bCs/>
                <w:color w:val="000000"/>
                <w:sz w:val="16"/>
                <w:szCs w:val="16"/>
              </w:rPr>
              <w:t>Počet vyřazených projektů za rok 2014</w:t>
            </w:r>
          </w:p>
        </w:tc>
      </w:tr>
      <w:tr w:rsidR="00CC649A" w:rsidRPr="00CC649A" w:rsidTr="00EC0ADF">
        <w:trPr>
          <w:trHeight w:val="45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N1.1 Projektová žádost nesplnila alespoň jedno kritérium přijatelnosti</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16</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23,19%</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1,59%</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1</w:t>
            </w:r>
          </w:p>
        </w:tc>
      </w:tr>
      <w:tr w:rsidR="00CC649A" w:rsidRPr="00CC649A" w:rsidTr="00450C67">
        <w:trPr>
          <w:trHeight w:val="34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N1.2 Projektová žádost nesplnila formální náležitosti</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0,00%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0,75%</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r>
      <w:tr w:rsidR="00CC649A" w:rsidRPr="00CC649A" w:rsidTr="00EC0ADF">
        <w:trPr>
          <w:trHeight w:val="45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N2.3 Projekt nedoporučen k financování výběrovou komisí</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3</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4,35%</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0,41%</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3</w:t>
            </w:r>
          </w:p>
        </w:tc>
      </w:tr>
      <w:tr w:rsidR="00CC649A" w:rsidRPr="00CC649A" w:rsidTr="00450C67">
        <w:trPr>
          <w:trHeight w:val="24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N2.1 Projekt nesplnil podmínky hodnocení</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6</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8,70%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3,07%</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5</w:t>
            </w:r>
          </w:p>
        </w:tc>
      </w:tr>
      <w:tr w:rsidR="00CC649A" w:rsidRPr="00CC649A" w:rsidTr="00450C67">
        <w:trPr>
          <w:trHeight w:val="482"/>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N2.2 Odeslán dopis o vyřazení projektové žádosti na základě ex-ante kontroly</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0,00%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0,30%</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r>
      <w:tr w:rsidR="00CC649A" w:rsidRPr="00CC649A" w:rsidTr="00EC0ADF">
        <w:trPr>
          <w:trHeight w:val="45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N2.3 Projekt nedoporučen k financování výběrovou komisí</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4</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5,80%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0,47%</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r>
      <w:tr w:rsidR="00CC649A" w:rsidRPr="00CC649A" w:rsidTr="00EC0ADF">
        <w:trPr>
          <w:trHeight w:val="45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N4.1 Vydání rozhodnutí o poskytnutí dotace/stanovení výdajů zamítnuto</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0,00%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0,03%</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r>
      <w:tr w:rsidR="00CC649A" w:rsidRPr="00CC649A" w:rsidTr="00EC0ADF">
        <w:trPr>
          <w:trHeight w:val="310"/>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N5 Projektová žádost stažena žadatelem</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9</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13,04%</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3,43%</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5</w:t>
            </w:r>
          </w:p>
        </w:tc>
      </w:tr>
      <w:tr w:rsidR="00CC649A" w:rsidRPr="00CC649A" w:rsidTr="00EC0ADF">
        <w:trPr>
          <w:trHeight w:val="310"/>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N7 Projekt nedokončen/stažen</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2</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2,90%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1,92%</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1</w:t>
            </w:r>
          </w:p>
        </w:tc>
      </w:tr>
      <w:tr w:rsidR="00CC649A" w:rsidRPr="00CC649A" w:rsidTr="00EC0ADF">
        <w:trPr>
          <w:trHeight w:val="310"/>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CC649A" w:rsidRDefault="00CC649A" w:rsidP="00CC649A">
            <w:pPr>
              <w:rPr>
                <w:i/>
                <w:iCs/>
                <w:color w:val="000000"/>
                <w:sz w:val="16"/>
                <w:szCs w:val="16"/>
              </w:rPr>
            </w:pPr>
            <w:r w:rsidRPr="00CC649A">
              <w:rPr>
                <w:i/>
                <w:iCs/>
                <w:color w:val="000000"/>
                <w:sz w:val="16"/>
                <w:szCs w:val="16"/>
              </w:rPr>
              <w:t>N8 Smlouva ukončena ze strany ŘO/ZS</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0,00%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0,07%</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CC649A" w:rsidRDefault="00CC649A" w:rsidP="00CC649A">
            <w:pPr>
              <w:jc w:val="right"/>
              <w:rPr>
                <w:bCs/>
                <w:color w:val="000000"/>
              </w:rPr>
            </w:pPr>
            <w:r w:rsidRPr="00CC649A">
              <w:rPr>
                <w:bCs/>
                <w:color w:val="000000"/>
              </w:rPr>
              <w:t> </w:t>
            </w:r>
          </w:p>
        </w:tc>
      </w:tr>
      <w:tr w:rsidR="00EC0ADF" w:rsidRPr="00CC649A" w:rsidTr="00EC0ADF">
        <w:trPr>
          <w:trHeight w:val="310"/>
        </w:trPr>
        <w:tc>
          <w:tcPr>
            <w:tcW w:w="3567"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CC649A" w:rsidRPr="00CC649A" w:rsidRDefault="00CC649A" w:rsidP="00CC649A">
            <w:pPr>
              <w:rPr>
                <w:b/>
                <w:bCs/>
                <w:i/>
                <w:iCs/>
                <w:color w:val="000000"/>
                <w:sz w:val="16"/>
                <w:szCs w:val="16"/>
              </w:rPr>
            </w:pPr>
            <w:r w:rsidRPr="00CC649A">
              <w:rPr>
                <w:b/>
                <w:bCs/>
                <w:i/>
                <w:iCs/>
                <w:color w:val="000000"/>
                <w:sz w:val="16"/>
                <w:szCs w:val="16"/>
              </w:rPr>
              <w:t>Celkem</w:t>
            </w:r>
          </w:p>
        </w:tc>
        <w:tc>
          <w:tcPr>
            <w:tcW w:w="1418" w:type="dxa"/>
            <w:tcBorders>
              <w:top w:val="nil"/>
              <w:left w:val="nil"/>
              <w:bottom w:val="double" w:sz="6" w:space="0" w:color="4F6228"/>
              <w:right w:val="single" w:sz="8" w:space="0" w:color="4F6228"/>
            </w:tcBorders>
            <w:shd w:val="clear" w:color="auto" w:fill="C2D69B" w:themeFill="accent3" w:themeFillTint="99"/>
            <w:noWrap/>
            <w:vAlign w:val="center"/>
            <w:hideMark/>
          </w:tcPr>
          <w:p w:rsidR="00CC649A" w:rsidRPr="00CC649A" w:rsidRDefault="00CC649A" w:rsidP="00CC649A">
            <w:pPr>
              <w:jc w:val="right"/>
              <w:rPr>
                <w:b/>
                <w:bCs/>
                <w:color w:val="000000"/>
              </w:rPr>
            </w:pPr>
            <w:r w:rsidRPr="00CC649A">
              <w:rPr>
                <w:b/>
                <w:bCs/>
                <w:color w:val="000000"/>
              </w:rPr>
              <w:t>40</w:t>
            </w:r>
          </w:p>
        </w:tc>
        <w:tc>
          <w:tcPr>
            <w:tcW w:w="1552" w:type="dxa"/>
            <w:tcBorders>
              <w:top w:val="nil"/>
              <w:left w:val="nil"/>
              <w:bottom w:val="double" w:sz="6" w:space="0" w:color="4F6228"/>
              <w:right w:val="single" w:sz="8" w:space="0" w:color="4F6228"/>
            </w:tcBorders>
            <w:shd w:val="clear" w:color="auto" w:fill="C2D69B" w:themeFill="accent3" w:themeFillTint="99"/>
            <w:noWrap/>
            <w:vAlign w:val="center"/>
            <w:hideMark/>
          </w:tcPr>
          <w:p w:rsidR="00CC649A" w:rsidRPr="00CC649A" w:rsidRDefault="00CC649A" w:rsidP="00CC649A">
            <w:pPr>
              <w:jc w:val="right"/>
              <w:rPr>
                <w:b/>
                <w:bCs/>
                <w:color w:val="000000"/>
              </w:rPr>
            </w:pPr>
            <w:r w:rsidRPr="00CC649A">
              <w:rPr>
                <w:b/>
                <w:bCs/>
                <w:color w:val="000000"/>
              </w:rPr>
              <w:t>57,97%</w:t>
            </w:r>
          </w:p>
        </w:tc>
        <w:tc>
          <w:tcPr>
            <w:tcW w:w="1221" w:type="dxa"/>
            <w:tcBorders>
              <w:top w:val="nil"/>
              <w:left w:val="nil"/>
              <w:bottom w:val="double" w:sz="6" w:space="0" w:color="4F6228"/>
              <w:right w:val="single" w:sz="8" w:space="0" w:color="4F6228"/>
            </w:tcBorders>
            <w:shd w:val="clear" w:color="auto" w:fill="C2D69B" w:themeFill="accent3" w:themeFillTint="99"/>
            <w:noWrap/>
            <w:vAlign w:val="center"/>
            <w:hideMark/>
          </w:tcPr>
          <w:p w:rsidR="00CC649A" w:rsidRPr="00CC649A" w:rsidRDefault="00CC649A" w:rsidP="00CC649A">
            <w:pPr>
              <w:jc w:val="right"/>
              <w:rPr>
                <w:b/>
                <w:bCs/>
                <w:color w:val="000000"/>
              </w:rPr>
            </w:pPr>
            <w:r w:rsidRPr="00CC649A">
              <w:rPr>
                <w:b/>
                <w:bCs/>
                <w:color w:val="000000"/>
              </w:rPr>
              <w:t>12,05%</w:t>
            </w:r>
          </w:p>
        </w:tc>
        <w:tc>
          <w:tcPr>
            <w:tcW w:w="1221" w:type="dxa"/>
            <w:tcBorders>
              <w:top w:val="nil"/>
              <w:left w:val="nil"/>
              <w:bottom w:val="double" w:sz="6" w:space="0" w:color="4F6228"/>
              <w:right w:val="double" w:sz="6" w:space="0" w:color="4F6228"/>
            </w:tcBorders>
            <w:shd w:val="clear" w:color="auto" w:fill="C2D69B" w:themeFill="accent3" w:themeFillTint="99"/>
            <w:noWrap/>
            <w:vAlign w:val="center"/>
            <w:hideMark/>
          </w:tcPr>
          <w:p w:rsidR="00CC649A" w:rsidRPr="00CC649A" w:rsidRDefault="00CC649A" w:rsidP="00CC649A">
            <w:pPr>
              <w:jc w:val="right"/>
              <w:rPr>
                <w:b/>
                <w:bCs/>
                <w:color w:val="000000"/>
              </w:rPr>
            </w:pPr>
            <w:r w:rsidRPr="00CC649A">
              <w:rPr>
                <w:b/>
                <w:bCs/>
                <w:color w:val="000000"/>
              </w:rPr>
              <w:t>15</w:t>
            </w:r>
          </w:p>
        </w:tc>
      </w:tr>
    </w:tbl>
    <w:p w:rsidR="00252334" w:rsidRPr="00DE0464" w:rsidRDefault="00252334" w:rsidP="00252334">
      <w:pPr>
        <w:spacing w:before="60" w:after="120"/>
        <w:jc w:val="both"/>
        <w:rPr>
          <w:sz w:val="22"/>
          <w:szCs w:val="22"/>
        </w:rPr>
      </w:pPr>
      <w:r w:rsidRPr="00DE0464">
        <w:rPr>
          <w:i/>
          <w:sz w:val="18"/>
          <w:szCs w:val="18"/>
        </w:rPr>
        <w:t xml:space="preserve"> Zdroj: </w:t>
      </w:r>
      <w:r w:rsidRPr="00DE0464">
        <w:rPr>
          <w:bCs/>
          <w:i/>
          <w:sz w:val="18"/>
          <w:szCs w:val="18"/>
        </w:rPr>
        <w:t>IS Monit7+ k </w:t>
      </w:r>
      <w:r w:rsidR="00AE4209">
        <w:rPr>
          <w:bCs/>
          <w:i/>
          <w:sz w:val="18"/>
          <w:szCs w:val="18"/>
        </w:rPr>
        <w:t>2</w:t>
      </w:r>
      <w:r w:rsidR="00AE4209" w:rsidRPr="00DE0464">
        <w:rPr>
          <w:bCs/>
          <w:i/>
          <w:sz w:val="18"/>
          <w:szCs w:val="18"/>
        </w:rPr>
        <w:t>. 1. 2015</w:t>
      </w:r>
    </w:p>
    <w:p w:rsidR="0008318A" w:rsidRDefault="0008318A" w:rsidP="00252334">
      <w:pPr>
        <w:jc w:val="both"/>
        <w:rPr>
          <w:sz w:val="22"/>
          <w:szCs w:val="22"/>
        </w:rPr>
      </w:pPr>
    </w:p>
    <w:p w:rsidR="00D07ED9" w:rsidRDefault="00252334" w:rsidP="00D07ED9">
      <w:r w:rsidRPr="00E32747">
        <w:rPr>
          <w:b/>
          <w:sz w:val="22"/>
          <w:szCs w:val="22"/>
        </w:rPr>
        <w:t>V oblasti intervence 5.2</w:t>
      </w:r>
      <w:r w:rsidRPr="00E32747">
        <w:rPr>
          <w:sz w:val="22"/>
          <w:szCs w:val="22"/>
        </w:rPr>
        <w:t xml:space="preserve"> je </w:t>
      </w:r>
      <w:r w:rsidR="00845646">
        <w:rPr>
          <w:sz w:val="22"/>
          <w:szCs w:val="22"/>
        </w:rPr>
        <w:t>4</w:t>
      </w:r>
      <w:r w:rsidRPr="00E32747">
        <w:rPr>
          <w:sz w:val="22"/>
          <w:szCs w:val="22"/>
        </w:rPr>
        <w:t>,</w:t>
      </w:r>
      <w:r w:rsidR="00845646">
        <w:rPr>
          <w:sz w:val="22"/>
          <w:szCs w:val="22"/>
        </w:rPr>
        <w:t>28</w:t>
      </w:r>
      <w:r w:rsidRPr="00E32747">
        <w:rPr>
          <w:sz w:val="22"/>
          <w:szCs w:val="22"/>
        </w:rPr>
        <w:t xml:space="preserve"> % vyřazených projektů. Nejčastějším důvodem vyřazení projektu </w:t>
      </w:r>
      <w:r w:rsidR="007962DA">
        <w:rPr>
          <w:sz w:val="22"/>
          <w:szCs w:val="22"/>
        </w:rPr>
        <w:br/>
      </w:r>
      <w:r w:rsidRPr="00E32747">
        <w:rPr>
          <w:sz w:val="22"/>
          <w:szCs w:val="22"/>
        </w:rPr>
        <w:t>je odstoupení žadatele z důvodu nezajištění kofinancování.</w:t>
      </w:r>
    </w:p>
    <w:p w:rsidR="00AD6552" w:rsidRPr="00D07ED9" w:rsidRDefault="00AD6552" w:rsidP="00D07ED9"/>
    <w:p w:rsidR="001078D0" w:rsidRPr="00FD4291" w:rsidRDefault="001078D0" w:rsidP="008263BA">
      <w:pPr>
        <w:pStyle w:val="Tabulkanzev"/>
      </w:pPr>
      <w:bookmarkStart w:id="228" w:name="_Toc416431860"/>
      <w:r w:rsidRPr="00F72AFC">
        <w:t>Tabulka vyřazených projektů</w:t>
      </w:r>
      <w:r>
        <w:t xml:space="preserve"> v oblasti intervence 5.2</w:t>
      </w:r>
      <w:bookmarkEnd w:id="228"/>
    </w:p>
    <w:tbl>
      <w:tblPr>
        <w:tblW w:w="8994" w:type="dxa"/>
        <w:tblInd w:w="47" w:type="dxa"/>
        <w:tblCellMar>
          <w:left w:w="70" w:type="dxa"/>
          <w:right w:w="70" w:type="dxa"/>
        </w:tblCellMar>
        <w:tblLook w:val="04A0" w:firstRow="1" w:lastRow="0" w:firstColumn="1" w:lastColumn="0" w:noHBand="0" w:noVBand="1"/>
      </w:tblPr>
      <w:tblGrid>
        <w:gridCol w:w="4102"/>
        <w:gridCol w:w="1223"/>
        <w:gridCol w:w="1223"/>
        <w:gridCol w:w="1223"/>
        <w:gridCol w:w="1223"/>
      </w:tblGrid>
      <w:tr w:rsidR="00EC0ADF" w:rsidRPr="00EC0ADF" w:rsidTr="00FF0777">
        <w:trPr>
          <w:trHeight w:val="325"/>
          <w:tblHeader/>
        </w:trPr>
        <w:tc>
          <w:tcPr>
            <w:tcW w:w="8993"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EC0ADF" w:rsidRPr="00EC0ADF" w:rsidRDefault="00EC0ADF" w:rsidP="00EC0ADF">
            <w:pPr>
              <w:jc w:val="center"/>
              <w:rPr>
                <w:b/>
                <w:bCs/>
                <w:color w:val="000000"/>
              </w:rPr>
            </w:pPr>
            <w:r w:rsidRPr="00EC0ADF">
              <w:rPr>
                <w:b/>
                <w:bCs/>
                <w:color w:val="000000"/>
              </w:rPr>
              <w:t>Oblast podpory 5.2</w:t>
            </w:r>
          </w:p>
        </w:tc>
      </w:tr>
      <w:tr w:rsidR="00EC0ADF" w:rsidRPr="00EC0ADF" w:rsidTr="00FF0777">
        <w:trPr>
          <w:trHeight w:val="1085"/>
          <w:tblHeader/>
        </w:trPr>
        <w:tc>
          <w:tcPr>
            <w:tcW w:w="4102"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EC0ADF" w:rsidRPr="00EC0ADF" w:rsidRDefault="00EC0ADF" w:rsidP="00EC0ADF">
            <w:pPr>
              <w:jc w:val="center"/>
              <w:rPr>
                <w:b/>
                <w:bCs/>
                <w:color w:val="000000"/>
                <w:sz w:val="16"/>
                <w:szCs w:val="16"/>
              </w:rPr>
            </w:pPr>
            <w:r w:rsidRPr="00EC0ADF">
              <w:rPr>
                <w:b/>
                <w:bCs/>
                <w:color w:val="000000"/>
                <w:sz w:val="16"/>
                <w:szCs w:val="16"/>
              </w:rPr>
              <w:t>Stav projektů</w:t>
            </w:r>
          </w:p>
        </w:tc>
        <w:tc>
          <w:tcPr>
            <w:tcW w:w="1223" w:type="dxa"/>
            <w:tcBorders>
              <w:top w:val="nil"/>
              <w:left w:val="nil"/>
              <w:bottom w:val="single" w:sz="8" w:space="0" w:color="4F6228"/>
              <w:right w:val="single" w:sz="8" w:space="0" w:color="4F6228"/>
            </w:tcBorders>
            <w:shd w:val="clear" w:color="auto" w:fill="C2D69B" w:themeFill="accent3" w:themeFillTint="99"/>
            <w:vAlign w:val="center"/>
            <w:hideMark/>
          </w:tcPr>
          <w:p w:rsidR="00EC0ADF" w:rsidRPr="00EC0ADF" w:rsidRDefault="00EC0ADF" w:rsidP="00EC0ADF">
            <w:pPr>
              <w:jc w:val="center"/>
              <w:rPr>
                <w:b/>
                <w:bCs/>
                <w:color w:val="000000"/>
                <w:sz w:val="16"/>
                <w:szCs w:val="16"/>
              </w:rPr>
            </w:pPr>
            <w:r w:rsidRPr="00EC0ADF">
              <w:rPr>
                <w:b/>
                <w:bCs/>
                <w:color w:val="000000"/>
                <w:sz w:val="16"/>
                <w:szCs w:val="16"/>
              </w:rPr>
              <w:t>Počet projektů vyřazených za oblast podpory</w:t>
            </w:r>
          </w:p>
        </w:tc>
        <w:tc>
          <w:tcPr>
            <w:tcW w:w="1223" w:type="dxa"/>
            <w:tcBorders>
              <w:top w:val="nil"/>
              <w:left w:val="nil"/>
              <w:bottom w:val="single" w:sz="8" w:space="0" w:color="4F6228"/>
              <w:right w:val="single" w:sz="8" w:space="0" w:color="4F6228"/>
            </w:tcBorders>
            <w:shd w:val="clear" w:color="auto" w:fill="C2D69B" w:themeFill="accent3" w:themeFillTint="99"/>
            <w:vAlign w:val="center"/>
            <w:hideMark/>
          </w:tcPr>
          <w:p w:rsidR="00EC0ADF" w:rsidRPr="00EC0ADF" w:rsidRDefault="00EC0ADF" w:rsidP="00EC0ADF">
            <w:pPr>
              <w:jc w:val="center"/>
              <w:rPr>
                <w:b/>
                <w:bCs/>
                <w:color w:val="000000"/>
                <w:sz w:val="16"/>
                <w:szCs w:val="16"/>
              </w:rPr>
            </w:pPr>
            <w:r w:rsidRPr="00EC0ADF">
              <w:rPr>
                <w:b/>
                <w:bCs/>
                <w:color w:val="000000"/>
                <w:sz w:val="16"/>
                <w:szCs w:val="16"/>
              </w:rPr>
              <w:t>Podíl vyřazených projektů za oblast podpory</w:t>
            </w:r>
          </w:p>
        </w:tc>
        <w:tc>
          <w:tcPr>
            <w:tcW w:w="1223" w:type="dxa"/>
            <w:tcBorders>
              <w:top w:val="nil"/>
              <w:left w:val="nil"/>
              <w:bottom w:val="single" w:sz="8" w:space="0" w:color="4F6228"/>
              <w:right w:val="single" w:sz="8" w:space="0" w:color="4F6228"/>
            </w:tcBorders>
            <w:shd w:val="clear" w:color="auto" w:fill="C2D69B" w:themeFill="accent3" w:themeFillTint="99"/>
            <w:vAlign w:val="center"/>
            <w:hideMark/>
          </w:tcPr>
          <w:p w:rsidR="00EC0ADF" w:rsidRPr="00EC0ADF" w:rsidRDefault="00EC0ADF" w:rsidP="00EC0ADF">
            <w:pPr>
              <w:jc w:val="center"/>
              <w:rPr>
                <w:b/>
                <w:bCs/>
                <w:color w:val="000000"/>
                <w:sz w:val="16"/>
                <w:szCs w:val="16"/>
              </w:rPr>
            </w:pPr>
            <w:r w:rsidRPr="00EC0ADF">
              <w:rPr>
                <w:b/>
                <w:bCs/>
                <w:color w:val="000000"/>
                <w:sz w:val="16"/>
                <w:szCs w:val="16"/>
              </w:rPr>
              <w:t>Srovnávací hodnota podílu vyřazených projektů za celý program</w:t>
            </w:r>
          </w:p>
        </w:tc>
        <w:tc>
          <w:tcPr>
            <w:tcW w:w="1223" w:type="dxa"/>
            <w:tcBorders>
              <w:top w:val="nil"/>
              <w:left w:val="nil"/>
              <w:bottom w:val="single" w:sz="8" w:space="0" w:color="4F6228"/>
              <w:right w:val="double" w:sz="6" w:space="0" w:color="4F6228"/>
            </w:tcBorders>
            <w:shd w:val="clear" w:color="auto" w:fill="C2D69B" w:themeFill="accent3" w:themeFillTint="99"/>
            <w:vAlign w:val="center"/>
            <w:hideMark/>
          </w:tcPr>
          <w:p w:rsidR="00EC0ADF" w:rsidRPr="00EC0ADF" w:rsidRDefault="00EC0ADF" w:rsidP="00EC0ADF">
            <w:pPr>
              <w:jc w:val="center"/>
              <w:rPr>
                <w:b/>
                <w:bCs/>
                <w:color w:val="000000"/>
                <w:sz w:val="16"/>
                <w:szCs w:val="16"/>
              </w:rPr>
            </w:pPr>
            <w:r w:rsidRPr="00EC0ADF">
              <w:rPr>
                <w:b/>
                <w:bCs/>
                <w:color w:val="000000"/>
                <w:sz w:val="16"/>
                <w:szCs w:val="16"/>
              </w:rPr>
              <w:t>Počet vyřazených projektů za rok 2014</w:t>
            </w:r>
          </w:p>
        </w:tc>
      </w:tr>
      <w:tr w:rsidR="00EC0ADF" w:rsidRPr="00EC0ADF" w:rsidTr="00EC0ADF">
        <w:trPr>
          <w:trHeight w:val="458"/>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N1.1 Projektová žádost nesplnila alespoň jedno kritérium přijatelnosti</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8</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0,54%</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1,59%</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B64D9C">
        <w:trPr>
          <w:trHeight w:val="273"/>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N1.2 Projektová žádost nesplnila formální náležitosti</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3</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0,20%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0,75%</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B64D9C">
        <w:trPr>
          <w:trHeight w:val="379"/>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N2.3 Projekt nedoporučen k financování výběrovou komisí</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0,00%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0,41%</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B64D9C">
        <w:trPr>
          <w:trHeight w:val="315"/>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N2.1 Projekt nesplnil podmínky hodnocení</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0,00%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3,07%</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B64D9C">
        <w:trPr>
          <w:trHeight w:val="548"/>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N2.2 Odeslán dopis o vyřazení projektové žádosti na základě ex-ante kontroly</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1</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0,07%</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0,30%</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E5722B">
        <w:trPr>
          <w:trHeight w:val="252"/>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N2.3 Projekt nedoporučen k financování výběrovou komisí</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3</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0,20%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0,47%</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E5722B">
        <w:trPr>
          <w:trHeight w:val="458"/>
        </w:trPr>
        <w:tc>
          <w:tcPr>
            <w:tcW w:w="4102" w:type="dxa"/>
            <w:tcBorders>
              <w:top w:val="single" w:sz="8" w:space="0" w:color="4F6228"/>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lastRenderedPageBreak/>
              <w:t>N4.1 Vydání rozhodnutí o poskytnutí dotace/stanovení výdajů zamítnuto</w:t>
            </w:r>
          </w:p>
        </w:tc>
        <w:tc>
          <w:tcPr>
            <w:tcW w:w="1223" w:type="dxa"/>
            <w:tcBorders>
              <w:top w:val="single" w:sz="8" w:space="0" w:color="4F6228"/>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p>
        </w:tc>
        <w:tc>
          <w:tcPr>
            <w:tcW w:w="1223" w:type="dxa"/>
            <w:tcBorders>
              <w:top w:val="single" w:sz="8" w:space="0" w:color="4F6228"/>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0,00%</w:t>
            </w:r>
          </w:p>
        </w:tc>
        <w:tc>
          <w:tcPr>
            <w:tcW w:w="1223" w:type="dxa"/>
            <w:tcBorders>
              <w:top w:val="single" w:sz="8" w:space="0" w:color="4F6228"/>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0,03%</w:t>
            </w:r>
          </w:p>
        </w:tc>
        <w:tc>
          <w:tcPr>
            <w:tcW w:w="1223" w:type="dxa"/>
            <w:tcBorders>
              <w:top w:val="single" w:sz="8" w:space="0" w:color="4F6228"/>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EC0ADF">
        <w:trPr>
          <w:trHeight w:val="310"/>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N5 Projektová žádost stažena žadatelem</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18</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1,21%</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3,43%</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EC0ADF">
        <w:trPr>
          <w:trHeight w:val="310"/>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N7 Projekt nedokončen/stažen</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40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2,69%</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1,92%</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12</w:t>
            </w:r>
          </w:p>
        </w:tc>
      </w:tr>
      <w:tr w:rsidR="00EC0ADF" w:rsidRPr="00EC0ADF" w:rsidTr="00EC0ADF">
        <w:trPr>
          <w:trHeight w:val="310"/>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EC0ADF" w:rsidRDefault="00EC0ADF" w:rsidP="00EC0ADF">
            <w:pPr>
              <w:rPr>
                <w:i/>
                <w:iCs/>
                <w:color w:val="000000"/>
                <w:sz w:val="16"/>
                <w:szCs w:val="16"/>
              </w:rPr>
            </w:pPr>
            <w:r w:rsidRPr="00EC0ADF">
              <w:rPr>
                <w:i/>
                <w:iCs/>
                <w:color w:val="000000"/>
                <w:sz w:val="16"/>
                <w:szCs w:val="16"/>
              </w:rPr>
              <w:t>N8 Smlouva ukončena ze strany ŘO/ZS</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0,00%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EC0ADF" w:rsidRDefault="00EC0ADF" w:rsidP="00A94652">
            <w:pPr>
              <w:jc w:val="center"/>
              <w:rPr>
                <w:color w:val="000000"/>
              </w:rPr>
            </w:pPr>
            <w:r w:rsidRPr="00EC0ADF">
              <w:rPr>
                <w:color w:val="000000"/>
              </w:rPr>
              <w:t>0,07%</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EC0ADF" w:rsidRDefault="00EC0ADF" w:rsidP="00A94652">
            <w:pPr>
              <w:jc w:val="center"/>
              <w:rPr>
                <w:color w:val="000000"/>
              </w:rPr>
            </w:pPr>
          </w:p>
        </w:tc>
      </w:tr>
      <w:tr w:rsidR="00EC0ADF" w:rsidRPr="00EC0ADF" w:rsidTr="00EC0ADF">
        <w:trPr>
          <w:trHeight w:val="310"/>
        </w:trPr>
        <w:tc>
          <w:tcPr>
            <w:tcW w:w="4102"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EC0ADF" w:rsidRPr="00EC0ADF" w:rsidRDefault="00EC0ADF" w:rsidP="00EC0ADF">
            <w:pPr>
              <w:rPr>
                <w:b/>
                <w:bCs/>
                <w:i/>
                <w:iCs/>
                <w:color w:val="000000"/>
              </w:rPr>
            </w:pPr>
            <w:r w:rsidRPr="00EC0ADF">
              <w:rPr>
                <w:b/>
                <w:bCs/>
                <w:i/>
                <w:iCs/>
                <w:color w:val="000000"/>
              </w:rPr>
              <w:t>Celkem</w:t>
            </w:r>
          </w:p>
        </w:tc>
        <w:tc>
          <w:tcPr>
            <w:tcW w:w="1223" w:type="dxa"/>
            <w:tcBorders>
              <w:top w:val="nil"/>
              <w:left w:val="nil"/>
              <w:bottom w:val="double" w:sz="6" w:space="0" w:color="4F6228"/>
              <w:right w:val="single" w:sz="8" w:space="0" w:color="4F6228"/>
            </w:tcBorders>
            <w:shd w:val="clear" w:color="auto" w:fill="C2D69B" w:themeFill="accent3" w:themeFillTint="99"/>
            <w:noWrap/>
            <w:vAlign w:val="center"/>
            <w:hideMark/>
          </w:tcPr>
          <w:p w:rsidR="00EC0ADF" w:rsidRPr="00EC0ADF" w:rsidRDefault="00EC0ADF" w:rsidP="009A5A3A">
            <w:pPr>
              <w:jc w:val="center"/>
              <w:rPr>
                <w:b/>
                <w:bCs/>
                <w:color w:val="000000"/>
              </w:rPr>
            </w:pPr>
            <w:r w:rsidRPr="00EC0ADF">
              <w:rPr>
                <w:b/>
                <w:bCs/>
                <w:color w:val="000000"/>
              </w:rPr>
              <w:t>73</w:t>
            </w:r>
          </w:p>
        </w:tc>
        <w:tc>
          <w:tcPr>
            <w:tcW w:w="1223" w:type="dxa"/>
            <w:tcBorders>
              <w:top w:val="nil"/>
              <w:left w:val="nil"/>
              <w:bottom w:val="double" w:sz="6" w:space="0" w:color="4F6228"/>
              <w:right w:val="single" w:sz="8" w:space="0" w:color="4F6228"/>
            </w:tcBorders>
            <w:shd w:val="clear" w:color="auto" w:fill="C2D69B" w:themeFill="accent3" w:themeFillTint="99"/>
            <w:noWrap/>
            <w:vAlign w:val="center"/>
            <w:hideMark/>
          </w:tcPr>
          <w:p w:rsidR="00EC0ADF" w:rsidRPr="00EC0ADF" w:rsidRDefault="00EC0ADF" w:rsidP="009A5A3A">
            <w:pPr>
              <w:jc w:val="center"/>
              <w:rPr>
                <w:b/>
                <w:bCs/>
                <w:color w:val="000000"/>
              </w:rPr>
            </w:pPr>
            <w:r w:rsidRPr="00EC0ADF">
              <w:rPr>
                <w:b/>
                <w:bCs/>
                <w:color w:val="000000"/>
              </w:rPr>
              <w:t>4,91%</w:t>
            </w:r>
          </w:p>
        </w:tc>
        <w:tc>
          <w:tcPr>
            <w:tcW w:w="1223" w:type="dxa"/>
            <w:tcBorders>
              <w:top w:val="nil"/>
              <w:left w:val="nil"/>
              <w:bottom w:val="double" w:sz="6" w:space="0" w:color="4F6228"/>
              <w:right w:val="single" w:sz="8" w:space="0" w:color="4F6228"/>
            </w:tcBorders>
            <w:shd w:val="clear" w:color="auto" w:fill="C2D69B" w:themeFill="accent3" w:themeFillTint="99"/>
            <w:noWrap/>
            <w:vAlign w:val="center"/>
            <w:hideMark/>
          </w:tcPr>
          <w:p w:rsidR="00EC0ADF" w:rsidRPr="00EC0ADF" w:rsidRDefault="00EC0ADF" w:rsidP="009A5A3A">
            <w:pPr>
              <w:jc w:val="center"/>
              <w:rPr>
                <w:b/>
                <w:bCs/>
                <w:color w:val="000000"/>
              </w:rPr>
            </w:pPr>
            <w:r w:rsidRPr="00EC0ADF">
              <w:rPr>
                <w:b/>
                <w:bCs/>
                <w:color w:val="000000"/>
              </w:rPr>
              <w:t>12,05%</w:t>
            </w:r>
          </w:p>
        </w:tc>
        <w:tc>
          <w:tcPr>
            <w:tcW w:w="1223" w:type="dxa"/>
            <w:tcBorders>
              <w:top w:val="nil"/>
              <w:left w:val="nil"/>
              <w:bottom w:val="double" w:sz="6" w:space="0" w:color="4F6228"/>
              <w:right w:val="double" w:sz="6" w:space="0" w:color="4F6228"/>
            </w:tcBorders>
            <w:shd w:val="clear" w:color="auto" w:fill="C2D69B" w:themeFill="accent3" w:themeFillTint="99"/>
            <w:noWrap/>
            <w:vAlign w:val="center"/>
            <w:hideMark/>
          </w:tcPr>
          <w:p w:rsidR="00EC0ADF" w:rsidRPr="00EC0ADF" w:rsidRDefault="00EC0ADF" w:rsidP="009A5A3A">
            <w:pPr>
              <w:jc w:val="center"/>
              <w:rPr>
                <w:b/>
                <w:bCs/>
                <w:color w:val="000000"/>
              </w:rPr>
            </w:pPr>
            <w:r w:rsidRPr="00EC0ADF">
              <w:rPr>
                <w:b/>
                <w:bCs/>
                <w:color w:val="000000"/>
              </w:rPr>
              <w:t>12</w:t>
            </w:r>
          </w:p>
        </w:tc>
      </w:tr>
    </w:tbl>
    <w:p w:rsidR="001078D0" w:rsidRDefault="001078D0" w:rsidP="001078D0">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AE4209">
        <w:rPr>
          <w:i/>
          <w:sz w:val="18"/>
          <w:szCs w:val="18"/>
        </w:rPr>
        <w:t>2</w:t>
      </w:r>
      <w:r w:rsidR="00AE4209" w:rsidRPr="00C02CF8">
        <w:rPr>
          <w:i/>
          <w:sz w:val="18"/>
          <w:szCs w:val="18"/>
        </w:rPr>
        <w:t>. 1. 2014</w:t>
      </w:r>
    </w:p>
    <w:p w:rsidR="00205790" w:rsidRDefault="00205790" w:rsidP="00775174">
      <w:pPr>
        <w:tabs>
          <w:tab w:val="left" w:pos="4678"/>
        </w:tabs>
        <w:jc w:val="both"/>
        <w:rPr>
          <w:sz w:val="22"/>
          <w:szCs w:val="22"/>
        </w:rPr>
      </w:pPr>
    </w:p>
    <w:p w:rsidR="00B41DA9" w:rsidRDefault="00B41DA9" w:rsidP="00B41DA9">
      <w:pPr>
        <w:rPr>
          <w:sz w:val="22"/>
          <w:szCs w:val="22"/>
        </w:rPr>
      </w:pPr>
      <w:r w:rsidRPr="00E32747">
        <w:rPr>
          <w:b/>
          <w:sz w:val="22"/>
          <w:szCs w:val="22"/>
        </w:rPr>
        <w:t>V oblasti intervence 5.</w:t>
      </w:r>
      <w:r>
        <w:rPr>
          <w:b/>
          <w:sz w:val="22"/>
          <w:szCs w:val="22"/>
        </w:rPr>
        <w:t>3</w:t>
      </w:r>
      <w:r w:rsidRPr="00E32747">
        <w:rPr>
          <w:sz w:val="22"/>
          <w:szCs w:val="22"/>
        </w:rPr>
        <w:t xml:space="preserve"> je </w:t>
      </w:r>
      <w:r>
        <w:rPr>
          <w:sz w:val="22"/>
          <w:szCs w:val="22"/>
        </w:rPr>
        <w:t>4</w:t>
      </w:r>
      <w:r w:rsidRPr="00E32747">
        <w:rPr>
          <w:sz w:val="22"/>
          <w:szCs w:val="22"/>
        </w:rPr>
        <w:t>,</w:t>
      </w:r>
      <w:r>
        <w:rPr>
          <w:sz w:val="22"/>
          <w:szCs w:val="22"/>
        </w:rPr>
        <w:t>91</w:t>
      </w:r>
      <w:r w:rsidRPr="00E32747">
        <w:rPr>
          <w:sz w:val="22"/>
          <w:szCs w:val="22"/>
        </w:rPr>
        <w:t xml:space="preserve"> % vyřazených projektů. Nejčastějším </w:t>
      </w:r>
      <w:r w:rsidR="00E5722B" w:rsidRPr="00E32747">
        <w:rPr>
          <w:sz w:val="22"/>
          <w:szCs w:val="22"/>
        </w:rPr>
        <w:t xml:space="preserve">důvodem </w:t>
      </w:r>
      <w:r w:rsidR="00E5722B">
        <w:rPr>
          <w:sz w:val="22"/>
          <w:szCs w:val="22"/>
        </w:rPr>
        <w:t>je</w:t>
      </w:r>
      <w:r>
        <w:rPr>
          <w:sz w:val="22"/>
          <w:szCs w:val="22"/>
        </w:rPr>
        <w:t xml:space="preserve"> nedokončení projektu žadatelem. </w:t>
      </w:r>
    </w:p>
    <w:p w:rsidR="001078D0" w:rsidRPr="00852A23" w:rsidRDefault="001078D0" w:rsidP="001078D0">
      <w:pPr>
        <w:jc w:val="both"/>
        <w:rPr>
          <w:sz w:val="22"/>
          <w:szCs w:val="22"/>
        </w:rPr>
      </w:pPr>
    </w:p>
    <w:p w:rsidR="007651BF" w:rsidRPr="009A5A3A" w:rsidRDefault="001078D0" w:rsidP="008263BA">
      <w:pPr>
        <w:pStyle w:val="Tabulkanzev"/>
      </w:pPr>
      <w:bookmarkStart w:id="229" w:name="_Toc416431861"/>
      <w:r w:rsidRPr="006326E6">
        <w:t>Tabulka vyřazených projektů</w:t>
      </w:r>
      <w:r w:rsidR="00C03216">
        <w:t xml:space="preserve"> v oblasti intervence 5.3</w:t>
      </w:r>
      <w:bookmarkEnd w:id="229"/>
    </w:p>
    <w:tbl>
      <w:tblPr>
        <w:tblW w:w="8709" w:type="dxa"/>
        <w:tblInd w:w="47" w:type="dxa"/>
        <w:tblCellMar>
          <w:left w:w="70" w:type="dxa"/>
          <w:right w:w="70" w:type="dxa"/>
        </w:tblCellMar>
        <w:tblLook w:val="04A0" w:firstRow="1" w:lastRow="0" w:firstColumn="1" w:lastColumn="0" w:noHBand="0" w:noVBand="1"/>
      </w:tblPr>
      <w:tblGrid>
        <w:gridCol w:w="3972"/>
        <w:gridCol w:w="1184"/>
        <w:gridCol w:w="1184"/>
        <w:gridCol w:w="1184"/>
        <w:gridCol w:w="1185"/>
      </w:tblGrid>
      <w:tr w:rsidR="007651BF" w:rsidRPr="007651BF" w:rsidTr="007651BF">
        <w:trPr>
          <w:trHeight w:val="332"/>
        </w:trPr>
        <w:tc>
          <w:tcPr>
            <w:tcW w:w="8709"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7651BF" w:rsidRPr="007651BF" w:rsidRDefault="007651BF" w:rsidP="007651BF">
            <w:pPr>
              <w:jc w:val="center"/>
              <w:rPr>
                <w:b/>
                <w:bCs/>
                <w:color w:val="000000"/>
              </w:rPr>
            </w:pPr>
            <w:r w:rsidRPr="007651BF">
              <w:rPr>
                <w:b/>
                <w:bCs/>
                <w:color w:val="000000"/>
              </w:rPr>
              <w:t>Oblast podpory 5.3</w:t>
            </w:r>
          </w:p>
        </w:tc>
      </w:tr>
      <w:tr w:rsidR="007651BF" w:rsidRPr="007651BF" w:rsidTr="007651BF">
        <w:trPr>
          <w:trHeight w:val="1098"/>
        </w:trPr>
        <w:tc>
          <w:tcPr>
            <w:tcW w:w="3972"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7651BF" w:rsidRPr="007651BF" w:rsidRDefault="007651BF" w:rsidP="007651BF">
            <w:pPr>
              <w:jc w:val="center"/>
              <w:rPr>
                <w:b/>
                <w:bCs/>
                <w:color w:val="000000"/>
                <w:sz w:val="16"/>
                <w:szCs w:val="16"/>
              </w:rPr>
            </w:pPr>
            <w:r w:rsidRPr="007651BF">
              <w:rPr>
                <w:b/>
                <w:bCs/>
                <w:color w:val="000000"/>
                <w:sz w:val="16"/>
                <w:szCs w:val="16"/>
              </w:rPr>
              <w:t>Stav projektů</w:t>
            </w:r>
          </w:p>
        </w:tc>
        <w:tc>
          <w:tcPr>
            <w:tcW w:w="1184" w:type="dxa"/>
            <w:tcBorders>
              <w:top w:val="nil"/>
              <w:left w:val="nil"/>
              <w:bottom w:val="single" w:sz="8" w:space="0" w:color="4F6228"/>
              <w:right w:val="single" w:sz="8" w:space="0" w:color="4F6228"/>
            </w:tcBorders>
            <w:shd w:val="clear" w:color="auto" w:fill="C2D69B" w:themeFill="accent3" w:themeFillTint="99"/>
            <w:vAlign w:val="center"/>
            <w:hideMark/>
          </w:tcPr>
          <w:p w:rsidR="007651BF" w:rsidRPr="007651BF" w:rsidRDefault="007651BF" w:rsidP="007651BF">
            <w:pPr>
              <w:jc w:val="center"/>
              <w:rPr>
                <w:b/>
                <w:bCs/>
                <w:color w:val="000000"/>
                <w:sz w:val="16"/>
                <w:szCs w:val="16"/>
              </w:rPr>
            </w:pPr>
            <w:r w:rsidRPr="007651BF">
              <w:rPr>
                <w:b/>
                <w:bCs/>
                <w:color w:val="000000"/>
                <w:sz w:val="16"/>
                <w:szCs w:val="16"/>
              </w:rPr>
              <w:t>Počet projektů vyřazených za oblast podpory</w:t>
            </w:r>
          </w:p>
        </w:tc>
        <w:tc>
          <w:tcPr>
            <w:tcW w:w="1184" w:type="dxa"/>
            <w:tcBorders>
              <w:top w:val="nil"/>
              <w:left w:val="nil"/>
              <w:bottom w:val="single" w:sz="8" w:space="0" w:color="4F6228"/>
              <w:right w:val="single" w:sz="8" w:space="0" w:color="4F6228"/>
            </w:tcBorders>
            <w:shd w:val="clear" w:color="auto" w:fill="C2D69B" w:themeFill="accent3" w:themeFillTint="99"/>
            <w:vAlign w:val="center"/>
            <w:hideMark/>
          </w:tcPr>
          <w:p w:rsidR="007651BF" w:rsidRPr="007651BF" w:rsidRDefault="007651BF" w:rsidP="007651BF">
            <w:pPr>
              <w:jc w:val="center"/>
              <w:rPr>
                <w:b/>
                <w:bCs/>
                <w:color w:val="000000"/>
                <w:sz w:val="16"/>
                <w:szCs w:val="16"/>
              </w:rPr>
            </w:pPr>
            <w:r w:rsidRPr="007651BF">
              <w:rPr>
                <w:b/>
                <w:bCs/>
                <w:color w:val="000000"/>
                <w:sz w:val="16"/>
                <w:szCs w:val="16"/>
              </w:rPr>
              <w:t>Podíl vyřazených projektů za oblast podpory</w:t>
            </w:r>
          </w:p>
        </w:tc>
        <w:tc>
          <w:tcPr>
            <w:tcW w:w="1184" w:type="dxa"/>
            <w:tcBorders>
              <w:top w:val="nil"/>
              <w:left w:val="nil"/>
              <w:bottom w:val="single" w:sz="8" w:space="0" w:color="4F6228"/>
              <w:right w:val="single" w:sz="8" w:space="0" w:color="4F6228"/>
            </w:tcBorders>
            <w:shd w:val="clear" w:color="auto" w:fill="C2D69B" w:themeFill="accent3" w:themeFillTint="99"/>
            <w:vAlign w:val="center"/>
            <w:hideMark/>
          </w:tcPr>
          <w:p w:rsidR="007651BF" w:rsidRPr="007651BF" w:rsidRDefault="007651BF" w:rsidP="007651BF">
            <w:pPr>
              <w:jc w:val="center"/>
              <w:rPr>
                <w:b/>
                <w:bCs/>
                <w:color w:val="000000"/>
                <w:sz w:val="16"/>
                <w:szCs w:val="16"/>
              </w:rPr>
            </w:pPr>
            <w:r w:rsidRPr="007651BF">
              <w:rPr>
                <w:b/>
                <w:bCs/>
                <w:color w:val="000000"/>
                <w:sz w:val="16"/>
                <w:szCs w:val="16"/>
              </w:rPr>
              <w:t>Srovnávací hodnota podílu vyřazených projektů za celý program</w:t>
            </w:r>
          </w:p>
        </w:tc>
        <w:tc>
          <w:tcPr>
            <w:tcW w:w="1184" w:type="dxa"/>
            <w:tcBorders>
              <w:top w:val="nil"/>
              <w:left w:val="nil"/>
              <w:bottom w:val="single" w:sz="8" w:space="0" w:color="4F6228"/>
              <w:right w:val="double" w:sz="6" w:space="0" w:color="4F6228"/>
            </w:tcBorders>
            <w:shd w:val="clear" w:color="auto" w:fill="C2D69B" w:themeFill="accent3" w:themeFillTint="99"/>
            <w:vAlign w:val="center"/>
            <w:hideMark/>
          </w:tcPr>
          <w:p w:rsidR="007651BF" w:rsidRPr="007651BF" w:rsidRDefault="007651BF" w:rsidP="007651BF">
            <w:pPr>
              <w:jc w:val="center"/>
              <w:rPr>
                <w:b/>
                <w:bCs/>
                <w:color w:val="000000"/>
                <w:sz w:val="16"/>
                <w:szCs w:val="16"/>
              </w:rPr>
            </w:pPr>
            <w:r w:rsidRPr="007651BF">
              <w:rPr>
                <w:b/>
                <w:bCs/>
                <w:color w:val="000000"/>
                <w:sz w:val="16"/>
                <w:szCs w:val="16"/>
              </w:rPr>
              <w:t>Počet vyřazených projektů za rok 2014</w:t>
            </w:r>
          </w:p>
        </w:tc>
      </w:tr>
      <w:tr w:rsidR="007651BF" w:rsidRPr="007651BF" w:rsidTr="007651BF">
        <w:trPr>
          <w:trHeight w:val="468"/>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N1.1 Projektová žádost nesplnila alespoň jedno kritérium přijatelnosti</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30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4,29%</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1,59%</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p>
        </w:tc>
      </w:tr>
      <w:tr w:rsidR="007651BF" w:rsidRPr="007651BF" w:rsidTr="007651BF">
        <w:trPr>
          <w:trHeight w:val="342"/>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N1.2 Projektová žádost nesplnila formální náležitosti</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4</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0,57%</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0,75%</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1</w:t>
            </w:r>
          </w:p>
        </w:tc>
      </w:tr>
      <w:tr w:rsidR="007651BF" w:rsidRPr="007651BF" w:rsidTr="007651BF">
        <w:trPr>
          <w:trHeight w:val="264"/>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N2.3 Projekt nedoporučen k financování výběrovou komisí</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26</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3,71%</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0,41%</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p>
        </w:tc>
      </w:tr>
      <w:tr w:rsidR="007651BF" w:rsidRPr="007651BF" w:rsidTr="007651BF">
        <w:trPr>
          <w:trHeight w:val="266"/>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N2.1 Projekt nesplnil podmínky hodnocení</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3,07%</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p>
        </w:tc>
      </w:tr>
      <w:tr w:rsidR="007651BF" w:rsidRPr="007651BF" w:rsidTr="007651BF">
        <w:trPr>
          <w:trHeight w:val="434"/>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N2.2 Odeslán dopis o vyřazení projektové žádosti na základě ex-ante kontroly</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21</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3,00%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0,30%</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p>
        </w:tc>
      </w:tr>
      <w:tr w:rsidR="007651BF" w:rsidRPr="007651BF" w:rsidTr="007651BF">
        <w:trPr>
          <w:trHeight w:val="308"/>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N2.3 Projekt nedoporučen k financování výběrovou komisí</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0,47%</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p>
        </w:tc>
      </w:tr>
      <w:tr w:rsidR="007651BF" w:rsidRPr="007651BF" w:rsidTr="007651BF">
        <w:trPr>
          <w:trHeight w:val="468"/>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N4.1 Vydání rozhodnutí o poskytnutí dotace/stanovení výdajů zamítnuto</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0,03%</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p>
        </w:tc>
      </w:tr>
      <w:tr w:rsidR="007651BF" w:rsidRPr="007651BF" w:rsidTr="007651BF">
        <w:trPr>
          <w:trHeight w:val="317"/>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N5 Projektová žádost stažena žadatelem</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14</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2,00%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3,43%</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3</w:t>
            </w:r>
          </w:p>
        </w:tc>
      </w:tr>
      <w:tr w:rsidR="007651BF" w:rsidRPr="007651BF" w:rsidTr="007651BF">
        <w:trPr>
          <w:trHeight w:val="317"/>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N7 Projekt nedokončen/stažen</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9</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1,29%</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1,92%</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5</w:t>
            </w:r>
          </w:p>
        </w:tc>
      </w:tr>
      <w:tr w:rsidR="007651BF" w:rsidRPr="007651BF" w:rsidTr="007651BF">
        <w:trPr>
          <w:trHeight w:val="317"/>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7651BF" w:rsidRDefault="007651BF" w:rsidP="007651BF">
            <w:pPr>
              <w:rPr>
                <w:i/>
                <w:iCs/>
                <w:color w:val="000000"/>
                <w:sz w:val="16"/>
                <w:szCs w:val="16"/>
              </w:rPr>
            </w:pPr>
            <w:r w:rsidRPr="007651BF">
              <w:rPr>
                <w:i/>
                <w:iCs/>
                <w:color w:val="000000"/>
                <w:sz w:val="16"/>
                <w:szCs w:val="16"/>
              </w:rPr>
              <w:t>N8 Smlouva ukončena ze strany ŘO/ZS</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5</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0,71%</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7651BF" w:rsidRDefault="007651BF" w:rsidP="007651BF">
            <w:pPr>
              <w:jc w:val="center"/>
              <w:rPr>
                <w:bCs/>
                <w:color w:val="000000"/>
              </w:rPr>
            </w:pPr>
            <w:r w:rsidRPr="007651BF">
              <w:rPr>
                <w:bCs/>
                <w:color w:val="000000"/>
              </w:rPr>
              <w:t>0,07%</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7651BF" w:rsidRDefault="007651BF" w:rsidP="007651BF">
            <w:pPr>
              <w:jc w:val="center"/>
              <w:rPr>
                <w:bCs/>
                <w:color w:val="000000"/>
              </w:rPr>
            </w:pPr>
          </w:p>
        </w:tc>
      </w:tr>
      <w:tr w:rsidR="007651BF" w:rsidRPr="007651BF" w:rsidTr="007651BF">
        <w:trPr>
          <w:trHeight w:val="317"/>
        </w:trPr>
        <w:tc>
          <w:tcPr>
            <w:tcW w:w="3972"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7651BF" w:rsidRPr="007651BF" w:rsidRDefault="007651BF" w:rsidP="007651BF">
            <w:pPr>
              <w:rPr>
                <w:b/>
                <w:bCs/>
                <w:i/>
                <w:iCs/>
                <w:color w:val="000000"/>
              </w:rPr>
            </w:pPr>
            <w:r w:rsidRPr="007651BF">
              <w:rPr>
                <w:b/>
                <w:bCs/>
                <w:i/>
                <w:iCs/>
                <w:color w:val="000000"/>
              </w:rPr>
              <w:t>Celkem</w:t>
            </w:r>
          </w:p>
        </w:tc>
        <w:tc>
          <w:tcPr>
            <w:tcW w:w="1184" w:type="dxa"/>
            <w:tcBorders>
              <w:top w:val="nil"/>
              <w:left w:val="nil"/>
              <w:bottom w:val="double" w:sz="6" w:space="0" w:color="4F6228"/>
              <w:right w:val="single" w:sz="8" w:space="0" w:color="4F6228"/>
            </w:tcBorders>
            <w:shd w:val="clear" w:color="auto" w:fill="C2D69B" w:themeFill="accent3" w:themeFillTint="99"/>
            <w:noWrap/>
            <w:vAlign w:val="center"/>
            <w:hideMark/>
          </w:tcPr>
          <w:p w:rsidR="007651BF" w:rsidRPr="007651BF" w:rsidRDefault="007651BF" w:rsidP="007651BF">
            <w:pPr>
              <w:jc w:val="center"/>
              <w:rPr>
                <w:b/>
                <w:bCs/>
                <w:color w:val="000000"/>
              </w:rPr>
            </w:pPr>
            <w:r w:rsidRPr="007651BF">
              <w:rPr>
                <w:b/>
                <w:bCs/>
                <w:color w:val="000000"/>
              </w:rPr>
              <w:t>109</w:t>
            </w:r>
          </w:p>
        </w:tc>
        <w:tc>
          <w:tcPr>
            <w:tcW w:w="1184" w:type="dxa"/>
            <w:tcBorders>
              <w:top w:val="nil"/>
              <w:left w:val="nil"/>
              <w:bottom w:val="double" w:sz="6" w:space="0" w:color="4F6228"/>
              <w:right w:val="single" w:sz="8" w:space="0" w:color="4F6228"/>
            </w:tcBorders>
            <w:shd w:val="clear" w:color="auto" w:fill="C2D69B" w:themeFill="accent3" w:themeFillTint="99"/>
            <w:noWrap/>
            <w:vAlign w:val="center"/>
            <w:hideMark/>
          </w:tcPr>
          <w:p w:rsidR="007651BF" w:rsidRPr="007651BF" w:rsidRDefault="007651BF" w:rsidP="007651BF">
            <w:pPr>
              <w:jc w:val="center"/>
              <w:rPr>
                <w:b/>
                <w:bCs/>
                <w:color w:val="000000"/>
              </w:rPr>
            </w:pPr>
            <w:r w:rsidRPr="007651BF">
              <w:rPr>
                <w:b/>
                <w:bCs/>
                <w:color w:val="000000"/>
              </w:rPr>
              <w:t>15,57%</w:t>
            </w:r>
          </w:p>
        </w:tc>
        <w:tc>
          <w:tcPr>
            <w:tcW w:w="1184" w:type="dxa"/>
            <w:tcBorders>
              <w:top w:val="nil"/>
              <w:left w:val="nil"/>
              <w:bottom w:val="double" w:sz="6" w:space="0" w:color="4F6228"/>
              <w:right w:val="single" w:sz="8" w:space="0" w:color="4F6228"/>
            </w:tcBorders>
            <w:shd w:val="clear" w:color="auto" w:fill="C2D69B" w:themeFill="accent3" w:themeFillTint="99"/>
            <w:noWrap/>
            <w:vAlign w:val="center"/>
            <w:hideMark/>
          </w:tcPr>
          <w:p w:rsidR="007651BF" w:rsidRPr="007651BF" w:rsidRDefault="007651BF" w:rsidP="007651BF">
            <w:pPr>
              <w:jc w:val="center"/>
              <w:rPr>
                <w:b/>
                <w:bCs/>
                <w:color w:val="000000"/>
              </w:rPr>
            </w:pPr>
            <w:r w:rsidRPr="007651BF">
              <w:rPr>
                <w:b/>
                <w:bCs/>
                <w:color w:val="000000"/>
              </w:rPr>
              <w:t>12,05%</w:t>
            </w:r>
          </w:p>
        </w:tc>
        <w:tc>
          <w:tcPr>
            <w:tcW w:w="1184" w:type="dxa"/>
            <w:tcBorders>
              <w:top w:val="nil"/>
              <w:left w:val="nil"/>
              <w:bottom w:val="double" w:sz="6" w:space="0" w:color="4F6228"/>
              <w:right w:val="double" w:sz="6" w:space="0" w:color="4F6228"/>
            </w:tcBorders>
            <w:shd w:val="clear" w:color="auto" w:fill="C2D69B" w:themeFill="accent3" w:themeFillTint="99"/>
            <w:noWrap/>
            <w:vAlign w:val="center"/>
            <w:hideMark/>
          </w:tcPr>
          <w:p w:rsidR="007651BF" w:rsidRPr="007651BF" w:rsidRDefault="007651BF" w:rsidP="007651BF">
            <w:pPr>
              <w:jc w:val="center"/>
              <w:rPr>
                <w:b/>
                <w:bCs/>
                <w:color w:val="000000"/>
              </w:rPr>
            </w:pPr>
            <w:r w:rsidRPr="007651BF">
              <w:rPr>
                <w:b/>
                <w:bCs/>
                <w:color w:val="000000"/>
              </w:rPr>
              <w:t>9</w:t>
            </w:r>
          </w:p>
        </w:tc>
      </w:tr>
    </w:tbl>
    <w:p w:rsidR="001078D0" w:rsidRDefault="001078D0" w:rsidP="001078D0">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AE4209">
        <w:rPr>
          <w:i/>
          <w:sz w:val="18"/>
          <w:szCs w:val="18"/>
        </w:rPr>
        <w:t>2</w:t>
      </w:r>
      <w:r w:rsidR="00AE4209" w:rsidRPr="00C02CF8">
        <w:rPr>
          <w:i/>
          <w:sz w:val="18"/>
          <w:szCs w:val="18"/>
        </w:rPr>
        <w:t>. 1. 2015</w:t>
      </w:r>
    </w:p>
    <w:p w:rsidR="00AD6552" w:rsidRDefault="00AD6552" w:rsidP="00F4148F">
      <w:pPr>
        <w:jc w:val="both"/>
        <w:rPr>
          <w:b/>
          <w:sz w:val="22"/>
          <w:szCs w:val="22"/>
        </w:rPr>
      </w:pPr>
    </w:p>
    <w:p w:rsidR="00A75862" w:rsidRPr="002422B3" w:rsidRDefault="00A75862" w:rsidP="00F4148F">
      <w:pPr>
        <w:jc w:val="both"/>
        <w:rPr>
          <w:b/>
          <w:sz w:val="22"/>
          <w:szCs w:val="22"/>
        </w:rPr>
      </w:pPr>
      <w:r w:rsidRPr="00BD1C23">
        <w:rPr>
          <w:b/>
          <w:sz w:val="22"/>
          <w:szCs w:val="22"/>
        </w:rPr>
        <w:t>Naplňování horizontálních témat</w:t>
      </w:r>
    </w:p>
    <w:p w:rsidR="00DF5D9B" w:rsidRDefault="00DF5D9B" w:rsidP="00F4148F">
      <w:pPr>
        <w:jc w:val="both"/>
        <w:rPr>
          <w:sz w:val="22"/>
          <w:szCs w:val="22"/>
          <w:u w:val="single"/>
        </w:rPr>
      </w:pPr>
    </w:p>
    <w:p w:rsidR="00493D1C" w:rsidRDefault="00A75862" w:rsidP="00F4148F">
      <w:pPr>
        <w:jc w:val="both"/>
        <w:rPr>
          <w:sz w:val="22"/>
          <w:szCs w:val="22"/>
          <w:u w:val="single"/>
        </w:rPr>
      </w:pPr>
      <w:r w:rsidRPr="002422B3">
        <w:rPr>
          <w:sz w:val="22"/>
          <w:szCs w:val="22"/>
          <w:u w:val="single"/>
        </w:rPr>
        <w:t>Rovné příležitosti</w:t>
      </w:r>
    </w:p>
    <w:p w:rsidR="00AD6552" w:rsidRDefault="00AD6552" w:rsidP="00F4148F">
      <w:pPr>
        <w:jc w:val="both"/>
        <w:rPr>
          <w:sz w:val="22"/>
          <w:szCs w:val="22"/>
          <w:u w:val="single"/>
        </w:rPr>
      </w:pPr>
    </w:p>
    <w:p w:rsidR="00A75862" w:rsidRDefault="00A75862" w:rsidP="008263BA">
      <w:pPr>
        <w:pStyle w:val="Tabulkanzev"/>
      </w:pPr>
      <w:bookmarkStart w:id="230" w:name="_Toc416431862"/>
      <w:r w:rsidRPr="009026D3">
        <w:t>Rovné příležitosti</w:t>
      </w:r>
      <w:r w:rsidR="00C03216">
        <w:t xml:space="preserve"> v prioritní ose 5</w:t>
      </w:r>
      <w:bookmarkEnd w:id="230"/>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307F4" w:rsidTr="00C26E13">
        <w:trPr>
          <w:trHeight w:val="270"/>
        </w:trPr>
        <w:tc>
          <w:tcPr>
            <w:tcW w:w="5260" w:type="dxa"/>
            <w:shd w:val="clear" w:color="auto" w:fill="C2D69B" w:themeFill="accent3" w:themeFillTint="99"/>
            <w:vAlign w:val="center"/>
          </w:tcPr>
          <w:p w:rsidR="00A75862" w:rsidRPr="00C26E13" w:rsidRDefault="00A75862" w:rsidP="006307F4">
            <w:pPr>
              <w:jc w:val="center"/>
              <w:rPr>
                <w:b/>
                <w:bCs/>
                <w:sz w:val="18"/>
                <w:szCs w:val="18"/>
              </w:rPr>
            </w:pPr>
            <w:r w:rsidRPr="00C26E13">
              <w:rPr>
                <w:b/>
                <w:bCs/>
                <w:sz w:val="18"/>
                <w:szCs w:val="18"/>
              </w:rPr>
              <w:t>Sledování horizontálních témat</w:t>
            </w:r>
          </w:p>
        </w:tc>
        <w:tc>
          <w:tcPr>
            <w:tcW w:w="1920" w:type="dxa"/>
            <w:shd w:val="clear" w:color="auto" w:fill="C2D69B" w:themeFill="accent3" w:themeFillTint="99"/>
            <w:vAlign w:val="center"/>
          </w:tcPr>
          <w:p w:rsidR="00A75862" w:rsidRPr="00C26E13" w:rsidRDefault="00A75862" w:rsidP="006307F4">
            <w:pPr>
              <w:jc w:val="center"/>
              <w:rPr>
                <w:b/>
                <w:bCs/>
                <w:sz w:val="18"/>
                <w:szCs w:val="18"/>
              </w:rPr>
            </w:pPr>
            <w:r w:rsidRPr="00C26E13">
              <w:rPr>
                <w:b/>
                <w:bCs/>
                <w:sz w:val="18"/>
                <w:szCs w:val="18"/>
              </w:rPr>
              <w:t>Měrná jednotka</w:t>
            </w:r>
          </w:p>
        </w:tc>
        <w:tc>
          <w:tcPr>
            <w:tcW w:w="1860" w:type="dxa"/>
            <w:shd w:val="clear" w:color="auto" w:fill="C2D69B" w:themeFill="accent3" w:themeFillTint="99"/>
            <w:vAlign w:val="center"/>
          </w:tcPr>
          <w:p w:rsidR="00A75862" w:rsidRPr="00C26E13" w:rsidRDefault="00A75862" w:rsidP="006307F4">
            <w:pPr>
              <w:jc w:val="center"/>
              <w:rPr>
                <w:b/>
                <w:bCs/>
                <w:sz w:val="18"/>
                <w:szCs w:val="18"/>
              </w:rPr>
            </w:pPr>
            <w:r w:rsidRPr="00C26E13">
              <w:rPr>
                <w:b/>
                <w:bCs/>
                <w:sz w:val="18"/>
                <w:szCs w:val="18"/>
              </w:rPr>
              <w:t>Počet projektů</w:t>
            </w:r>
          </w:p>
        </w:tc>
      </w:tr>
      <w:tr w:rsidR="003B1FDB" w:rsidRPr="006307F4" w:rsidTr="00A717CD">
        <w:trPr>
          <w:trHeight w:val="255"/>
        </w:trPr>
        <w:tc>
          <w:tcPr>
            <w:tcW w:w="5260" w:type="dxa"/>
            <w:noWrap/>
            <w:vAlign w:val="center"/>
          </w:tcPr>
          <w:p w:rsidR="003B1FDB" w:rsidRPr="00C26E13" w:rsidRDefault="003B1FDB" w:rsidP="0039119F">
            <w:pPr>
              <w:rPr>
                <w:sz w:val="18"/>
                <w:szCs w:val="18"/>
              </w:rPr>
            </w:pPr>
            <w:r w:rsidRPr="00C26E13">
              <w:rPr>
                <w:iCs/>
                <w:sz w:val="18"/>
                <w:szCs w:val="18"/>
              </w:rPr>
              <w:t xml:space="preserve">Počet projektů </w:t>
            </w:r>
            <w:r w:rsidRPr="00C26E13">
              <w:rPr>
                <w:b/>
                <w:bCs/>
                <w:iCs/>
                <w:sz w:val="18"/>
                <w:szCs w:val="18"/>
              </w:rPr>
              <w:t>cíleně zaměřených na rovné příležitosti</w:t>
            </w:r>
          </w:p>
        </w:tc>
        <w:tc>
          <w:tcPr>
            <w:tcW w:w="1920" w:type="dxa"/>
            <w:noWrap/>
            <w:vAlign w:val="center"/>
          </w:tcPr>
          <w:p w:rsidR="003B1FDB" w:rsidRPr="00C26E13" w:rsidRDefault="003B1FDB" w:rsidP="00493D1C">
            <w:pPr>
              <w:jc w:val="center"/>
              <w:rPr>
                <w:sz w:val="18"/>
                <w:szCs w:val="18"/>
              </w:rPr>
            </w:pPr>
            <w:r w:rsidRPr="00C26E13">
              <w:rPr>
                <w:sz w:val="18"/>
                <w:szCs w:val="18"/>
              </w:rPr>
              <w:t>Počet projektů</w:t>
            </w:r>
          </w:p>
        </w:tc>
        <w:tc>
          <w:tcPr>
            <w:tcW w:w="1860" w:type="dxa"/>
            <w:noWrap/>
            <w:vAlign w:val="center"/>
          </w:tcPr>
          <w:p w:rsidR="003B1FDB" w:rsidRPr="00C26E13" w:rsidRDefault="00C26E13" w:rsidP="00493D1C">
            <w:pPr>
              <w:jc w:val="center"/>
              <w:rPr>
                <w:sz w:val="18"/>
                <w:szCs w:val="18"/>
              </w:rPr>
            </w:pPr>
            <w:r w:rsidRPr="00C26E13">
              <w:rPr>
                <w:sz w:val="18"/>
                <w:szCs w:val="18"/>
              </w:rPr>
              <w:t>6</w:t>
            </w:r>
          </w:p>
        </w:tc>
      </w:tr>
      <w:tr w:rsidR="003B1FDB" w:rsidRPr="006307F4" w:rsidTr="00A717CD">
        <w:trPr>
          <w:trHeight w:val="255"/>
        </w:trPr>
        <w:tc>
          <w:tcPr>
            <w:tcW w:w="5260" w:type="dxa"/>
            <w:noWrap/>
            <w:vAlign w:val="center"/>
          </w:tcPr>
          <w:p w:rsidR="003B1FDB" w:rsidRPr="00C26E13" w:rsidRDefault="003B1FDB" w:rsidP="0039119F">
            <w:pPr>
              <w:rPr>
                <w:sz w:val="18"/>
                <w:szCs w:val="18"/>
              </w:rPr>
            </w:pPr>
            <w:r w:rsidRPr="00C26E13">
              <w:rPr>
                <w:iCs/>
                <w:sz w:val="18"/>
                <w:szCs w:val="18"/>
              </w:rPr>
              <w:t>Počet projektů</w:t>
            </w:r>
            <w:r w:rsidRPr="00C26E13">
              <w:rPr>
                <w:b/>
                <w:bCs/>
                <w:iCs/>
                <w:sz w:val="18"/>
                <w:szCs w:val="18"/>
              </w:rPr>
              <w:t xml:space="preserve"> s pozitivním vlivem na rovné příležitosti</w:t>
            </w:r>
          </w:p>
        </w:tc>
        <w:tc>
          <w:tcPr>
            <w:tcW w:w="1920" w:type="dxa"/>
            <w:noWrap/>
            <w:vAlign w:val="center"/>
          </w:tcPr>
          <w:p w:rsidR="003B1FDB" w:rsidRPr="00C26E13" w:rsidRDefault="003B1FDB" w:rsidP="00493D1C">
            <w:pPr>
              <w:jc w:val="center"/>
              <w:rPr>
                <w:sz w:val="18"/>
                <w:szCs w:val="18"/>
              </w:rPr>
            </w:pPr>
            <w:r w:rsidRPr="00C26E13">
              <w:rPr>
                <w:sz w:val="18"/>
                <w:szCs w:val="18"/>
              </w:rPr>
              <w:t>Počet projektů</w:t>
            </w:r>
          </w:p>
        </w:tc>
        <w:tc>
          <w:tcPr>
            <w:tcW w:w="1860" w:type="dxa"/>
            <w:noWrap/>
            <w:vAlign w:val="center"/>
          </w:tcPr>
          <w:p w:rsidR="003B1FDB" w:rsidRPr="00C26E13" w:rsidRDefault="00C26E13" w:rsidP="00493D1C">
            <w:pPr>
              <w:jc w:val="center"/>
              <w:rPr>
                <w:sz w:val="18"/>
                <w:szCs w:val="18"/>
              </w:rPr>
            </w:pPr>
            <w:r w:rsidRPr="00C26E13">
              <w:rPr>
                <w:sz w:val="18"/>
                <w:szCs w:val="18"/>
              </w:rPr>
              <w:t>686</w:t>
            </w:r>
          </w:p>
        </w:tc>
      </w:tr>
      <w:tr w:rsidR="003B1FDB" w:rsidRPr="006307F4" w:rsidTr="00A717CD">
        <w:trPr>
          <w:trHeight w:val="270"/>
        </w:trPr>
        <w:tc>
          <w:tcPr>
            <w:tcW w:w="5260" w:type="dxa"/>
            <w:noWrap/>
            <w:vAlign w:val="center"/>
          </w:tcPr>
          <w:p w:rsidR="003B1FDB" w:rsidRPr="00C26E13" w:rsidRDefault="003B1FDB" w:rsidP="0039119F">
            <w:pPr>
              <w:rPr>
                <w:sz w:val="18"/>
                <w:szCs w:val="18"/>
              </w:rPr>
            </w:pPr>
            <w:r w:rsidRPr="00C26E13">
              <w:rPr>
                <w:iCs/>
                <w:sz w:val="18"/>
                <w:szCs w:val="18"/>
              </w:rPr>
              <w:t xml:space="preserve">Počet projektů </w:t>
            </w:r>
            <w:r w:rsidRPr="00C26E13">
              <w:rPr>
                <w:b/>
                <w:bCs/>
                <w:iCs/>
                <w:sz w:val="18"/>
                <w:szCs w:val="18"/>
              </w:rPr>
              <w:t>s neutrálním vlivem na rovné příležitosti</w:t>
            </w:r>
          </w:p>
        </w:tc>
        <w:tc>
          <w:tcPr>
            <w:tcW w:w="1920" w:type="dxa"/>
            <w:noWrap/>
            <w:vAlign w:val="center"/>
          </w:tcPr>
          <w:p w:rsidR="003B1FDB" w:rsidRPr="00C26E13" w:rsidRDefault="003B1FDB" w:rsidP="00493D1C">
            <w:pPr>
              <w:jc w:val="center"/>
              <w:rPr>
                <w:sz w:val="18"/>
                <w:szCs w:val="18"/>
              </w:rPr>
            </w:pPr>
            <w:r w:rsidRPr="00C26E13">
              <w:rPr>
                <w:sz w:val="18"/>
                <w:szCs w:val="18"/>
              </w:rPr>
              <w:t>Počet projektů</w:t>
            </w:r>
          </w:p>
        </w:tc>
        <w:tc>
          <w:tcPr>
            <w:tcW w:w="1860" w:type="dxa"/>
            <w:noWrap/>
            <w:vAlign w:val="center"/>
          </w:tcPr>
          <w:p w:rsidR="003B1FDB" w:rsidRPr="00C26E13" w:rsidRDefault="00C26E13" w:rsidP="00493D1C">
            <w:pPr>
              <w:jc w:val="center"/>
              <w:rPr>
                <w:sz w:val="18"/>
                <w:szCs w:val="18"/>
              </w:rPr>
            </w:pPr>
            <w:r w:rsidRPr="00C26E13">
              <w:rPr>
                <w:sz w:val="18"/>
                <w:szCs w:val="18"/>
              </w:rPr>
              <w:t>1310</w:t>
            </w:r>
          </w:p>
        </w:tc>
      </w:tr>
    </w:tbl>
    <w:p w:rsidR="00A75862" w:rsidRDefault="00A75862" w:rsidP="00FA700E">
      <w:pPr>
        <w:spacing w:after="120"/>
        <w:jc w:val="both"/>
        <w:rPr>
          <w:i/>
          <w:sz w:val="18"/>
          <w:szCs w:val="18"/>
        </w:rPr>
      </w:pPr>
      <w:r w:rsidRPr="00C02CF8">
        <w:rPr>
          <w:i/>
          <w:sz w:val="18"/>
          <w:szCs w:val="18"/>
        </w:rPr>
        <w:t>Zdroj:</w:t>
      </w:r>
      <w:r w:rsidR="007D279A">
        <w:rPr>
          <w:i/>
          <w:sz w:val="18"/>
          <w:szCs w:val="18"/>
        </w:rPr>
        <w:t xml:space="preserve"> </w:t>
      </w:r>
      <w:r w:rsidRPr="00C02CF8">
        <w:rPr>
          <w:i/>
          <w:sz w:val="18"/>
          <w:szCs w:val="18"/>
        </w:rPr>
        <w:t>IS Monit7+ k </w:t>
      </w:r>
      <w:r w:rsidR="00AE4209">
        <w:rPr>
          <w:i/>
          <w:sz w:val="18"/>
          <w:szCs w:val="18"/>
        </w:rPr>
        <w:t>2</w:t>
      </w:r>
      <w:r w:rsidR="00AE4209" w:rsidRPr="00C02CF8">
        <w:rPr>
          <w:i/>
          <w:sz w:val="18"/>
          <w:szCs w:val="18"/>
        </w:rPr>
        <w:t>. 1. 2015</w:t>
      </w:r>
    </w:p>
    <w:p w:rsidR="00A75862" w:rsidRDefault="00A75862" w:rsidP="00FC0515">
      <w:pPr>
        <w:jc w:val="both"/>
        <w:rPr>
          <w:sz w:val="22"/>
          <w:szCs w:val="22"/>
        </w:rPr>
      </w:pPr>
      <w:r w:rsidRPr="00796401">
        <w:rPr>
          <w:sz w:val="22"/>
          <w:szCs w:val="22"/>
        </w:rPr>
        <w:lastRenderedPageBreak/>
        <w:t>Nejčastěji byly do konce roku 201</w:t>
      </w:r>
      <w:r w:rsidR="00796401" w:rsidRPr="00796401">
        <w:rPr>
          <w:sz w:val="22"/>
          <w:szCs w:val="22"/>
        </w:rPr>
        <w:t>4</w:t>
      </w:r>
      <w:r w:rsidRPr="00796401">
        <w:rPr>
          <w:sz w:val="22"/>
          <w:szCs w:val="22"/>
        </w:rPr>
        <w:t xml:space="preserve"> v prioritní ose 5 schváleny </w:t>
      </w:r>
      <w:r w:rsidR="00554B9A" w:rsidRPr="00796401">
        <w:rPr>
          <w:sz w:val="22"/>
          <w:szCs w:val="22"/>
        </w:rPr>
        <w:t xml:space="preserve">projekty </w:t>
      </w:r>
      <w:r w:rsidRPr="00796401">
        <w:rPr>
          <w:sz w:val="22"/>
          <w:szCs w:val="22"/>
        </w:rPr>
        <w:t xml:space="preserve">s neutrálním vlivem na rovné příležitosti (celkem 1 </w:t>
      </w:r>
      <w:r w:rsidR="006440C5" w:rsidRPr="00796401">
        <w:rPr>
          <w:sz w:val="22"/>
          <w:szCs w:val="22"/>
        </w:rPr>
        <w:t>3</w:t>
      </w:r>
      <w:r w:rsidR="00796401" w:rsidRPr="00796401">
        <w:rPr>
          <w:sz w:val="22"/>
          <w:szCs w:val="22"/>
        </w:rPr>
        <w:t>10</w:t>
      </w:r>
      <w:r w:rsidRPr="00796401">
        <w:rPr>
          <w:sz w:val="22"/>
          <w:szCs w:val="22"/>
        </w:rPr>
        <w:t xml:space="preserve">), dalších </w:t>
      </w:r>
      <w:r w:rsidR="00796401" w:rsidRPr="00796401">
        <w:rPr>
          <w:sz w:val="22"/>
          <w:szCs w:val="22"/>
        </w:rPr>
        <w:t>68</w:t>
      </w:r>
      <w:r w:rsidR="006440C5" w:rsidRPr="00796401">
        <w:rPr>
          <w:sz w:val="22"/>
          <w:szCs w:val="22"/>
        </w:rPr>
        <w:t>6</w:t>
      </w:r>
      <w:r w:rsidR="00FE79BB" w:rsidRPr="00796401">
        <w:rPr>
          <w:sz w:val="22"/>
          <w:szCs w:val="22"/>
        </w:rPr>
        <w:t xml:space="preserve"> </w:t>
      </w:r>
      <w:r w:rsidR="00796401" w:rsidRPr="00796401">
        <w:rPr>
          <w:sz w:val="22"/>
          <w:szCs w:val="22"/>
        </w:rPr>
        <w:t>projektů má pozitivní vliv a 6</w:t>
      </w:r>
      <w:r w:rsidRPr="00796401">
        <w:rPr>
          <w:sz w:val="22"/>
          <w:szCs w:val="22"/>
        </w:rPr>
        <w:t xml:space="preserve"> projektů se cíleně zaměřuje na rovné příležitosti.</w:t>
      </w:r>
      <w:r>
        <w:rPr>
          <w:sz w:val="22"/>
          <w:szCs w:val="22"/>
        </w:rPr>
        <w:t xml:space="preserve"> </w:t>
      </w:r>
    </w:p>
    <w:p w:rsidR="00AE4209" w:rsidRDefault="00AE4209" w:rsidP="00FC0515">
      <w:pPr>
        <w:jc w:val="both"/>
        <w:rPr>
          <w:sz w:val="22"/>
          <w:szCs w:val="22"/>
        </w:rPr>
      </w:pPr>
    </w:p>
    <w:p w:rsidR="00A75862" w:rsidRDefault="00A75862" w:rsidP="00F4148F">
      <w:pPr>
        <w:rPr>
          <w:sz w:val="22"/>
          <w:szCs w:val="22"/>
          <w:u w:val="single"/>
        </w:rPr>
      </w:pPr>
      <w:r w:rsidRPr="002422B3">
        <w:rPr>
          <w:sz w:val="22"/>
          <w:szCs w:val="22"/>
          <w:u w:val="single"/>
        </w:rPr>
        <w:t>Udržitelný rozvoj</w:t>
      </w:r>
    </w:p>
    <w:p w:rsidR="00A75862" w:rsidRDefault="00A75862" w:rsidP="00FC0515">
      <w:pPr>
        <w:jc w:val="both"/>
        <w:rPr>
          <w:sz w:val="22"/>
          <w:szCs w:val="22"/>
        </w:rPr>
      </w:pPr>
      <w:r w:rsidRPr="00944A7F">
        <w:rPr>
          <w:sz w:val="22"/>
          <w:szCs w:val="22"/>
        </w:rPr>
        <w:t>Projekty schválené do konce roku 201</w:t>
      </w:r>
      <w:r w:rsidR="003415A1" w:rsidRPr="00944A7F">
        <w:rPr>
          <w:sz w:val="22"/>
          <w:szCs w:val="22"/>
        </w:rPr>
        <w:t>4</w:t>
      </w:r>
      <w:r w:rsidRPr="00944A7F">
        <w:rPr>
          <w:sz w:val="22"/>
          <w:szCs w:val="22"/>
        </w:rPr>
        <w:t xml:space="preserve"> jsou nejčastěji ekologicky neutrální (1 </w:t>
      </w:r>
      <w:r w:rsidR="006440C5" w:rsidRPr="00944A7F">
        <w:rPr>
          <w:sz w:val="22"/>
          <w:szCs w:val="22"/>
        </w:rPr>
        <w:t>0</w:t>
      </w:r>
      <w:r w:rsidR="003415A1" w:rsidRPr="00944A7F">
        <w:rPr>
          <w:sz w:val="22"/>
          <w:szCs w:val="22"/>
        </w:rPr>
        <w:t>85</w:t>
      </w:r>
      <w:r w:rsidRPr="00944A7F">
        <w:rPr>
          <w:sz w:val="22"/>
          <w:szCs w:val="22"/>
        </w:rPr>
        <w:t>) nebo mají pozitivní dopad na životní prostředí (8</w:t>
      </w:r>
      <w:r w:rsidR="003415A1" w:rsidRPr="00944A7F">
        <w:rPr>
          <w:sz w:val="22"/>
          <w:szCs w:val="22"/>
        </w:rPr>
        <w:t>26</w:t>
      </w:r>
      <w:r w:rsidRPr="00944A7F">
        <w:rPr>
          <w:sz w:val="22"/>
          <w:szCs w:val="22"/>
        </w:rPr>
        <w:t>) či vyžadují posouzení vlivu na životní prostředí (</w:t>
      </w:r>
      <w:r w:rsidR="003415A1" w:rsidRPr="00944A7F">
        <w:rPr>
          <w:sz w:val="22"/>
          <w:szCs w:val="22"/>
        </w:rPr>
        <w:t>200</w:t>
      </w:r>
      <w:r w:rsidRPr="00944A7F">
        <w:rPr>
          <w:sz w:val="22"/>
          <w:szCs w:val="22"/>
        </w:rPr>
        <w:t xml:space="preserve">). </w:t>
      </w:r>
      <w:r w:rsidR="00FF0A4B" w:rsidRPr="00944A7F">
        <w:rPr>
          <w:sz w:val="22"/>
          <w:szCs w:val="22"/>
        </w:rPr>
        <w:br/>
      </w:r>
      <w:r w:rsidRPr="00944A7F">
        <w:rPr>
          <w:sz w:val="22"/>
          <w:szCs w:val="22"/>
        </w:rPr>
        <w:t>1</w:t>
      </w:r>
      <w:r w:rsidR="006440C5" w:rsidRPr="00944A7F">
        <w:rPr>
          <w:sz w:val="22"/>
          <w:szCs w:val="22"/>
        </w:rPr>
        <w:t>4</w:t>
      </w:r>
      <w:r w:rsidR="003415A1" w:rsidRPr="00944A7F">
        <w:rPr>
          <w:sz w:val="22"/>
          <w:szCs w:val="22"/>
        </w:rPr>
        <w:t>6</w:t>
      </w:r>
      <w:r w:rsidRPr="00944A7F">
        <w:rPr>
          <w:sz w:val="22"/>
          <w:szCs w:val="22"/>
        </w:rPr>
        <w:t xml:space="preserve"> projekt</w:t>
      </w:r>
      <w:r w:rsidR="00FE79BB" w:rsidRPr="00944A7F">
        <w:rPr>
          <w:sz w:val="22"/>
          <w:szCs w:val="22"/>
        </w:rPr>
        <w:t>ů</w:t>
      </w:r>
      <w:r w:rsidRPr="00944A7F">
        <w:rPr>
          <w:sz w:val="22"/>
          <w:szCs w:val="22"/>
        </w:rPr>
        <w:t xml:space="preserve"> má zlepšit ovzduší, </w:t>
      </w:r>
      <w:r w:rsidR="00944A7F" w:rsidRPr="00944A7F">
        <w:rPr>
          <w:sz w:val="22"/>
          <w:szCs w:val="22"/>
        </w:rPr>
        <w:t xml:space="preserve">37 </w:t>
      </w:r>
      <w:r w:rsidRPr="00944A7F">
        <w:rPr>
          <w:sz w:val="22"/>
          <w:szCs w:val="22"/>
        </w:rPr>
        <w:t xml:space="preserve">projektů zlepší informovanost obyvatel o ochraně životního prostředí, </w:t>
      </w:r>
      <w:r w:rsidR="006440C5" w:rsidRPr="00944A7F">
        <w:rPr>
          <w:sz w:val="22"/>
          <w:szCs w:val="22"/>
        </w:rPr>
        <w:t>2</w:t>
      </w:r>
      <w:r w:rsidR="00944A7F" w:rsidRPr="00944A7F">
        <w:rPr>
          <w:sz w:val="22"/>
          <w:szCs w:val="22"/>
        </w:rPr>
        <w:t>9</w:t>
      </w:r>
      <w:r w:rsidRPr="00944A7F">
        <w:rPr>
          <w:sz w:val="22"/>
          <w:szCs w:val="22"/>
        </w:rPr>
        <w:t xml:space="preserve"> projektů zvýší rozlohy sídelní vegetace, 1</w:t>
      </w:r>
      <w:r w:rsidR="006440C5" w:rsidRPr="00944A7F">
        <w:rPr>
          <w:sz w:val="22"/>
          <w:szCs w:val="22"/>
        </w:rPr>
        <w:t>4</w:t>
      </w:r>
      <w:r w:rsidRPr="00944A7F">
        <w:rPr>
          <w:sz w:val="22"/>
          <w:szCs w:val="22"/>
        </w:rPr>
        <w:t xml:space="preserve"> projektů využije alternativní zdroje </w:t>
      </w:r>
      <w:r w:rsidR="007962DA" w:rsidRPr="00944A7F">
        <w:rPr>
          <w:sz w:val="22"/>
          <w:szCs w:val="22"/>
        </w:rPr>
        <w:br/>
      </w:r>
      <w:r w:rsidRPr="00944A7F">
        <w:rPr>
          <w:sz w:val="22"/>
          <w:szCs w:val="22"/>
        </w:rPr>
        <w:t xml:space="preserve">a </w:t>
      </w:r>
      <w:r w:rsidR="006440C5" w:rsidRPr="00944A7F">
        <w:rPr>
          <w:sz w:val="22"/>
          <w:szCs w:val="22"/>
        </w:rPr>
        <w:t>8</w:t>
      </w:r>
      <w:r w:rsidRPr="00944A7F">
        <w:rPr>
          <w:sz w:val="22"/>
          <w:szCs w:val="22"/>
        </w:rPr>
        <w:t xml:space="preserve"> projektů zlepší kvalitu vod, </w:t>
      </w:r>
      <w:r w:rsidR="00260761" w:rsidRPr="00944A7F">
        <w:rPr>
          <w:sz w:val="22"/>
          <w:szCs w:val="22"/>
        </w:rPr>
        <w:t>8</w:t>
      </w:r>
      <w:r w:rsidRPr="00944A7F">
        <w:rPr>
          <w:sz w:val="22"/>
          <w:szCs w:val="22"/>
        </w:rPr>
        <w:t xml:space="preserve"> projektů je soustředěno hlavně na životní prostředí.</w:t>
      </w:r>
    </w:p>
    <w:p w:rsidR="005656F9" w:rsidRPr="005F7868" w:rsidRDefault="005656F9" w:rsidP="005F7868">
      <w:pPr>
        <w:pStyle w:val="tabulka"/>
        <w:ind w:left="426"/>
      </w:pPr>
    </w:p>
    <w:p w:rsidR="00A75862" w:rsidRPr="00F95266" w:rsidRDefault="00A75862" w:rsidP="008263BA">
      <w:pPr>
        <w:pStyle w:val="Tabulkanzev"/>
      </w:pPr>
      <w:bookmarkStart w:id="231" w:name="_Toc416431863"/>
      <w:r w:rsidRPr="005656F9">
        <w:t>Udržitelný rozvoj</w:t>
      </w:r>
      <w:r w:rsidR="003B00F6">
        <w:t xml:space="preserve"> v prioritní ose 5</w:t>
      </w:r>
      <w:bookmarkEnd w:id="231"/>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307F4" w:rsidTr="000C46E8">
        <w:trPr>
          <w:trHeight w:val="270"/>
        </w:trPr>
        <w:tc>
          <w:tcPr>
            <w:tcW w:w="5260" w:type="dxa"/>
            <w:shd w:val="clear" w:color="auto" w:fill="C2D69B" w:themeFill="accent3" w:themeFillTint="99"/>
            <w:vAlign w:val="center"/>
          </w:tcPr>
          <w:p w:rsidR="00A75862" w:rsidRPr="000C46E8" w:rsidRDefault="00A75862" w:rsidP="006307F4">
            <w:pPr>
              <w:jc w:val="center"/>
              <w:rPr>
                <w:b/>
                <w:bCs/>
                <w:sz w:val="18"/>
                <w:szCs w:val="18"/>
              </w:rPr>
            </w:pPr>
            <w:r w:rsidRPr="000C46E8">
              <w:rPr>
                <w:b/>
                <w:bCs/>
                <w:sz w:val="18"/>
                <w:szCs w:val="18"/>
              </w:rPr>
              <w:t>Sledování horizontálních témat</w:t>
            </w:r>
          </w:p>
        </w:tc>
        <w:tc>
          <w:tcPr>
            <w:tcW w:w="1920" w:type="dxa"/>
            <w:shd w:val="clear" w:color="auto" w:fill="C2D69B" w:themeFill="accent3" w:themeFillTint="99"/>
            <w:vAlign w:val="center"/>
          </w:tcPr>
          <w:p w:rsidR="00A75862" w:rsidRPr="000C46E8" w:rsidRDefault="00A75862" w:rsidP="006307F4">
            <w:pPr>
              <w:jc w:val="center"/>
              <w:rPr>
                <w:b/>
                <w:bCs/>
                <w:sz w:val="18"/>
                <w:szCs w:val="18"/>
              </w:rPr>
            </w:pPr>
            <w:r w:rsidRPr="000C46E8">
              <w:rPr>
                <w:b/>
                <w:bCs/>
                <w:sz w:val="18"/>
                <w:szCs w:val="18"/>
              </w:rPr>
              <w:t>Měrná jednotka</w:t>
            </w:r>
          </w:p>
        </w:tc>
        <w:tc>
          <w:tcPr>
            <w:tcW w:w="1860" w:type="dxa"/>
            <w:shd w:val="clear" w:color="auto" w:fill="C2D69B" w:themeFill="accent3" w:themeFillTint="99"/>
            <w:vAlign w:val="center"/>
          </w:tcPr>
          <w:p w:rsidR="00A75862" w:rsidRPr="000C46E8" w:rsidRDefault="00A75862" w:rsidP="006307F4">
            <w:pPr>
              <w:jc w:val="center"/>
              <w:rPr>
                <w:b/>
                <w:bCs/>
                <w:sz w:val="18"/>
                <w:szCs w:val="18"/>
              </w:rPr>
            </w:pPr>
            <w:r w:rsidRPr="000C46E8">
              <w:rPr>
                <w:b/>
                <w:bCs/>
                <w:sz w:val="18"/>
                <w:szCs w:val="18"/>
              </w:rPr>
              <w:t>Počet projektů</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Projekt je soustředěn hlavně</w:t>
            </w:r>
            <w:r w:rsidRPr="000C46E8">
              <w:rPr>
                <w:b/>
                <w:sz w:val="18"/>
                <w:szCs w:val="18"/>
              </w:rPr>
              <w:t xml:space="preserve"> na životní prostředí</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3B1FDB" w:rsidP="00493D1C">
            <w:pPr>
              <w:jc w:val="center"/>
              <w:rPr>
                <w:sz w:val="18"/>
                <w:szCs w:val="18"/>
              </w:rPr>
            </w:pPr>
            <w:r w:rsidRPr="000C46E8">
              <w:rPr>
                <w:sz w:val="18"/>
                <w:szCs w:val="18"/>
              </w:rPr>
              <w:t>8</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 xml:space="preserve">Projekt </w:t>
            </w:r>
            <w:r w:rsidRPr="000C46E8">
              <w:rPr>
                <w:b/>
                <w:sz w:val="18"/>
                <w:szCs w:val="18"/>
              </w:rPr>
              <w:t xml:space="preserve">má pozitivní dopad </w:t>
            </w:r>
            <w:r w:rsidRPr="000C46E8">
              <w:rPr>
                <w:sz w:val="18"/>
                <w:szCs w:val="18"/>
              </w:rPr>
              <w:t>na životní prostředí</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826</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 xml:space="preserve">Projekt je ekologicky </w:t>
            </w:r>
            <w:r w:rsidRPr="000C46E8">
              <w:rPr>
                <w:b/>
                <w:sz w:val="18"/>
                <w:szCs w:val="18"/>
              </w:rPr>
              <w:t>neutrální</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1085</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 xml:space="preserve">Projekt vyžaduje </w:t>
            </w:r>
            <w:r w:rsidRPr="000C46E8">
              <w:rPr>
                <w:b/>
                <w:sz w:val="18"/>
                <w:szCs w:val="18"/>
              </w:rPr>
              <w:t>posouzení vlivu na životní prostředí</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200</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 xml:space="preserve">Projekt přispěje </w:t>
            </w:r>
            <w:r w:rsidRPr="000C46E8">
              <w:rPr>
                <w:b/>
                <w:sz w:val="18"/>
                <w:szCs w:val="18"/>
              </w:rPr>
              <w:t>ke zlepšení ovzduší</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146</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 xml:space="preserve">Projekt přispěje </w:t>
            </w:r>
            <w:r w:rsidRPr="000C46E8">
              <w:rPr>
                <w:b/>
                <w:sz w:val="18"/>
                <w:szCs w:val="18"/>
              </w:rPr>
              <w:t>ke zlepšení kvality vod</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8</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 xml:space="preserve">Projekt využije </w:t>
            </w:r>
            <w:r w:rsidRPr="000C46E8">
              <w:rPr>
                <w:b/>
                <w:sz w:val="18"/>
                <w:szCs w:val="18"/>
              </w:rPr>
              <w:t>alternativní zdroje</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14</w:t>
            </w:r>
          </w:p>
        </w:tc>
      </w:tr>
      <w:tr w:rsidR="003B1FDB" w:rsidRPr="006307F4" w:rsidTr="00642923">
        <w:trPr>
          <w:trHeight w:val="255"/>
        </w:trPr>
        <w:tc>
          <w:tcPr>
            <w:tcW w:w="5260" w:type="dxa"/>
            <w:noWrap/>
            <w:vAlign w:val="center"/>
          </w:tcPr>
          <w:p w:rsidR="003B1FDB" w:rsidRPr="000C46E8" w:rsidRDefault="003B1FDB" w:rsidP="00AD6552">
            <w:pPr>
              <w:rPr>
                <w:sz w:val="18"/>
                <w:szCs w:val="18"/>
              </w:rPr>
            </w:pPr>
            <w:r w:rsidRPr="000C46E8">
              <w:rPr>
                <w:sz w:val="18"/>
                <w:szCs w:val="18"/>
              </w:rPr>
              <w:t xml:space="preserve">Projekt zajistí </w:t>
            </w:r>
            <w:r w:rsidRPr="000C46E8">
              <w:rPr>
                <w:b/>
                <w:sz w:val="18"/>
                <w:szCs w:val="18"/>
              </w:rPr>
              <w:t>zvýšení rozlohy sídelní vegetace</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29</w:t>
            </w:r>
          </w:p>
        </w:tc>
      </w:tr>
      <w:tr w:rsidR="003B1FDB" w:rsidRPr="006307F4" w:rsidTr="00642923">
        <w:trPr>
          <w:trHeight w:val="270"/>
        </w:trPr>
        <w:tc>
          <w:tcPr>
            <w:tcW w:w="5260" w:type="dxa"/>
            <w:noWrap/>
            <w:vAlign w:val="center"/>
          </w:tcPr>
          <w:p w:rsidR="003B1FDB" w:rsidRPr="000C46E8" w:rsidRDefault="003B1FDB" w:rsidP="00AD6552">
            <w:pPr>
              <w:rPr>
                <w:sz w:val="18"/>
                <w:szCs w:val="18"/>
              </w:rPr>
            </w:pPr>
            <w:r w:rsidRPr="000C46E8">
              <w:rPr>
                <w:sz w:val="18"/>
                <w:szCs w:val="18"/>
              </w:rPr>
              <w:t xml:space="preserve">Projekt zlepší </w:t>
            </w:r>
            <w:r w:rsidRPr="000C46E8">
              <w:rPr>
                <w:b/>
                <w:sz w:val="18"/>
                <w:szCs w:val="18"/>
              </w:rPr>
              <w:t>informovanost obyvatel o ochraně životního prostředí</w:t>
            </w:r>
          </w:p>
        </w:tc>
        <w:tc>
          <w:tcPr>
            <w:tcW w:w="1920" w:type="dxa"/>
            <w:noWrap/>
            <w:vAlign w:val="center"/>
          </w:tcPr>
          <w:p w:rsidR="003B1FDB" w:rsidRPr="000C46E8" w:rsidRDefault="003B1FDB" w:rsidP="00493D1C">
            <w:pPr>
              <w:jc w:val="center"/>
              <w:rPr>
                <w:sz w:val="18"/>
                <w:szCs w:val="18"/>
              </w:rPr>
            </w:pPr>
            <w:r w:rsidRPr="000C46E8">
              <w:rPr>
                <w:sz w:val="18"/>
                <w:szCs w:val="18"/>
              </w:rPr>
              <w:t>Počet projektů</w:t>
            </w:r>
          </w:p>
        </w:tc>
        <w:tc>
          <w:tcPr>
            <w:tcW w:w="1860" w:type="dxa"/>
            <w:noWrap/>
            <w:vAlign w:val="center"/>
          </w:tcPr>
          <w:p w:rsidR="003B1FDB" w:rsidRPr="000C46E8" w:rsidRDefault="000C46E8" w:rsidP="00493D1C">
            <w:pPr>
              <w:jc w:val="center"/>
              <w:rPr>
                <w:sz w:val="18"/>
                <w:szCs w:val="18"/>
              </w:rPr>
            </w:pPr>
            <w:r w:rsidRPr="000C46E8">
              <w:rPr>
                <w:sz w:val="18"/>
                <w:szCs w:val="18"/>
              </w:rPr>
              <w:t>37</w:t>
            </w:r>
          </w:p>
        </w:tc>
      </w:tr>
    </w:tbl>
    <w:p w:rsidR="0039119F" w:rsidRDefault="00A75862" w:rsidP="00FF0777">
      <w:pPr>
        <w:spacing w:after="120"/>
        <w:jc w:val="both"/>
        <w:rPr>
          <w:i/>
          <w:sz w:val="18"/>
          <w:szCs w:val="18"/>
        </w:rPr>
      </w:pPr>
      <w:r w:rsidRPr="00C02CF8">
        <w:rPr>
          <w:i/>
          <w:sz w:val="18"/>
          <w:szCs w:val="18"/>
        </w:rPr>
        <w:t>Zdroj:</w:t>
      </w:r>
      <w:r w:rsidR="002A5526">
        <w:rPr>
          <w:i/>
          <w:sz w:val="18"/>
          <w:szCs w:val="18"/>
        </w:rPr>
        <w:t xml:space="preserve"> </w:t>
      </w:r>
      <w:r w:rsidRPr="00C02CF8">
        <w:rPr>
          <w:i/>
          <w:sz w:val="18"/>
          <w:szCs w:val="18"/>
        </w:rPr>
        <w:t>IS Monit7+ k </w:t>
      </w:r>
      <w:r w:rsidR="00AE4209">
        <w:rPr>
          <w:i/>
          <w:sz w:val="18"/>
          <w:szCs w:val="18"/>
        </w:rPr>
        <w:t>2</w:t>
      </w:r>
      <w:r w:rsidR="00AE4209" w:rsidRPr="00C02CF8">
        <w:rPr>
          <w:i/>
          <w:sz w:val="18"/>
          <w:szCs w:val="18"/>
        </w:rPr>
        <w:t>. 1. 2015</w:t>
      </w:r>
      <w:bookmarkStart w:id="232" w:name="_Toc351629201"/>
      <w:bookmarkStart w:id="233" w:name="_Toc382407714"/>
      <w:bookmarkStart w:id="234" w:name="_Toc383084716"/>
    </w:p>
    <w:p w:rsidR="00FF0777" w:rsidRPr="00FF0777" w:rsidRDefault="00FF0777" w:rsidP="00FF0777">
      <w:pPr>
        <w:spacing w:after="120"/>
        <w:jc w:val="both"/>
        <w:rPr>
          <w:i/>
          <w:sz w:val="18"/>
          <w:szCs w:val="18"/>
        </w:rPr>
      </w:pPr>
    </w:p>
    <w:p w:rsidR="00B21AF8" w:rsidRPr="009026D3" w:rsidRDefault="00D07ED9" w:rsidP="000F2A6C">
      <w:pPr>
        <w:pStyle w:val="Nadpis3"/>
      </w:pPr>
      <w:bookmarkStart w:id="235" w:name="_Toc417024887"/>
      <w:r>
        <w:t>3</w:t>
      </w:r>
      <w:r w:rsidR="00B21AF8" w:rsidRPr="009026D3">
        <w:t>.5.2 Závažné problémy, které se objevily, a přijatá opatření k jejich odstranění</w:t>
      </w:r>
      <w:bookmarkEnd w:id="232"/>
      <w:bookmarkEnd w:id="233"/>
      <w:bookmarkEnd w:id="234"/>
      <w:bookmarkEnd w:id="235"/>
    </w:p>
    <w:p w:rsidR="00962A02" w:rsidRDefault="00962A02" w:rsidP="006A3D1F">
      <w:pPr>
        <w:rPr>
          <w:b/>
          <w:sz w:val="22"/>
          <w:szCs w:val="22"/>
        </w:rPr>
      </w:pPr>
    </w:p>
    <w:p w:rsidR="00A75862" w:rsidRPr="008C4750" w:rsidRDefault="00A75862" w:rsidP="006A3D1F">
      <w:pPr>
        <w:rPr>
          <w:b/>
          <w:sz w:val="22"/>
          <w:szCs w:val="22"/>
        </w:rPr>
      </w:pPr>
      <w:r w:rsidRPr="008C4750">
        <w:rPr>
          <w:b/>
          <w:sz w:val="22"/>
          <w:szCs w:val="22"/>
        </w:rPr>
        <w:t>Oblast intervence 5.1</w:t>
      </w:r>
    </w:p>
    <w:p w:rsidR="00A75862" w:rsidRDefault="00A75862" w:rsidP="006A3D1F"/>
    <w:p w:rsidR="00720264" w:rsidRPr="00720264" w:rsidRDefault="00720264" w:rsidP="00875E00">
      <w:pPr>
        <w:jc w:val="both"/>
        <w:rPr>
          <w:b/>
          <w:sz w:val="22"/>
          <w:szCs w:val="22"/>
        </w:rPr>
      </w:pPr>
      <w:r w:rsidRPr="00720264">
        <w:rPr>
          <w:b/>
          <w:sz w:val="22"/>
          <w:szCs w:val="22"/>
        </w:rPr>
        <w:t>Riziko nedokončení projektů 3. výzvy MK</w:t>
      </w:r>
    </w:p>
    <w:p w:rsidR="00720264" w:rsidRPr="00720264" w:rsidRDefault="00720264" w:rsidP="00875E00">
      <w:pPr>
        <w:jc w:val="both"/>
        <w:rPr>
          <w:sz w:val="22"/>
          <w:szCs w:val="22"/>
        </w:rPr>
      </w:pPr>
      <w:r w:rsidRPr="00720264">
        <w:rPr>
          <w:sz w:val="22"/>
          <w:szCs w:val="22"/>
        </w:rPr>
        <w:t xml:space="preserve">Projekty 3. výzvy MK měly termín ukončení ve výzvě stanoven do </w:t>
      </w:r>
      <w:r w:rsidR="006E1038" w:rsidRPr="00720264">
        <w:rPr>
          <w:sz w:val="22"/>
          <w:szCs w:val="22"/>
        </w:rPr>
        <w:t>31. 12. 2014</w:t>
      </w:r>
      <w:r w:rsidRPr="00720264">
        <w:rPr>
          <w:sz w:val="22"/>
          <w:szCs w:val="22"/>
        </w:rPr>
        <w:t xml:space="preserve">. Jednalo se </w:t>
      </w:r>
      <w:r>
        <w:rPr>
          <w:sz w:val="22"/>
          <w:szCs w:val="22"/>
        </w:rPr>
        <w:br/>
      </w:r>
      <w:r w:rsidRPr="00720264">
        <w:rPr>
          <w:sz w:val="22"/>
          <w:szCs w:val="22"/>
        </w:rPr>
        <w:t xml:space="preserve">o 3 projekty se zpoždění v realizaci, způsobené více vlivy – insolvence dodavatele stavebních prací, prodlevy na ÚOHS či u soudů, nebo opakovaná výběrová řízení. </w:t>
      </w:r>
    </w:p>
    <w:p w:rsidR="00875E00" w:rsidRDefault="00875E00" w:rsidP="00720264">
      <w:pPr>
        <w:spacing w:after="120"/>
        <w:jc w:val="both"/>
        <w:rPr>
          <w:b/>
          <w:sz w:val="22"/>
          <w:szCs w:val="22"/>
        </w:rPr>
      </w:pPr>
    </w:p>
    <w:p w:rsidR="00720264" w:rsidRPr="00875E00" w:rsidRDefault="00720264" w:rsidP="00875E00">
      <w:pPr>
        <w:jc w:val="both"/>
        <w:rPr>
          <w:b/>
          <w:sz w:val="22"/>
          <w:szCs w:val="22"/>
        </w:rPr>
      </w:pPr>
      <w:r w:rsidRPr="00875E00">
        <w:rPr>
          <w:b/>
          <w:sz w:val="22"/>
          <w:szCs w:val="22"/>
        </w:rPr>
        <w:t xml:space="preserve">Přijatá opatření: </w:t>
      </w:r>
    </w:p>
    <w:p w:rsidR="00720264" w:rsidRPr="00720264" w:rsidRDefault="00720264" w:rsidP="00875E00">
      <w:pPr>
        <w:jc w:val="both"/>
        <w:rPr>
          <w:sz w:val="22"/>
          <w:szCs w:val="22"/>
        </w:rPr>
      </w:pPr>
      <w:r w:rsidRPr="00720264">
        <w:rPr>
          <w:sz w:val="22"/>
          <w:szCs w:val="22"/>
        </w:rPr>
        <w:t>ŘO IOP vydal Metodický pokyn č. 57, který umožnil za přesně definovaných podmínek prodloužení realizace projektu za termín daný výzvou. Návazně na tento pokyn byla aktualizována příslušná Příručka pro žadatele a příjemce a projektům 3. výzvy po předložení Oznámení o změně s podrobnou argumentací bylo umožněno prodloužení projektu nejpozději do 30. 9. 2015.</w:t>
      </w:r>
    </w:p>
    <w:p w:rsidR="00A75862" w:rsidRPr="009026D3" w:rsidRDefault="00A75862" w:rsidP="006A3D1F">
      <w:pPr>
        <w:rPr>
          <w:b/>
          <w:sz w:val="22"/>
          <w:szCs w:val="22"/>
        </w:rPr>
      </w:pPr>
    </w:p>
    <w:p w:rsidR="00A75862" w:rsidRDefault="00A75862" w:rsidP="006A3D1F">
      <w:pPr>
        <w:rPr>
          <w:b/>
          <w:sz w:val="22"/>
          <w:szCs w:val="22"/>
        </w:rPr>
      </w:pPr>
      <w:r w:rsidRPr="009026D3">
        <w:rPr>
          <w:b/>
          <w:sz w:val="22"/>
          <w:szCs w:val="22"/>
        </w:rPr>
        <w:t>Oblast intervence 5.2</w:t>
      </w:r>
    </w:p>
    <w:p w:rsidR="00465184" w:rsidRPr="00465184" w:rsidRDefault="00465184" w:rsidP="00465184">
      <w:pPr>
        <w:rPr>
          <w:b/>
          <w:sz w:val="22"/>
          <w:szCs w:val="22"/>
        </w:rPr>
      </w:pPr>
      <w:r w:rsidRPr="00465184">
        <w:rPr>
          <w:b/>
          <w:sz w:val="22"/>
          <w:szCs w:val="22"/>
        </w:rPr>
        <w:t>Riziko úspor v projektech a výkyvu kurzu Kč vůči EUR</w:t>
      </w:r>
    </w:p>
    <w:p w:rsidR="00465184" w:rsidRPr="00465184" w:rsidRDefault="00465184" w:rsidP="00465184">
      <w:pPr>
        <w:jc w:val="both"/>
        <w:rPr>
          <w:sz w:val="22"/>
          <w:szCs w:val="22"/>
        </w:rPr>
      </w:pPr>
      <w:r w:rsidRPr="00465184">
        <w:rPr>
          <w:sz w:val="22"/>
          <w:szCs w:val="22"/>
        </w:rPr>
        <w:t xml:space="preserve">ŘO IOP dlouho době v oblasti intervence eviduje úspory v projektech z původně rozpočtované ceny. Dalším rizikem pro nedočerpání alokace může významný výkyv kurzu Kč vůči EUR.  Finanční prostředky pro jednotlivá města jsou dle Dohody o zabezpečení realizace IPRM alokovány v EUR. V případě dalšího většího výkyvu kurzu by opět tak jako v roce 2013 došlo k významnému navýšení alokace v OI , které by již ŘO IOP nebyl schopen s ohledem na naplněnou absorpční kapacitu využít.  </w:t>
      </w:r>
    </w:p>
    <w:p w:rsidR="00465184" w:rsidRPr="00465184" w:rsidRDefault="00465184" w:rsidP="00465184">
      <w:pPr>
        <w:jc w:val="both"/>
        <w:rPr>
          <w:color w:val="000000" w:themeColor="text1"/>
          <w:sz w:val="22"/>
          <w:szCs w:val="22"/>
        </w:rPr>
      </w:pPr>
    </w:p>
    <w:p w:rsidR="00465184" w:rsidRPr="00875E00" w:rsidRDefault="00465184" w:rsidP="00465184">
      <w:pPr>
        <w:jc w:val="both"/>
        <w:rPr>
          <w:b/>
          <w:color w:val="000000" w:themeColor="text1"/>
          <w:sz w:val="22"/>
          <w:szCs w:val="22"/>
        </w:rPr>
      </w:pPr>
      <w:r w:rsidRPr="00875E00">
        <w:rPr>
          <w:b/>
          <w:color w:val="000000" w:themeColor="text1"/>
          <w:sz w:val="22"/>
          <w:szCs w:val="22"/>
        </w:rPr>
        <w:t>Přijatá opatření</w:t>
      </w:r>
    </w:p>
    <w:p w:rsidR="00FF0777" w:rsidRDefault="00465184" w:rsidP="00465184">
      <w:pPr>
        <w:jc w:val="both"/>
        <w:rPr>
          <w:color w:val="000000" w:themeColor="text1"/>
          <w:sz w:val="22"/>
          <w:szCs w:val="22"/>
        </w:rPr>
      </w:pPr>
      <w:r w:rsidRPr="00465184">
        <w:rPr>
          <w:color w:val="000000" w:themeColor="text1"/>
          <w:sz w:val="22"/>
          <w:szCs w:val="22"/>
        </w:rPr>
        <w:t xml:space="preserve">ŘO IOP apeloval na města, aby vytvářela rozpočet projektu s ohledem na skutečně reálné ceny vycházející z veřejných zakázek a na základě zkušenosti s realizací předchozích veřejných zakázek v době realizace IPRM. </w:t>
      </w:r>
    </w:p>
    <w:p w:rsidR="00465184" w:rsidRPr="00465184" w:rsidRDefault="00465184" w:rsidP="00465184">
      <w:pPr>
        <w:jc w:val="both"/>
        <w:rPr>
          <w:color w:val="000000" w:themeColor="text1"/>
          <w:sz w:val="22"/>
          <w:szCs w:val="22"/>
        </w:rPr>
      </w:pPr>
      <w:r w:rsidRPr="00465184">
        <w:rPr>
          <w:color w:val="000000" w:themeColor="text1"/>
          <w:sz w:val="22"/>
          <w:szCs w:val="22"/>
        </w:rPr>
        <w:lastRenderedPageBreak/>
        <w:t>Dále ŘO IOP doporučil, aby na případné úspory vznikající ve finální fázi realizace IPRM reagovali přípravou projektů, které je možné zrealizovat v krátkém časovém úseku včetně potřebné administrace. Tato žádost ŘO IOP však není pro města obligatorní a dle informací hodlají tuto možnost města IPRM využít jen částečně. Dalším přijatým opatřením je přezávazkování kontinuální výzvy č. 7 o cca 3%.</w:t>
      </w:r>
    </w:p>
    <w:p w:rsidR="00465184" w:rsidRPr="00463D5A" w:rsidRDefault="00465184" w:rsidP="00465184">
      <w:pPr>
        <w:jc w:val="both"/>
        <w:rPr>
          <w:color w:val="000000" w:themeColor="text1"/>
        </w:rPr>
      </w:pPr>
    </w:p>
    <w:p w:rsidR="00A75862" w:rsidRDefault="00A75862" w:rsidP="006A3D1F">
      <w:pPr>
        <w:rPr>
          <w:b/>
          <w:sz w:val="22"/>
          <w:szCs w:val="22"/>
        </w:rPr>
      </w:pPr>
      <w:r w:rsidRPr="009026D3">
        <w:rPr>
          <w:b/>
          <w:sz w:val="22"/>
          <w:szCs w:val="22"/>
        </w:rPr>
        <w:t>Oblast intervence 5.3</w:t>
      </w:r>
      <w:r w:rsidR="00CD0391">
        <w:rPr>
          <w:b/>
          <w:sz w:val="22"/>
          <w:szCs w:val="22"/>
        </w:rPr>
        <w:t xml:space="preserve"> </w:t>
      </w:r>
    </w:p>
    <w:p w:rsidR="00CD0391" w:rsidRPr="00CD0391" w:rsidRDefault="00CD0391" w:rsidP="00CD0391">
      <w:pPr>
        <w:jc w:val="both"/>
        <w:rPr>
          <w:sz w:val="22"/>
          <w:szCs w:val="22"/>
        </w:rPr>
      </w:pPr>
      <w:r w:rsidRPr="00CD0391">
        <w:rPr>
          <w:sz w:val="22"/>
          <w:szCs w:val="22"/>
        </w:rPr>
        <w:t xml:space="preserve">V této oblasti intervence nebyly ve sledovaném období, vzhledem ke stavu čerpání této oblasti intervence, řešeny žádné problémy. </w:t>
      </w:r>
    </w:p>
    <w:p w:rsidR="00B21AF8" w:rsidRPr="009026D3" w:rsidRDefault="00B21AF8" w:rsidP="000F2A6C">
      <w:pPr>
        <w:pStyle w:val="Nadpis3"/>
      </w:pPr>
      <w:bookmarkStart w:id="236" w:name="_Toc351629202"/>
      <w:bookmarkStart w:id="237" w:name="_Toc382407715"/>
      <w:bookmarkStart w:id="238" w:name="_Toc383084717"/>
      <w:bookmarkStart w:id="239" w:name="_Toc417024888"/>
      <w:r w:rsidRPr="009026D3">
        <w:t>3.5.3. Příklad projektu</w:t>
      </w:r>
      <w:bookmarkEnd w:id="236"/>
      <w:bookmarkEnd w:id="237"/>
      <w:bookmarkEnd w:id="238"/>
      <w:bookmarkEnd w:id="239"/>
    </w:p>
    <w:p w:rsidR="00515DFC" w:rsidRPr="008C4750" w:rsidRDefault="00875E00" w:rsidP="00515DFC">
      <w:pPr>
        <w:rPr>
          <w:sz w:val="22"/>
          <w:szCs w:val="22"/>
        </w:rPr>
      </w:pPr>
      <w:r>
        <w:rPr>
          <w:b/>
          <w:sz w:val="22"/>
          <w:szCs w:val="22"/>
        </w:rPr>
        <w:t xml:space="preserve">Oblast intervence:  </w:t>
      </w:r>
      <w:r w:rsidR="00515DFC" w:rsidRPr="00024C47">
        <w:rPr>
          <w:b/>
          <w:sz w:val="22"/>
          <w:szCs w:val="22"/>
        </w:rPr>
        <w:t xml:space="preserve">5.1 </w:t>
      </w:r>
      <w:r w:rsidR="00024C47" w:rsidRPr="00720264">
        <w:rPr>
          <w:sz w:val="22"/>
          <w:szCs w:val="22"/>
        </w:rPr>
        <w:t>Národní podpora využití potenciálu kulturního dědictví</w:t>
      </w:r>
      <w:r w:rsidR="00515DFC" w:rsidRPr="00720264">
        <w:rPr>
          <w:sz w:val="22"/>
          <w:szCs w:val="22"/>
        </w:rPr>
        <w:t xml:space="preserve">                                                                        </w:t>
      </w:r>
    </w:p>
    <w:p w:rsidR="00A659DF" w:rsidRDefault="00515DFC" w:rsidP="00515DFC">
      <w:pPr>
        <w:rPr>
          <w:sz w:val="22"/>
          <w:szCs w:val="22"/>
        </w:rPr>
      </w:pPr>
      <w:r w:rsidRPr="008C4750">
        <w:rPr>
          <w:b/>
          <w:sz w:val="22"/>
          <w:szCs w:val="22"/>
        </w:rPr>
        <w:t>Název projektu, registrační číslo</w:t>
      </w:r>
      <w:r w:rsidRPr="008C4750">
        <w:rPr>
          <w:sz w:val="22"/>
          <w:szCs w:val="22"/>
        </w:rPr>
        <w:t xml:space="preserve">: </w:t>
      </w:r>
      <w:r w:rsidR="00720264" w:rsidRPr="00720264">
        <w:rPr>
          <w:sz w:val="22"/>
          <w:szCs w:val="22"/>
        </w:rPr>
        <w:t>Centrum obnovy památek architektury 20. století, CZ.1.06/5.1.00/01.06348</w:t>
      </w:r>
      <w:r w:rsidR="00720264" w:rsidRPr="00555962">
        <w:rPr>
          <w:sz w:val="22"/>
          <w:szCs w:val="22"/>
        </w:rPr>
        <w:t xml:space="preserve">    </w:t>
      </w:r>
      <w:r w:rsidR="00720264" w:rsidRPr="00555962">
        <w:rPr>
          <w:b/>
          <w:sz w:val="22"/>
          <w:szCs w:val="22"/>
        </w:rPr>
        <w:t xml:space="preserve">                                                        </w:t>
      </w:r>
      <w:r w:rsidR="00720264" w:rsidRPr="00A73B58">
        <w:rPr>
          <w:sz w:val="22"/>
          <w:szCs w:val="22"/>
        </w:rPr>
        <w:t xml:space="preserve"> </w:t>
      </w:r>
      <w:r w:rsidR="00720264">
        <w:rPr>
          <w:sz w:val="22"/>
          <w:szCs w:val="22"/>
        </w:rPr>
        <w:t xml:space="preserve"> </w:t>
      </w:r>
      <w:r w:rsidR="00720264" w:rsidRPr="0055501B">
        <w:rPr>
          <w:b/>
          <w:sz w:val="22"/>
          <w:szCs w:val="22"/>
        </w:rPr>
        <w:t xml:space="preserve">                                                           </w:t>
      </w:r>
    </w:p>
    <w:p w:rsidR="00515DFC" w:rsidRPr="008C4750" w:rsidRDefault="00515DFC" w:rsidP="00515DFC">
      <w:pPr>
        <w:rPr>
          <w:sz w:val="22"/>
          <w:szCs w:val="22"/>
        </w:rPr>
      </w:pPr>
      <w:r w:rsidRPr="008C4750">
        <w:rPr>
          <w:b/>
          <w:sz w:val="22"/>
          <w:szCs w:val="22"/>
        </w:rPr>
        <w:t>Příjemce</w:t>
      </w:r>
      <w:r w:rsidRPr="008C4750">
        <w:rPr>
          <w:sz w:val="22"/>
          <w:szCs w:val="22"/>
        </w:rPr>
        <w:t xml:space="preserve">: </w:t>
      </w:r>
      <w:r w:rsidR="00720264">
        <w:rPr>
          <w:sz w:val="22"/>
          <w:szCs w:val="22"/>
        </w:rPr>
        <w:t>Národní památkový ústav</w:t>
      </w:r>
    </w:p>
    <w:p w:rsidR="00720264" w:rsidRDefault="00515DFC" w:rsidP="00720264">
      <w:pPr>
        <w:rPr>
          <w:sz w:val="22"/>
          <w:szCs w:val="22"/>
        </w:rPr>
      </w:pPr>
      <w:r w:rsidRPr="008C4750">
        <w:rPr>
          <w:b/>
          <w:sz w:val="22"/>
          <w:szCs w:val="22"/>
        </w:rPr>
        <w:t>Financování projektu</w:t>
      </w:r>
      <w:r w:rsidRPr="008C4750">
        <w:rPr>
          <w:sz w:val="22"/>
          <w:szCs w:val="22"/>
        </w:rPr>
        <w:t xml:space="preserve">: </w:t>
      </w:r>
      <w:r w:rsidR="00720264" w:rsidRPr="0055501B">
        <w:rPr>
          <w:b/>
          <w:sz w:val="22"/>
          <w:szCs w:val="22"/>
        </w:rPr>
        <w:t>Financování projektu</w:t>
      </w:r>
      <w:r w:rsidR="00720264">
        <w:rPr>
          <w:b/>
          <w:sz w:val="22"/>
          <w:szCs w:val="22"/>
        </w:rPr>
        <w:t xml:space="preserve"> </w:t>
      </w:r>
      <w:r w:rsidR="00720264" w:rsidRPr="00A73B58">
        <w:rPr>
          <w:sz w:val="22"/>
          <w:szCs w:val="22"/>
        </w:rPr>
        <w:t xml:space="preserve"> -</w:t>
      </w:r>
      <w:r w:rsidR="00720264" w:rsidRPr="004966E5">
        <w:rPr>
          <w:sz w:val="22"/>
          <w:szCs w:val="22"/>
        </w:rPr>
        <w:t xml:space="preserve"> </w:t>
      </w:r>
      <w:r w:rsidR="00720264" w:rsidRPr="00555962">
        <w:rPr>
          <w:sz w:val="22"/>
          <w:szCs w:val="22"/>
        </w:rPr>
        <w:t>celkový rozpočet</w:t>
      </w:r>
      <w:r w:rsidR="00720264">
        <w:rPr>
          <w:sz w:val="22"/>
          <w:szCs w:val="22"/>
        </w:rPr>
        <w:t xml:space="preserve"> 179 203 478 </w:t>
      </w:r>
      <w:r w:rsidR="00720264" w:rsidRPr="00555962">
        <w:rPr>
          <w:sz w:val="22"/>
          <w:szCs w:val="22"/>
        </w:rPr>
        <w:t>Kč (příspěvek SF</w:t>
      </w:r>
      <w:r w:rsidR="00720264">
        <w:rPr>
          <w:sz w:val="22"/>
          <w:szCs w:val="22"/>
        </w:rPr>
        <w:t xml:space="preserve"> 152 322 956 </w:t>
      </w:r>
      <w:r w:rsidR="00720264" w:rsidRPr="00555962">
        <w:rPr>
          <w:sz w:val="22"/>
          <w:szCs w:val="22"/>
        </w:rPr>
        <w:t xml:space="preserve">Kč, příspěvek SR </w:t>
      </w:r>
      <w:r w:rsidR="00720264">
        <w:rPr>
          <w:sz w:val="22"/>
          <w:szCs w:val="22"/>
        </w:rPr>
        <w:t xml:space="preserve">26 880 522 </w:t>
      </w:r>
      <w:r w:rsidR="00720264" w:rsidRPr="00555962">
        <w:rPr>
          <w:sz w:val="22"/>
          <w:szCs w:val="22"/>
        </w:rPr>
        <w:t>Kč)</w:t>
      </w:r>
      <w:r w:rsidR="00720264" w:rsidRPr="00A73B58">
        <w:rPr>
          <w:sz w:val="22"/>
          <w:szCs w:val="22"/>
        </w:rPr>
        <w:t xml:space="preserve"> </w:t>
      </w:r>
    </w:p>
    <w:p w:rsidR="001A1DCE" w:rsidRDefault="001A1DCE" w:rsidP="00720264">
      <w:pPr>
        <w:rPr>
          <w:sz w:val="22"/>
          <w:szCs w:val="22"/>
        </w:rPr>
      </w:pPr>
    </w:p>
    <w:p w:rsidR="001A1DCE" w:rsidRDefault="001A1DCE" w:rsidP="001A1DCE">
      <w:pPr>
        <w:jc w:val="both"/>
        <w:rPr>
          <w:sz w:val="22"/>
          <w:szCs w:val="22"/>
        </w:rPr>
      </w:pPr>
      <w:r w:rsidRPr="001A1DCE">
        <w:rPr>
          <w:sz w:val="22"/>
          <w:szCs w:val="22"/>
        </w:rPr>
        <w:t xml:space="preserve">Projekt je zaměřen na vybudování národního metodického Centra obnovy památek architektury </w:t>
      </w:r>
      <w:r>
        <w:rPr>
          <w:sz w:val="22"/>
          <w:szCs w:val="22"/>
        </w:rPr>
        <w:br/>
      </w:r>
      <w:r w:rsidRPr="001A1DCE">
        <w:rPr>
          <w:sz w:val="22"/>
          <w:szCs w:val="22"/>
        </w:rPr>
        <w:t>20. století (COPA). V realizační fázi projektu dojde k rekonstrukci areálu vily Stiassni v Brně a jeho adaptaci do podoby odpovídající požadavkům 21. století. Vilu Stiassni postavil v r. 1929 textilní průmyslník Alfred Stiassni podle návrhu brněnského architekta Ernsta Wiesnera. Při obnově vily byly vyzkoušeny metodické postupy nezbytné nejen pro samotnou obnovu vily, al</w:t>
      </w:r>
      <w:r w:rsidR="001A7E78">
        <w:rPr>
          <w:sz w:val="22"/>
          <w:szCs w:val="22"/>
        </w:rPr>
        <w:t>e i pro obnovu jiných památek z</w:t>
      </w:r>
      <w:r w:rsidRPr="001A1DCE">
        <w:rPr>
          <w:sz w:val="22"/>
          <w:szCs w:val="22"/>
        </w:rPr>
        <w:t xml:space="preserve"> 20. až 40. let 20. století. Zjištěné postupy budou následně prezentovány v provozní fázi, kdy budou vydávány metodiky se zaměřením na problematiku obnovy památek architektury moderny, tj. památkových budov z období let 1920-1940. Vytvořené Centrum obnovy památek architektury </w:t>
      </w:r>
      <w:r>
        <w:rPr>
          <w:sz w:val="22"/>
          <w:szCs w:val="22"/>
        </w:rPr>
        <w:br/>
      </w:r>
      <w:r w:rsidRPr="001A1DCE">
        <w:rPr>
          <w:sz w:val="22"/>
          <w:szCs w:val="22"/>
        </w:rPr>
        <w:t xml:space="preserve">20. století poskytne komplexní zázemí pro studijní, badatelské, knihovnické, edukační, poradenské </w:t>
      </w:r>
      <w:r>
        <w:rPr>
          <w:sz w:val="22"/>
          <w:szCs w:val="22"/>
        </w:rPr>
        <w:br/>
      </w:r>
      <w:r w:rsidRPr="001A1DCE">
        <w:rPr>
          <w:sz w:val="22"/>
          <w:szCs w:val="22"/>
        </w:rPr>
        <w:t xml:space="preserve">a konzultační aktivity spojené s touto problematikou. Vzhledem k početné skupině budov z let </w:t>
      </w:r>
      <w:r>
        <w:rPr>
          <w:sz w:val="22"/>
          <w:szCs w:val="22"/>
        </w:rPr>
        <w:br/>
      </w:r>
      <w:r w:rsidRPr="001A1DCE">
        <w:rPr>
          <w:sz w:val="22"/>
          <w:szCs w:val="22"/>
        </w:rPr>
        <w:t xml:space="preserve">1920-1940 existuje silná poptávka po projektem nabízených službách. Projekt byl ukončen </w:t>
      </w:r>
      <w:r w:rsidR="0082275D">
        <w:rPr>
          <w:sz w:val="22"/>
          <w:szCs w:val="22"/>
        </w:rPr>
        <w:br/>
      </w:r>
      <w:r w:rsidR="0082275D" w:rsidRPr="001A1DCE">
        <w:rPr>
          <w:sz w:val="22"/>
          <w:szCs w:val="22"/>
        </w:rPr>
        <w:t>12. 12. 2014</w:t>
      </w:r>
      <w:r w:rsidRPr="001A1DCE">
        <w:rPr>
          <w:sz w:val="22"/>
          <w:szCs w:val="22"/>
        </w:rPr>
        <w:t>.</w:t>
      </w:r>
    </w:p>
    <w:p w:rsidR="001A1DCE" w:rsidRPr="001A1DCE" w:rsidRDefault="001A1DCE" w:rsidP="001A1DCE">
      <w:pPr>
        <w:jc w:val="both"/>
        <w:rPr>
          <w:sz w:val="22"/>
          <w:szCs w:val="22"/>
        </w:rPr>
      </w:pPr>
    </w:p>
    <w:p w:rsidR="001A1DCE" w:rsidRDefault="001A1DCE" w:rsidP="001A1DCE">
      <w:pPr>
        <w:jc w:val="both"/>
        <w:rPr>
          <w:sz w:val="22"/>
          <w:szCs w:val="22"/>
        </w:rPr>
      </w:pPr>
      <w:r w:rsidRPr="001A1DCE">
        <w:rPr>
          <w:sz w:val="22"/>
          <w:szCs w:val="22"/>
        </w:rPr>
        <w:t>Po rekonstrukci</w:t>
      </w:r>
    </w:p>
    <w:p w:rsidR="001A1DCE" w:rsidRDefault="001A1DCE" w:rsidP="001A1DCE">
      <w:r>
        <w:rPr>
          <w:noProof/>
        </w:rPr>
        <w:drawing>
          <wp:inline distT="0" distB="0" distL="0" distR="0" wp14:anchorId="5650BEA8" wp14:editId="72AF1A6E">
            <wp:extent cx="5029200" cy="2314575"/>
            <wp:effectExtent l="0" t="0" r="0" b="0"/>
            <wp:docPr id="8" name="Obrázek 8" descr="1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2314575"/>
                    </a:xfrm>
                    <a:prstGeom prst="rect">
                      <a:avLst/>
                    </a:prstGeom>
                    <a:noFill/>
                    <a:ln>
                      <a:noFill/>
                    </a:ln>
                  </pic:spPr>
                </pic:pic>
              </a:graphicData>
            </a:graphic>
          </wp:inline>
        </w:drawing>
      </w:r>
    </w:p>
    <w:p w:rsidR="00024C47" w:rsidRDefault="00024C47" w:rsidP="0036006F">
      <w:pPr>
        <w:spacing w:before="60"/>
        <w:jc w:val="both"/>
        <w:rPr>
          <w:b/>
          <w:sz w:val="22"/>
          <w:szCs w:val="22"/>
        </w:rPr>
      </w:pPr>
    </w:p>
    <w:p w:rsidR="001A1DCE" w:rsidRDefault="001A1DCE" w:rsidP="0036006F">
      <w:pPr>
        <w:spacing w:before="60"/>
        <w:jc w:val="both"/>
        <w:rPr>
          <w:b/>
          <w:sz w:val="22"/>
          <w:szCs w:val="22"/>
        </w:rPr>
      </w:pPr>
      <w:r>
        <w:rPr>
          <w:noProof/>
        </w:rPr>
        <w:lastRenderedPageBreak/>
        <w:drawing>
          <wp:inline distT="0" distB="0" distL="0" distR="0" wp14:anchorId="4295E147" wp14:editId="0AF02941">
            <wp:extent cx="4610100" cy="3448050"/>
            <wp:effectExtent l="0" t="0" r="0" b="0"/>
            <wp:docPr id="9" name="Obrázek 9" descr="HEP58514d_stiassni2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P58514d_stiassni25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0100" cy="3448050"/>
                    </a:xfrm>
                    <a:prstGeom prst="rect">
                      <a:avLst/>
                    </a:prstGeom>
                    <a:noFill/>
                    <a:ln>
                      <a:noFill/>
                    </a:ln>
                  </pic:spPr>
                </pic:pic>
              </a:graphicData>
            </a:graphic>
          </wp:inline>
        </w:drawing>
      </w:r>
    </w:p>
    <w:p w:rsidR="001A1DCE" w:rsidRDefault="001A1DCE" w:rsidP="0036006F">
      <w:pPr>
        <w:spacing w:before="60"/>
        <w:jc w:val="both"/>
        <w:rPr>
          <w:b/>
          <w:sz w:val="22"/>
          <w:szCs w:val="22"/>
        </w:rPr>
      </w:pPr>
    </w:p>
    <w:p w:rsidR="001A1DCE" w:rsidRDefault="001A1DCE" w:rsidP="0036006F">
      <w:pPr>
        <w:spacing w:before="60"/>
        <w:jc w:val="both"/>
        <w:rPr>
          <w:b/>
          <w:sz w:val="22"/>
          <w:szCs w:val="22"/>
        </w:rPr>
      </w:pPr>
    </w:p>
    <w:p w:rsidR="00A75862" w:rsidRPr="004B473A" w:rsidRDefault="007263C2" w:rsidP="0036006F">
      <w:pPr>
        <w:spacing w:before="60"/>
        <w:jc w:val="both"/>
        <w:rPr>
          <w:b/>
          <w:sz w:val="22"/>
          <w:szCs w:val="22"/>
        </w:rPr>
      </w:pPr>
      <w:r w:rsidRPr="004B473A">
        <w:rPr>
          <w:b/>
          <w:sz w:val="22"/>
          <w:szCs w:val="22"/>
        </w:rPr>
        <w:t>Oblast intervence: 5.2 Zlepšení prostředí v problémových sídlištích</w:t>
      </w:r>
    </w:p>
    <w:p w:rsidR="00010350" w:rsidRPr="00010350" w:rsidRDefault="007263C2" w:rsidP="00010350">
      <w:pPr>
        <w:jc w:val="both"/>
        <w:rPr>
          <w:sz w:val="22"/>
          <w:szCs w:val="22"/>
        </w:rPr>
      </w:pPr>
      <w:r w:rsidRPr="004B473A">
        <w:rPr>
          <w:b/>
          <w:sz w:val="22"/>
          <w:szCs w:val="22"/>
        </w:rPr>
        <w:t xml:space="preserve">Název projektu, registrační číslo: </w:t>
      </w:r>
      <w:r w:rsidR="00010350" w:rsidRPr="00010350">
        <w:rPr>
          <w:sz w:val="22"/>
          <w:szCs w:val="22"/>
        </w:rPr>
        <w:t>Regenerace bytového domu bl. 99, tř. Budovatelů v Mostě - Zateplení, CZ.1.06/5.2.00/07.08637</w:t>
      </w:r>
    </w:p>
    <w:p w:rsidR="00A75862" w:rsidRPr="004B473A" w:rsidRDefault="007263C2" w:rsidP="00010350">
      <w:pPr>
        <w:jc w:val="both"/>
        <w:rPr>
          <w:sz w:val="22"/>
          <w:szCs w:val="22"/>
        </w:rPr>
      </w:pPr>
      <w:r w:rsidRPr="004B473A">
        <w:rPr>
          <w:b/>
          <w:sz w:val="22"/>
          <w:szCs w:val="22"/>
        </w:rPr>
        <w:t xml:space="preserve">Příjemce: </w:t>
      </w:r>
      <w:r w:rsidR="00FC3FA5" w:rsidRPr="00FC3FA5">
        <w:rPr>
          <w:sz w:val="22"/>
          <w:szCs w:val="22"/>
        </w:rPr>
        <w:t xml:space="preserve">Společenství vlastníků jednotek bl. 99, </w:t>
      </w:r>
      <w:r w:rsidR="00FF0777" w:rsidRPr="00FC3FA5">
        <w:rPr>
          <w:sz w:val="22"/>
          <w:szCs w:val="22"/>
        </w:rPr>
        <w:t>č. p.</w:t>
      </w:r>
      <w:r w:rsidR="00FC3FA5" w:rsidRPr="00FC3FA5">
        <w:rPr>
          <w:sz w:val="22"/>
          <w:szCs w:val="22"/>
        </w:rPr>
        <w:t xml:space="preserve"> 2</w:t>
      </w:r>
    </w:p>
    <w:p w:rsidR="00FC3FA5" w:rsidRPr="00973DD1" w:rsidRDefault="007263C2" w:rsidP="00FC3FA5">
      <w:pPr>
        <w:jc w:val="both"/>
      </w:pPr>
      <w:r w:rsidRPr="004B473A">
        <w:rPr>
          <w:b/>
          <w:sz w:val="22"/>
          <w:szCs w:val="22"/>
        </w:rPr>
        <w:t xml:space="preserve">Financování projektu: </w:t>
      </w:r>
      <w:r w:rsidR="00FC3FA5" w:rsidRPr="00FC3FA5">
        <w:rPr>
          <w:sz w:val="22"/>
          <w:szCs w:val="22"/>
        </w:rPr>
        <w:t>celkový rozpočet Kč 12 701 653,- Kč (příspěvek SF 5 080 661,- Kč, příspěvek Soukromé zdroje 7 620 991,- Kč)</w:t>
      </w:r>
    </w:p>
    <w:p w:rsidR="00A75862" w:rsidRPr="004B473A" w:rsidRDefault="00A75862" w:rsidP="00FC3FA5">
      <w:pPr>
        <w:jc w:val="both"/>
        <w:rPr>
          <w:sz w:val="22"/>
          <w:szCs w:val="22"/>
        </w:rPr>
      </w:pPr>
    </w:p>
    <w:p w:rsidR="00FC3FA5" w:rsidRPr="00FC3FA5" w:rsidRDefault="00FC3FA5" w:rsidP="00FC3FA5">
      <w:pPr>
        <w:rPr>
          <w:sz w:val="22"/>
          <w:szCs w:val="22"/>
        </w:rPr>
      </w:pPr>
      <w:r w:rsidRPr="00FC3FA5">
        <w:rPr>
          <w:sz w:val="22"/>
          <w:szCs w:val="22"/>
        </w:rPr>
        <w:t>Projekt řeší zateplení obvodového pláště domu a sanaci suterénního zdiva. Nové prvky splňujících technické požadavky dle současných předpisů.</w:t>
      </w:r>
    </w:p>
    <w:p w:rsidR="00A75862" w:rsidRDefault="00A75862" w:rsidP="0036006F">
      <w:pPr>
        <w:jc w:val="both"/>
        <w:rPr>
          <w:sz w:val="22"/>
          <w:szCs w:val="22"/>
        </w:rPr>
      </w:pPr>
    </w:p>
    <w:p w:rsidR="00FC3458" w:rsidRPr="004B473A" w:rsidRDefault="00FC3458" w:rsidP="0036006F">
      <w:pPr>
        <w:jc w:val="both"/>
        <w:rPr>
          <w:sz w:val="22"/>
          <w:szCs w:val="22"/>
        </w:rPr>
      </w:pPr>
    </w:p>
    <w:p w:rsidR="00A75862" w:rsidRPr="0094362E" w:rsidRDefault="00A75862" w:rsidP="00E72101">
      <w:pPr>
        <w:spacing w:before="60"/>
        <w:jc w:val="both"/>
        <w:rPr>
          <w:sz w:val="22"/>
          <w:szCs w:val="22"/>
        </w:rPr>
      </w:pPr>
      <w:r w:rsidRPr="0094362E">
        <w:rPr>
          <w:b/>
          <w:sz w:val="22"/>
          <w:szCs w:val="22"/>
        </w:rPr>
        <w:t>Oblast intervence: 5.3 – Modernizace a rozvoj systémů tvorby územních politik</w:t>
      </w:r>
      <w:r w:rsidRPr="0094362E">
        <w:rPr>
          <w:sz w:val="22"/>
          <w:szCs w:val="22"/>
        </w:rPr>
        <w:t xml:space="preserve">, </w:t>
      </w:r>
    </w:p>
    <w:p w:rsidR="00B2702C" w:rsidRPr="008E6F2A" w:rsidRDefault="00A75862" w:rsidP="00B2702C">
      <w:pPr>
        <w:ind w:left="3261" w:hanging="3261"/>
      </w:pPr>
      <w:r w:rsidRPr="0094362E">
        <w:rPr>
          <w:b/>
          <w:sz w:val="22"/>
          <w:szCs w:val="22"/>
        </w:rPr>
        <w:t>Název projektu, registrační číslo:</w:t>
      </w:r>
      <w:r w:rsidR="005839A0">
        <w:rPr>
          <w:b/>
          <w:sz w:val="22"/>
          <w:szCs w:val="22"/>
        </w:rPr>
        <w:t xml:space="preserve"> </w:t>
      </w:r>
      <w:r w:rsidR="00B2702C" w:rsidRPr="00B2702C">
        <w:rPr>
          <w:sz w:val="22"/>
          <w:szCs w:val="22"/>
        </w:rPr>
        <w:t>Územní plán Troubelice, CZ.1.06/5.3.00/01.00271</w:t>
      </w:r>
    </w:p>
    <w:p w:rsidR="00A75862" w:rsidRPr="0094362E" w:rsidRDefault="00A75862" w:rsidP="00E72101">
      <w:pPr>
        <w:tabs>
          <w:tab w:val="left" w:pos="3261"/>
        </w:tabs>
        <w:spacing w:before="60"/>
        <w:jc w:val="both"/>
        <w:rPr>
          <w:b/>
          <w:sz w:val="22"/>
          <w:szCs w:val="22"/>
        </w:rPr>
      </w:pPr>
      <w:r w:rsidRPr="0094362E">
        <w:rPr>
          <w:b/>
          <w:sz w:val="22"/>
          <w:szCs w:val="22"/>
        </w:rPr>
        <w:t xml:space="preserve">Příjemce: </w:t>
      </w:r>
      <w:r w:rsidR="00B2702C" w:rsidRPr="00B2702C">
        <w:rPr>
          <w:sz w:val="22"/>
          <w:szCs w:val="22"/>
        </w:rPr>
        <w:t>Obec Troubelice</w:t>
      </w:r>
    </w:p>
    <w:p w:rsidR="00B2702C" w:rsidRPr="00B2702C" w:rsidRDefault="00A75862" w:rsidP="00B2702C">
      <w:pPr>
        <w:rPr>
          <w:sz w:val="22"/>
          <w:szCs w:val="22"/>
        </w:rPr>
      </w:pPr>
      <w:r w:rsidRPr="0094362E">
        <w:rPr>
          <w:b/>
          <w:sz w:val="22"/>
          <w:szCs w:val="22"/>
        </w:rPr>
        <w:t>Financování projektu:</w:t>
      </w:r>
      <w:r w:rsidRPr="0094362E">
        <w:rPr>
          <w:sz w:val="22"/>
          <w:szCs w:val="22"/>
        </w:rPr>
        <w:t xml:space="preserve"> </w:t>
      </w:r>
      <w:bookmarkStart w:id="240" w:name="_Toc351629203"/>
      <w:r w:rsidR="00B2702C" w:rsidRPr="00B2702C">
        <w:rPr>
          <w:sz w:val="22"/>
          <w:szCs w:val="22"/>
        </w:rPr>
        <w:t>celkový rozpočet v Kč: 568 000,- (příspěvek SF 482 000,- Kč, příspěvek SR 85 200,- Kč)</w:t>
      </w:r>
    </w:p>
    <w:p w:rsidR="00A659DF" w:rsidRDefault="00A659DF" w:rsidP="00B2702C">
      <w:pPr>
        <w:spacing w:before="60"/>
        <w:jc w:val="both"/>
        <w:rPr>
          <w:i/>
        </w:rPr>
      </w:pPr>
    </w:p>
    <w:p w:rsidR="00760DCD" w:rsidRPr="00760DCD" w:rsidRDefault="00760DCD" w:rsidP="00760DCD">
      <w:pPr>
        <w:jc w:val="both"/>
        <w:rPr>
          <w:sz w:val="22"/>
          <w:szCs w:val="22"/>
        </w:rPr>
      </w:pPr>
      <w:r w:rsidRPr="00760DCD">
        <w:rPr>
          <w:sz w:val="22"/>
          <w:szCs w:val="22"/>
        </w:rPr>
        <w:t xml:space="preserve">Územní plán je nezbytným nástrojem pro rozvoj obce Troubelice, zejména pro oblast zajištění ochrany ploch a koridorů dopravní a technické infrastruktury, stabilizaci sídelní struktury, pro komplexní řešení územních podmínek, hospodářských, sociálních a ekologických problémů v území, předcházení problémům degradace životního prostředí a extenzivní urbanizace. Územní plán je podle zákona </w:t>
      </w:r>
      <w:r>
        <w:rPr>
          <w:sz w:val="22"/>
          <w:szCs w:val="22"/>
        </w:rPr>
        <w:br/>
      </w:r>
      <w:r w:rsidRPr="00760DCD">
        <w:rPr>
          <w:sz w:val="22"/>
          <w:szCs w:val="22"/>
        </w:rPr>
        <w:t xml:space="preserve">č. 183/2006 Sb. jediným nástrojem obce, který může vymezit nové rozvojové plochy. </w:t>
      </w:r>
    </w:p>
    <w:p w:rsidR="00760DCD" w:rsidRPr="00760DCD" w:rsidRDefault="00760DCD" w:rsidP="00760DCD">
      <w:pPr>
        <w:jc w:val="both"/>
        <w:rPr>
          <w:sz w:val="22"/>
          <w:szCs w:val="22"/>
        </w:rPr>
      </w:pPr>
      <w:r w:rsidRPr="00760DCD">
        <w:rPr>
          <w:sz w:val="22"/>
          <w:szCs w:val="22"/>
        </w:rPr>
        <w:t xml:space="preserve">Projekt obce Troubelice "Tvorba ÚZEMNÍHO PLÁNU OBCE TROUBELICE." je vypracován </w:t>
      </w:r>
      <w:r>
        <w:rPr>
          <w:sz w:val="22"/>
          <w:szCs w:val="22"/>
        </w:rPr>
        <w:br/>
      </w:r>
      <w:r w:rsidRPr="00760DCD">
        <w:rPr>
          <w:sz w:val="22"/>
          <w:szCs w:val="22"/>
        </w:rPr>
        <w:t>s ohledem na udržitelný rozvoj celého území kraje. Do územního plánu je také zapracován rozvojový záměr nadmístního významu, který je obsažený v územně plánovací dokumentaci Olomouckého kraje.</w:t>
      </w:r>
    </w:p>
    <w:p w:rsidR="00760DCD" w:rsidRDefault="00760DCD" w:rsidP="00B2702C">
      <w:pPr>
        <w:spacing w:before="60"/>
        <w:jc w:val="both"/>
        <w:rPr>
          <w:i/>
        </w:rPr>
      </w:pPr>
    </w:p>
    <w:p w:rsidR="00FF715B" w:rsidRDefault="00FF715B" w:rsidP="00B2702C">
      <w:pPr>
        <w:spacing w:before="60"/>
        <w:jc w:val="both"/>
        <w:rPr>
          <w:i/>
        </w:rPr>
      </w:pPr>
    </w:p>
    <w:p w:rsidR="00FF715B" w:rsidRDefault="00FF715B" w:rsidP="00B2702C">
      <w:pPr>
        <w:spacing w:before="60"/>
        <w:jc w:val="both"/>
        <w:rPr>
          <w:i/>
        </w:rPr>
      </w:pPr>
    </w:p>
    <w:p w:rsidR="00D45AC9" w:rsidRPr="00C05B44" w:rsidRDefault="00D45AC9" w:rsidP="00D45AC9">
      <w:pPr>
        <w:pStyle w:val="Nadpis2"/>
        <w:rPr>
          <w:rFonts w:ascii="Times New Roman" w:hAnsi="Times New Roman"/>
          <w:i w:val="0"/>
        </w:rPr>
      </w:pPr>
      <w:bookmarkStart w:id="241" w:name="_Toc417024889"/>
      <w:r w:rsidRPr="00C05B44">
        <w:rPr>
          <w:rFonts w:ascii="Times New Roman" w:hAnsi="Times New Roman"/>
          <w:i w:val="0"/>
        </w:rPr>
        <w:lastRenderedPageBreak/>
        <w:t>3.6 Prioritní osa 6a, 6b – Technická pomoc</w:t>
      </w:r>
      <w:bookmarkEnd w:id="240"/>
      <w:bookmarkEnd w:id="241"/>
      <w:r w:rsidRPr="00C05B44">
        <w:rPr>
          <w:rFonts w:ascii="Times New Roman" w:hAnsi="Times New Roman"/>
          <w:i w:val="0"/>
        </w:rPr>
        <w:t xml:space="preserve"> </w:t>
      </w:r>
    </w:p>
    <w:p w:rsidR="00A75862" w:rsidRPr="00BE3142" w:rsidRDefault="00A75862" w:rsidP="00555962">
      <w:pPr>
        <w:jc w:val="both"/>
        <w:rPr>
          <w:sz w:val="22"/>
          <w:szCs w:val="22"/>
        </w:rPr>
      </w:pPr>
      <w:r>
        <w:rPr>
          <w:sz w:val="22"/>
          <w:szCs w:val="22"/>
        </w:rPr>
        <w:t xml:space="preserve">Prioritní osy 6a a 6b se zaměřují na podporu efektivního řízení IOP během celého programovacího období. Jedná se o průřezové prioritní osy, které se budou týkat všech ostatních prioritních os a oblastí intervence IOP.  </w:t>
      </w:r>
    </w:p>
    <w:p w:rsidR="00A75862" w:rsidRDefault="00A75862" w:rsidP="00555962">
      <w:pPr>
        <w:jc w:val="both"/>
        <w:rPr>
          <w:sz w:val="22"/>
          <w:szCs w:val="22"/>
        </w:rPr>
      </w:pPr>
      <w:r>
        <w:rPr>
          <w:sz w:val="22"/>
          <w:szCs w:val="22"/>
        </w:rPr>
        <w:t>Prioritní osa zahrnuje Cíl Konvergence (6a) a Cíl Regionální konkurenceschopnost a zaměstnanost (6b).</w:t>
      </w:r>
    </w:p>
    <w:p w:rsidR="00A75862" w:rsidRDefault="00A75862" w:rsidP="00555962">
      <w:pPr>
        <w:ind w:left="480"/>
        <w:rPr>
          <w:sz w:val="22"/>
          <w:szCs w:val="22"/>
        </w:rPr>
      </w:pPr>
    </w:p>
    <w:p w:rsidR="00A75862" w:rsidRPr="009026D3" w:rsidRDefault="00A75862" w:rsidP="000F2A6C">
      <w:pPr>
        <w:pStyle w:val="Nadpis3"/>
      </w:pPr>
      <w:bookmarkStart w:id="242" w:name="_Toc382407717"/>
      <w:bookmarkStart w:id="243" w:name="_Toc383084719"/>
      <w:bookmarkStart w:id="244" w:name="_Toc417024890"/>
      <w:r w:rsidRPr="009026D3">
        <w:t>3.6.1 Dosažený pokrok a jeho analýza</w:t>
      </w:r>
      <w:bookmarkEnd w:id="242"/>
      <w:bookmarkEnd w:id="243"/>
      <w:bookmarkEnd w:id="244"/>
    </w:p>
    <w:p w:rsidR="00A75862" w:rsidRDefault="00877F02" w:rsidP="00184E0A">
      <w:pPr>
        <w:jc w:val="both"/>
        <w:rPr>
          <w:b/>
          <w:sz w:val="24"/>
          <w:szCs w:val="24"/>
        </w:rPr>
      </w:pPr>
      <w:r>
        <w:rPr>
          <w:b/>
          <w:sz w:val="24"/>
          <w:szCs w:val="24"/>
        </w:rPr>
        <w:t>3.6.1. A Informace</w:t>
      </w:r>
      <w:r w:rsidR="00A75862">
        <w:rPr>
          <w:b/>
          <w:sz w:val="24"/>
          <w:szCs w:val="24"/>
        </w:rPr>
        <w:t xml:space="preserve"> o fyzickém a finančním pokroku</w:t>
      </w:r>
    </w:p>
    <w:p w:rsidR="00A75862" w:rsidRDefault="00A75862" w:rsidP="000D2E30">
      <w:pPr>
        <w:jc w:val="both"/>
        <w:rPr>
          <w:b/>
          <w:sz w:val="22"/>
          <w:szCs w:val="22"/>
        </w:rPr>
      </w:pPr>
    </w:p>
    <w:p w:rsidR="00A75862" w:rsidRDefault="00A75862" w:rsidP="000D2E30">
      <w:pPr>
        <w:jc w:val="both"/>
        <w:rPr>
          <w:b/>
          <w:sz w:val="22"/>
          <w:szCs w:val="22"/>
        </w:rPr>
      </w:pPr>
      <w:r>
        <w:rPr>
          <w:b/>
          <w:sz w:val="22"/>
          <w:szCs w:val="22"/>
        </w:rPr>
        <w:t xml:space="preserve">Realizace prioritní osy </w:t>
      </w:r>
    </w:p>
    <w:p w:rsidR="00A75862" w:rsidRDefault="00A75862" w:rsidP="000D2E30">
      <w:pPr>
        <w:ind w:left="426" w:hanging="426"/>
        <w:jc w:val="both"/>
        <w:rPr>
          <w:sz w:val="24"/>
          <w:szCs w:val="24"/>
          <w:u w:val="single"/>
        </w:rPr>
      </w:pPr>
    </w:p>
    <w:p w:rsidR="00A75862" w:rsidRPr="0071401F" w:rsidRDefault="00A75862" w:rsidP="000D2E30">
      <w:pPr>
        <w:ind w:left="426" w:hanging="426"/>
        <w:jc w:val="both"/>
        <w:rPr>
          <w:sz w:val="22"/>
          <w:szCs w:val="22"/>
          <w:u w:val="single"/>
        </w:rPr>
      </w:pPr>
      <w:r w:rsidRPr="000B1239">
        <w:rPr>
          <w:sz w:val="22"/>
          <w:szCs w:val="22"/>
          <w:u w:val="single"/>
        </w:rPr>
        <w:t>Výzvy</w:t>
      </w:r>
    </w:p>
    <w:p w:rsidR="002D19AD" w:rsidRPr="002578A0" w:rsidRDefault="002D19AD" w:rsidP="002D19AD">
      <w:pPr>
        <w:jc w:val="both"/>
        <w:rPr>
          <w:bCs/>
          <w:sz w:val="22"/>
          <w:szCs w:val="22"/>
        </w:rPr>
      </w:pPr>
      <w:r w:rsidRPr="002578A0">
        <w:rPr>
          <w:bCs/>
          <w:sz w:val="22"/>
          <w:szCs w:val="22"/>
        </w:rPr>
        <w:t xml:space="preserve">V roce 2014 pokračovalo předkládání projektových žádostí do </w:t>
      </w:r>
      <w:r>
        <w:rPr>
          <w:bCs/>
          <w:sz w:val="22"/>
          <w:szCs w:val="22"/>
        </w:rPr>
        <w:t xml:space="preserve">kontinuálních </w:t>
      </w:r>
      <w:r w:rsidRPr="002578A0">
        <w:rPr>
          <w:bCs/>
          <w:sz w:val="22"/>
          <w:szCs w:val="22"/>
        </w:rPr>
        <w:t>výzev č. 01 a č. 10 v prioritních osách 6a a 6b.</w:t>
      </w:r>
    </w:p>
    <w:p w:rsidR="002D19AD" w:rsidRPr="002578A0" w:rsidRDefault="002D19AD" w:rsidP="002D19AD">
      <w:pPr>
        <w:jc w:val="both"/>
        <w:rPr>
          <w:bCs/>
          <w:sz w:val="22"/>
          <w:szCs w:val="22"/>
        </w:rPr>
      </w:pPr>
    </w:p>
    <w:p w:rsidR="002D19AD" w:rsidRPr="002578A0" w:rsidRDefault="002D19AD" w:rsidP="002D19AD">
      <w:pPr>
        <w:jc w:val="both"/>
        <w:rPr>
          <w:bCs/>
          <w:sz w:val="22"/>
          <w:szCs w:val="22"/>
        </w:rPr>
      </w:pPr>
      <w:r w:rsidRPr="002578A0">
        <w:rPr>
          <w:b/>
          <w:bCs/>
          <w:sz w:val="22"/>
          <w:szCs w:val="22"/>
        </w:rPr>
        <w:t>V oblasti intervence 6.1</w:t>
      </w:r>
      <w:r w:rsidRPr="002578A0">
        <w:rPr>
          <w:bCs/>
          <w:sz w:val="22"/>
          <w:szCs w:val="22"/>
        </w:rPr>
        <w:t xml:space="preserve"> probíhala kontinuální výzva č. 01 s alokací </w:t>
      </w:r>
      <w:r>
        <w:rPr>
          <w:bCs/>
          <w:sz w:val="22"/>
          <w:szCs w:val="22"/>
        </w:rPr>
        <w:t>25,014</w:t>
      </w:r>
      <w:r w:rsidRPr="002578A0">
        <w:rPr>
          <w:bCs/>
          <w:sz w:val="22"/>
          <w:szCs w:val="22"/>
        </w:rPr>
        <w:t xml:space="preserve"> mil. EUR. Podáno bylo </w:t>
      </w:r>
      <w:r w:rsidRPr="002578A0">
        <w:rPr>
          <w:bCs/>
          <w:sz w:val="22"/>
          <w:szCs w:val="22"/>
        </w:rPr>
        <w:br/>
        <w:t xml:space="preserve">48 </w:t>
      </w:r>
      <w:r>
        <w:rPr>
          <w:bCs/>
          <w:sz w:val="22"/>
          <w:szCs w:val="22"/>
        </w:rPr>
        <w:t>projektových žádostí s</w:t>
      </w:r>
      <w:r w:rsidRPr="002578A0">
        <w:rPr>
          <w:bCs/>
          <w:sz w:val="22"/>
          <w:szCs w:val="22"/>
        </w:rPr>
        <w:t xml:space="preserve"> alokací </w:t>
      </w:r>
      <w:r>
        <w:rPr>
          <w:bCs/>
          <w:sz w:val="22"/>
          <w:szCs w:val="22"/>
        </w:rPr>
        <w:t>40,1</w:t>
      </w:r>
      <w:r w:rsidRPr="002578A0">
        <w:rPr>
          <w:bCs/>
          <w:sz w:val="22"/>
          <w:szCs w:val="22"/>
        </w:rPr>
        <w:t xml:space="preserve"> mil. EUR. Bylo schváleno 48 projektových žádostí</w:t>
      </w:r>
      <w:r>
        <w:rPr>
          <w:bCs/>
          <w:sz w:val="22"/>
          <w:szCs w:val="22"/>
        </w:rPr>
        <w:t xml:space="preserve"> </w:t>
      </w:r>
      <w:r w:rsidRPr="002578A0">
        <w:rPr>
          <w:bCs/>
          <w:sz w:val="22"/>
          <w:szCs w:val="22"/>
        </w:rPr>
        <w:t>ve výši 37,83 mil. EUR.</w:t>
      </w:r>
    </w:p>
    <w:p w:rsidR="002D19AD" w:rsidRPr="002578A0" w:rsidRDefault="002D19AD" w:rsidP="002D19AD">
      <w:pPr>
        <w:jc w:val="both"/>
        <w:rPr>
          <w:bCs/>
          <w:sz w:val="22"/>
          <w:szCs w:val="22"/>
        </w:rPr>
      </w:pPr>
    </w:p>
    <w:p w:rsidR="00A75862" w:rsidRPr="009777E2" w:rsidRDefault="002D19AD" w:rsidP="000D2E30">
      <w:pPr>
        <w:jc w:val="both"/>
        <w:rPr>
          <w:bCs/>
          <w:sz w:val="22"/>
          <w:szCs w:val="22"/>
        </w:rPr>
      </w:pPr>
      <w:r w:rsidRPr="002578A0">
        <w:rPr>
          <w:bCs/>
          <w:sz w:val="22"/>
          <w:szCs w:val="22"/>
        </w:rPr>
        <w:t xml:space="preserve">V </w:t>
      </w:r>
      <w:r w:rsidRPr="002578A0">
        <w:rPr>
          <w:b/>
          <w:bCs/>
          <w:sz w:val="22"/>
          <w:szCs w:val="22"/>
        </w:rPr>
        <w:t>oblasti intervence 6.2</w:t>
      </w:r>
      <w:r w:rsidRPr="002578A0">
        <w:rPr>
          <w:bCs/>
          <w:sz w:val="22"/>
          <w:szCs w:val="22"/>
        </w:rPr>
        <w:t xml:space="preserve"> probíhala v roce 2014 kontinuální výzva č. 10 s alokací 9,81 mil. EUR. Podáno bylo 51 žádostí a jejich částka dosahuje 5,18 mil. EUR. Bylo schváleno 50 projektových žádostí ve výši 4,1 mil. EUR.</w:t>
      </w:r>
    </w:p>
    <w:p w:rsidR="00A75862" w:rsidRDefault="00A75862" w:rsidP="00184E0A">
      <w:pPr>
        <w:jc w:val="both"/>
        <w:rPr>
          <w:b/>
          <w:sz w:val="24"/>
          <w:szCs w:val="24"/>
        </w:rPr>
      </w:pPr>
    </w:p>
    <w:p w:rsidR="00A75862" w:rsidRPr="009026D3" w:rsidRDefault="00A75862" w:rsidP="008263BA">
      <w:pPr>
        <w:pStyle w:val="Tabulkanzev"/>
      </w:pPr>
      <w:bookmarkStart w:id="245" w:name="_Toc416431864"/>
      <w:r w:rsidRPr="00BA3EDE">
        <w:t>Přehled vyhlášených a probí</w:t>
      </w:r>
      <w:r w:rsidRPr="009026D3">
        <w:t>hajících výzev v </w:t>
      </w:r>
      <w:r w:rsidR="00BA3EDE">
        <w:t>PO</w:t>
      </w:r>
      <w:r w:rsidRPr="009026D3">
        <w:t xml:space="preserve"> 6 </w:t>
      </w:r>
      <w:r w:rsidR="005E2949">
        <w:t>v roce 2014</w:t>
      </w:r>
      <w:bookmarkEnd w:id="245"/>
    </w:p>
    <w:tbl>
      <w:tblPr>
        <w:tblW w:w="8620"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3"/>
        <w:gridCol w:w="532"/>
        <w:gridCol w:w="1047"/>
        <w:gridCol w:w="793"/>
        <w:gridCol w:w="869"/>
        <w:gridCol w:w="861"/>
        <w:gridCol w:w="916"/>
        <w:gridCol w:w="505"/>
        <w:gridCol w:w="930"/>
        <w:gridCol w:w="655"/>
        <w:gridCol w:w="1282"/>
      </w:tblGrid>
      <w:tr w:rsidR="005F4523" w:rsidRPr="005F4523" w:rsidTr="001352F9">
        <w:trPr>
          <w:trHeight w:val="1125"/>
        </w:trPr>
        <w:tc>
          <w:tcPr>
            <w:tcW w:w="602" w:type="dxa"/>
            <w:vMerge w:val="restart"/>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Pořadí výzvy</w:t>
            </w:r>
          </w:p>
        </w:tc>
        <w:tc>
          <w:tcPr>
            <w:tcW w:w="495" w:type="dxa"/>
            <w:vMerge w:val="restart"/>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Číslo výzvy</w:t>
            </w:r>
          </w:p>
        </w:tc>
        <w:tc>
          <w:tcPr>
            <w:tcW w:w="1732" w:type="dxa"/>
            <w:gridSpan w:val="2"/>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Podání projektových žádostí</w:t>
            </w:r>
          </w:p>
        </w:tc>
        <w:tc>
          <w:tcPr>
            <w:tcW w:w="861" w:type="dxa"/>
            <w:vMerge w:val="restart"/>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Druh výzvy</w:t>
            </w:r>
          </w:p>
        </w:tc>
        <w:tc>
          <w:tcPr>
            <w:tcW w:w="772" w:type="dxa"/>
            <w:vMerge w:val="restart"/>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Číslo prioritní osy/oblasti podpory</w:t>
            </w:r>
          </w:p>
        </w:tc>
        <w:tc>
          <w:tcPr>
            <w:tcW w:w="916" w:type="dxa"/>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Alokace na výzvu</w:t>
            </w:r>
          </w:p>
        </w:tc>
        <w:tc>
          <w:tcPr>
            <w:tcW w:w="1415" w:type="dxa"/>
            <w:gridSpan w:val="2"/>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Podané žádosti o podporu</w:t>
            </w:r>
          </w:p>
        </w:tc>
        <w:tc>
          <w:tcPr>
            <w:tcW w:w="1827" w:type="dxa"/>
            <w:gridSpan w:val="2"/>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Projekty s vydaným Rozhodnutím/podepsanou Smlouvou</w:t>
            </w:r>
          </w:p>
        </w:tc>
      </w:tr>
      <w:tr w:rsidR="005F4523" w:rsidRPr="005F4523" w:rsidTr="001352F9">
        <w:trPr>
          <w:trHeight w:val="1050"/>
        </w:trPr>
        <w:tc>
          <w:tcPr>
            <w:tcW w:w="602" w:type="dxa"/>
            <w:vMerge/>
            <w:shd w:val="clear" w:color="auto" w:fill="C2D69B" w:themeFill="accent3" w:themeFillTint="99"/>
            <w:vAlign w:val="center"/>
            <w:hideMark/>
          </w:tcPr>
          <w:p w:rsidR="005F4523" w:rsidRPr="005F4523" w:rsidRDefault="005F4523" w:rsidP="005F4523">
            <w:pPr>
              <w:rPr>
                <w:b/>
                <w:bCs/>
                <w:sz w:val="16"/>
                <w:szCs w:val="16"/>
              </w:rPr>
            </w:pPr>
          </w:p>
        </w:tc>
        <w:tc>
          <w:tcPr>
            <w:tcW w:w="495" w:type="dxa"/>
            <w:vMerge/>
            <w:shd w:val="clear" w:color="auto" w:fill="C2D69B" w:themeFill="accent3" w:themeFillTint="99"/>
            <w:vAlign w:val="center"/>
            <w:hideMark/>
          </w:tcPr>
          <w:p w:rsidR="005F4523" w:rsidRPr="005F4523" w:rsidRDefault="005F4523" w:rsidP="005F4523">
            <w:pPr>
              <w:rPr>
                <w:b/>
                <w:bCs/>
                <w:sz w:val="16"/>
                <w:szCs w:val="16"/>
              </w:rPr>
            </w:pPr>
          </w:p>
        </w:tc>
        <w:tc>
          <w:tcPr>
            <w:tcW w:w="939" w:type="dxa"/>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Datum zahájení příjmu projektových žádostí</w:t>
            </w:r>
          </w:p>
        </w:tc>
        <w:tc>
          <w:tcPr>
            <w:tcW w:w="793" w:type="dxa"/>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Datum ukončení výzvy</w:t>
            </w:r>
          </w:p>
        </w:tc>
        <w:tc>
          <w:tcPr>
            <w:tcW w:w="861" w:type="dxa"/>
            <w:vMerge/>
            <w:shd w:val="clear" w:color="auto" w:fill="C2D69B" w:themeFill="accent3" w:themeFillTint="99"/>
            <w:vAlign w:val="center"/>
            <w:hideMark/>
          </w:tcPr>
          <w:p w:rsidR="005F4523" w:rsidRPr="005F4523" w:rsidRDefault="005F4523" w:rsidP="005F4523">
            <w:pPr>
              <w:rPr>
                <w:b/>
                <w:bCs/>
                <w:sz w:val="16"/>
                <w:szCs w:val="16"/>
              </w:rPr>
            </w:pPr>
          </w:p>
        </w:tc>
        <w:tc>
          <w:tcPr>
            <w:tcW w:w="772" w:type="dxa"/>
            <w:vMerge/>
            <w:shd w:val="clear" w:color="auto" w:fill="C2D69B" w:themeFill="accent3" w:themeFillTint="99"/>
            <w:vAlign w:val="center"/>
            <w:hideMark/>
          </w:tcPr>
          <w:p w:rsidR="005F4523" w:rsidRPr="005F4523" w:rsidRDefault="005F4523" w:rsidP="005F4523">
            <w:pPr>
              <w:rPr>
                <w:b/>
                <w:bCs/>
                <w:sz w:val="16"/>
                <w:szCs w:val="16"/>
              </w:rPr>
            </w:pPr>
          </w:p>
        </w:tc>
        <w:tc>
          <w:tcPr>
            <w:tcW w:w="916" w:type="dxa"/>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v EUR</w:t>
            </w:r>
          </w:p>
        </w:tc>
        <w:tc>
          <w:tcPr>
            <w:tcW w:w="485" w:type="dxa"/>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počet</w:t>
            </w:r>
          </w:p>
        </w:tc>
        <w:tc>
          <w:tcPr>
            <w:tcW w:w="930" w:type="dxa"/>
            <w:shd w:val="clear" w:color="auto" w:fill="C2D69B" w:themeFill="accent3" w:themeFillTint="99"/>
            <w:vAlign w:val="center"/>
            <w:hideMark/>
          </w:tcPr>
          <w:p w:rsidR="005F4523" w:rsidRPr="005F4523" w:rsidRDefault="005F4523" w:rsidP="005F4523">
            <w:pPr>
              <w:jc w:val="center"/>
              <w:rPr>
                <w:b/>
                <w:bCs/>
                <w:sz w:val="16"/>
                <w:szCs w:val="16"/>
              </w:rPr>
            </w:pPr>
            <w:r w:rsidRPr="005F4523">
              <w:rPr>
                <w:b/>
                <w:bCs/>
                <w:sz w:val="16"/>
                <w:szCs w:val="16"/>
              </w:rPr>
              <w:t>v EUR</w:t>
            </w:r>
          </w:p>
        </w:tc>
        <w:tc>
          <w:tcPr>
            <w:tcW w:w="618" w:type="dxa"/>
            <w:shd w:val="clear" w:color="auto" w:fill="C2D69B" w:themeFill="accent3" w:themeFillTint="99"/>
            <w:noWrap/>
            <w:vAlign w:val="center"/>
            <w:hideMark/>
          </w:tcPr>
          <w:p w:rsidR="005F4523" w:rsidRPr="005F4523" w:rsidRDefault="005F4523" w:rsidP="005F4523">
            <w:pPr>
              <w:jc w:val="center"/>
              <w:rPr>
                <w:b/>
                <w:bCs/>
                <w:sz w:val="16"/>
                <w:szCs w:val="16"/>
              </w:rPr>
            </w:pPr>
            <w:r w:rsidRPr="005F4523">
              <w:rPr>
                <w:b/>
                <w:bCs/>
                <w:sz w:val="16"/>
                <w:szCs w:val="16"/>
              </w:rPr>
              <w:t xml:space="preserve">počet </w:t>
            </w:r>
          </w:p>
        </w:tc>
        <w:tc>
          <w:tcPr>
            <w:tcW w:w="1209" w:type="dxa"/>
            <w:shd w:val="clear" w:color="auto" w:fill="C2D69B" w:themeFill="accent3" w:themeFillTint="99"/>
            <w:noWrap/>
            <w:vAlign w:val="center"/>
            <w:hideMark/>
          </w:tcPr>
          <w:p w:rsidR="005F4523" w:rsidRPr="005F4523" w:rsidRDefault="005F4523" w:rsidP="005F4523">
            <w:pPr>
              <w:jc w:val="center"/>
              <w:rPr>
                <w:b/>
                <w:bCs/>
                <w:sz w:val="16"/>
                <w:szCs w:val="16"/>
              </w:rPr>
            </w:pPr>
            <w:r w:rsidRPr="005F4523">
              <w:rPr>
                <w:b/>
                <w:bCs/>
                <w:sz w:val="16"/>
                <w:szCs w:val="16"/>
              </w:rPr>
              <w:t>v EUR</w:t>
            </w:r>
          </w:p>
        </w:tc>
      </w:tr>
      <w:tr w:rsidR="005F4523" w:rsidRPr="005F4523" w:rsidTr="001352F9">
        <w:trPr>
          <w:trHeight w:val="300"/>
        </w:trPr>
        <w:tc>
          <w:tcPr>
            <w:tcW w:w="602"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5</w:t>
            </w:r>
          </w:p>
        </w:tc>
        <w:tc>
          <w:tcPr>
            <w:tcW w:w="495"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01</w:t>
            </w:r>
          </w:p>
        </w:tc>
        <w:tc>
          <w:tcPr>
            <w:tcW w:w="939" w:type="dxa"/>
            <w:shd w:val="clear" w:color="000000" w:fill="FFFFFF"/>
            <w:vAlign w:val="center"/>
            <w:hideMark/>
          </w:tcPr>
          <w:p w:rsidR="005F4523" w:rsidRPr="005F4523" w:rsidRDefault="00AE4209" w:rsidP="005E2949">
            <w:pPr>
              <w:jc w:val="center"/>
              <w:rPr>
                <w:color w:val="000000"/>
                <w:sz w:val="16"/>
                <w:szCs w:val="16"/>
              </w:rPr>
            </w:pPr>
            <w:r w:rsidRPr="005F4523">
              <w:rPr>
                <w:color w:val="000000"/>
                <w:sz w:val="16"/>
                <w:szCs w:val="16"/>
              </w:rPr>
              <w:t>5. 6. 2008</w:t>
            </w:r>
          </w:p>
        </w:tc>
        <w:tc>
          <w:tcPr>
            <w:tcW w:w="793" w:type="dxa"/>
            <w:shd w:val="clear" w:color="000000" w:fill="FFFFFF"/>
            <w:vAlign w:val="center"/>
            <w:hideMark/>
          </w:tcPr>
          <w:p w:rsidR="005F4523" w:rsidRPr="005F4523" w:rsidRDefault="005F4523" w:rsidP="005E2949">
            <w:pPr>
              <w:jc w:val="center"/>
              <w:rPr>
                <w:color w:val="000000"/>
                <w:sz w:val="16"/>
                <w:szCs w:val="16"/>
              </w:rPr>
            </w:pPr>
            <w:r w:rsidRPr="005F4523">
              <w:rPr>
                <w:color w:val="000000"/>
                <w:sz w:val="16"/>
                <w:szCs w:val="16"/>
              </w:rPr>
              <w:t>30.9.2015</w:t>
            </w:r>
          </w:p>
        </w:tc>
        <w:tc>
          <w:tcPr>
            <w:tcW w:w="861"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kontinuální</w:t>
            </w:r>
          </w:p>
        </w:tc>
        <w:tc>
          <w:tcPr>
            <w:tcW w:w="772" w:type="dxa"/>
            <w:shd w:val="clear" w:color="000000" w:fill="FFFFFF"/>
            <w:vAlign w:val="center"/>
            <w:hideMark/>
          </w:tcPr>
          <w:p w:rsidR="005F4523" w:rsidRPr="005F4523" w:rsidRDefault="005F4523" w:rsidP="005E2949">
            <w:pPr>
              <w:jc w:val="center"/>
              <w:rPr>
                <w:color w:val="000000"/>
                <w:sz w:val="16"/>
                <w:szCs w:val="16"/>
              </w:rPr>
            </w:pPr>
            <w:r w:rsidRPr="005F4523">
              <w:rPr>
                <w:color w:val="000000"/>
                <w:sz w:val="16"/>
                <w:szCs w:val="16"/>
              </w:rPr>
              <w:t>6.1a</w:t>
            </w:r>
          </w:p>
        </w:tc>
        <w:tc>
          <w:tcPr>
            <w:tcW w:w="916"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24 562 550</w:t>
            </w:r>
          </w:p>
        </w:tc>
        <w:tc>
          <w:tcPr>
            <w:tcW w:w="485"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48</w:t>
            </w:r>
          </w:p>
        </w:tc>
        <w:tc>
          <w:tcPr>
            <w:tcW w:w="930"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40 256 603</w:t>
            </w:r>
          </w:p>
        </w:tc>
        <w:tc>
          <w:tcPr>
            <w:tcW w:w="618" w:type="dxa"/>
            <w:shd w:val="clear" w:color="000000" w:fill="FFFFFF"/>
            <w:vAlign w:val="center"/>
            <w:hideMark/>
          </w:tcPr>
          <w:p w:rsidR="005F4523" w:rsidRPr="005F4523" w:rsidRDefault="005F4523" w:rsidP="000E3E9B">
            <w:pPr>
              <w:jc w:val="right"/>
              <w:rPr>
                <w:color w:val="000000"/>
                <w:sz w:val="16"/>
                <w:szCs w:val="16"/>
              </w:rPr>
            </w:pPr>
            <w:r w:rsidRPr="005F4523">
              <w:rPr>
                <w:color w:val="000000"/>
                <w:sz w:val="16"/>
                <w:szCs w:val="16"/>
              </w:rPr>
              <w:t>48</w:t>
            </w:r>
          </w:p>
        </w:tc>
        <w:tc>
          <w:tcPr>
            <w:tcW w:w="1209"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37 143 587</w:t>
            </w:r>
          </w:p>
        </w:tc>
      </w:tr>
      <w:tr w:rsidR="005F4523" w:rsidRPr="005F4523" w:rsidTr="001352F9">
        <w:trPr>
          <w:trHeight w:val="300"/>
        </w:trPr>
        <w:tc>
          <w:tcPr>
            <w:tcW w:w="602"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5</w:t>
            </w:r>
          </w:p>
        </w:tc>
        <w:tc>
          <w:tcPr>
            <w:tcW w:w="495"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01</w:t>
            </w:r>
          </w:p>
        </w:tc>
        <w:tc>
          <w:tcPr>
            <w:tcW w:w="939" w:type="dxa"/>
            <w:shd w:val="clear" w:color="000000" w:fill="FFFFFF"/>
            <w:vAlign w:val="center"/>
            <w:hideMark/>
          </w:tcPr>
          <w:p w:rsidR="005F4523" w:rsidRPr="005F4523" w:rsidRDefault="00AE4209" w:rsidP="005E2949">
            <w:pPr>
              <w:jc w:val="center"/>
              <w:rPr>
                <w:color w:val="000000"/>
                <w:sz w:val="16"/>
                <w:szCs w:val="16"/>
              </w:rPr>
            </w:pPr>
            <w:r w:rsidRPr="005F4523">
              <w:rPr>
                <w:color w:val="000000"/>
                <w:sz w:val="16"/>
                <w:szCs w:val="16"/>
              </w:rPr>
              <w:t>5. 6. 2008</w:t>
            </w:r>
          </w:p>
        </w:tc>
        <w:tc>
          <w:tcPr>
            <w:tcW w:w="793" w:type="dxa"/>
            <w:shd w:val="clear" w:color="000000" w:fill="FFFFFF"/>
            <w:vAlign w:val="center"/>
            <w:hideMark/>
          </w:tcPr>
          <w:p w:rsidR="005F4523" w:rsidRPr="005F4523" w:rsidRDefault="005F4523" w:rsidP="005E2949">
            <w:pPr>
              <w:jc w:val="center"/>
              <w:rPr>
                <w:color w:val="000000"/>
                <w:sz w:val="16"/>
                <w:szCs w:val="16"/>
              </w:rPr>
            </w:pPr>
            <w:proofErr w:type="gramStart"/>
            <w:r w:rsidRPr="005F4523">
              <w:rPr>
                <w:color w:val="000000"/>
                <w:sz w:val="16"/>
                <w:szCs w:val="16"/>
              </w:rPr>
              <w:t>30.9.2015</w:t>
            </w:r>
            <w:proofErr w:type="gramEnd"/>
          </w:p>
        </w:tc>
        <w:tc>
          <w:tcPr>
            <w:tcW w:w="861"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kontinuální</w:t>
            </w:r>
          </w:p>
        </w:tc>
        <w:tc>
          <w:tcPr>
            <w:tcW w:w="772" w:type="dxa"/>
            <w:shd w:val="clear" w:color="000000" w:fill="FFFFFF"/>
            <w:vAlign w:val="center"/>
            <w:hideMark/>
          </w:tcPr>
          <w:p w:rsidR="005F4523" w:rsidRPr="005F4523" w:rsidRDefault="005F4523" w:rsidP="005E2949">
            <w:pPr>
              <w:jc w:val="center"/>
              <w:rPr>
                <w:color w:val="000000"/>
                <w:sz w:val="16"/>
                <w:szCs w:val="16"/>
              </w:rPr>
            </w:pPr>
            <w:r w:rsidRPr="005F4523">
              <w:rPr>
                <w:color w:val="000000"/>
                <w:sz w:val="16"/>
                <w:szCs w:val="16"/>
              </w:rPr>
              <w:t>6.1b</w:t>
            </w:r>
          </w:p>
        </w:tc>
        <w:tc>
          <w:tcPr>
            <w:tcW w:w="916"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451 628</w:t>
            </w:r>
          </w:p>
        </w:tc>
        <w:tc>
          <w:tcPr>
            <w:tcW w:w="485"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0</w:t>
            </w:r>
          </w:p>
        </w:tc>
        <w:tc>
          <w:tcPr>
            <w:tcW w:w="930"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740 108</w:t>
            </w:r>
          </w:p>
        </w:tc>
        <w:tc>
          <w:tcPr>
            <w:tcW w:w="618" w:type="dxa"/>
            <w:shd w:val="clear" w:color="000000" w:fill="FFFFFF"/>
            <w:vAlign w:val="center"/>
            <w:hideMark/>
          </w:tcPr>
          <w:p w:rsidR="005F4523" w:rsidRPr="005F4523" w:rsidRDefault="005F4523" w:rsidP="000E3E9B">
            <w:pPr>
              <w:jc w:val="right"/>
              <w:rPr>
                <w:color w:val="000000"/>
                <w:sz w:val="16"/>
                <w:szCs w:val="16"/>
              </w:rPr>
            </w:pPr>
            <w:r w:rsidRPr="005F4523">
              <w:rPr>
                <w:color w:val="000000"/>
                <w:sz w:val="16"/>
                <w:szCs w:val="16"/>
              </w:rPr>
              <w:t>0</w:t>
            </w:r>
          </w:p>
        </w:tc>
        <w:tc>
          <w:tcPr>
            <w:tcW w:w="1209"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682 876</w:t>
            </w:r>
          </w:p>
        </w:tc>
      </w:tr>
      <w:tr w:rsidR="005F4523" w:rsidRPr="005F4523" w:rsidTr="001352F9">
        <w:trPr>
          <w:trHeight w:val="300"/>
        </w:trPr>
        <w:tc>
          <w:tcPr>
            <w:tcW w:w="602"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37</w:t>
            </w:r>
          </w:p>
        </w:tc>
        <w:tc>
          <w:tcPr>
            <w:tcW w:w="495"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10</w:t>
            </w:r>
          </w:p>
        </w:tc>
        <w:tc>
          <w:tcPr>
            <w:tcW w:w="939" w:type="dxa"/>
            <w:shd w:val="clear" w:color="000000" w:fill="FFFFFF"/>
            <w:vAlign w:val="center"/>
            <w:hideMark/>
          </w:tcPr>
          <w:p w:rsidR="005F4523" w:rsidRPr="005F4523" w:rsidRDefault="00AE4209" w:rsidP="005E2949">
            <w:pPr>
              <w:jc w:val="center"/>
              <w:rPr>
                <w:color w:val="000000"/>
                <w:sz w:val="16"/>
                <w:szCs w:val="16"/>
              </w:rPr>
            </w:pPr>
            <w:r w:rsidRPr="005F4523">
              <w:rPr>
                <w:color w:val="000000"/>
                <w:sz w:val="16"/>
                <w:szCs w:val="16"/>
              </w:rPr>
              <w:t>27. 9. 2010</w:t>
            </w:r>
          </w:p>
        </w:tc>
        <w:tc>
          <w:tcPr>
            <w:tcW w:w="793" w:type="dxa"/>
            <w:shd w:val="clear" w:color="000000" w:fill="FFFFFF"/>
            <w:vAlign w:val="center"/>
            <w:hideMark/>
          </w:tcPr>
          <w:p w:rsidR="005F4523" w:rsidRPr="005F4523" w:rsidRDefault="005F4523" w:rsidP="005E2949">
            <w:pPr>
              <w:jc w:val="center"/>
              <w:rPr>
                <w:color w:val="000000"/>
                <w:sz w:val="16"/>
                <w:szCs w:val="16"/>
              </w:rPr>
            </w:pPr>
            <w:proofErr w:type="gramStart"/>
            <w:r w:rsidRPr="005F4523">
              <w:rPr>
                <w:color w:val="000000"/>
                <w:sz w:val="16"/>
                <w:szCs w:val="16"/>
              </w:rPr>
              <w:t>30.9.2015</w:t>
            </w:r>
            <w:proofErr w:type="gramEnd"/>
          </w:p>
        </w:tc>
        <w:tc>
          <w:tcPr>
            <w:tcW w:w="861"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kontinuální</w:t>
            </w:r>
          </w:p>
        </w:tc>
        <w:tc>
          <w:tcPr>
            <w:tcW w:w="772" w:type="dxa"/>
            <w:shd w:val="clear" w:color="000000" w:fill="FFFFFF"/>
            <w:vAlign w:val="center"/>
            <w:hideMark/>
          </w:tcPr>
          <w:p w:rsidR="005F4523" w:rsidRPr="005F4523" w:rsidRDefault="005F4523" w:rsidP="005E2949">
            <w:pPr>
              <w:jc w:val="center"/>
              <w:rPr>
                <w:color w:val="000000"/>
                <w:sz w:val="16"/>
                <w:szCs w:val="16"/>
              </w:rPr>
            </w:pPr>
            <w:r w:rsidRPr="005F4523">
              <w:rPr>
                <w:color w:val="000000"/>
                <w:sz w:val="16"/>
                <w:szCs w:val="16"/>
              </w:rPr>
              <w:t>6.2a</w:t>
            </w:r>
          </w:p>
        </w:tc>
        <w:tc>
          <w:tcPr>
            <w:tcW w:w="916"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9 809 579</w:t>
            </w:r>
          </w:p>
        </w:tc>
        <w:tc>
          <w:tcPr>
            <w:tcW w:w="485"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51</w:t>
            </w:r>
          </w:p>
        </w:tc>
        <w:tc>
          <w:tcPr>
            <w:tcW w:w="930"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5 083 643</w:t>
            </w:r>
          </w:p>
        </w:tc>
        <w:tc>
          <w:tcPr>
            <w:tcW w:w="618" w:type="dxa"/>
            <w:shd w:val="clear" w:color="000000" w:fill="FFFFFF"/>
            <w:vAlign w:val="center"/>
            <w:hideMark/>
          </w:tcPr>
          <w:p w:rsidR="005F4523" w:rsidRPr="005F4523" w:rsidRDefault="005F4523" w:rsidP="000E3E9B">
            <w:pPr>
              <w:jc w:val="right"/>
              <w:rPr>
                <w:color w:val="000000"/>
                <w:sz w:val="16"/>
                <w:szCs w:val="16"/>
              </w:rPr>
            </w:pPr>
            <w:r w:rsidRPr="005F4523">
              <w:rPr>
                <w:color w:val="000000"/>
                <w:sz w:val="16"/>
                <w:szCs w:val="16"/>
              </w:rPr>
              <w:t>50</w:t>
            </w:r>
          </w:p>
        </w:tc>
        <w:tc>
          <w:tcPr>
            <w:tcW w:w="1209"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4 030 985</w:t>
            </w:r>
          </w:p>
        </w:tc>
      </w:tr>
      <w:tr w:rsidR="005F4523" w:rsidRPr="005F4523" w:rsidTr="001352F9">
        <w:trPr>
          <w:trHeight w:val="300"/>
        </w:trPr>
        <w:tc>
          <w:tcPr>
            <w:tcW w:w="602"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37</w:t>
            </w:r>
          </w:p>
        </w:tc>
        <w:tc>
          <w:tcPr>
            <w:tcW w:w="495"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10</w:t>
            </w:r>
          </w:p>
        </w:tc>
        <w:tc>
          <w:tcPr>
            <w:tcW w:w="939" w:type="dxa"/>
            <w:shd w:val="clear" w:color="000000" w:fill="FFFFFF"/>
            <w:vAlign w:val="center"/>
            <w:hideMark/>
          </w:tcPr>
          <w:p w:rsidR="005F4523" w:rsidRPr="005F4523" w:rsidRDefault="00AE4209" w:rsidP="005E2949">
            <w:pPr>
              <w:jc w:val="center"/>
              <w:rPr>
                <w:color w:val="000000"/>
                <w:sz w:val="16"/>
                <w:szCs w:val="16"/>
              </w:rPr>
            </w:pPr>
            <w:r w:rsidRPr="005F4523">
              <w:rPr>
                <w:color w:val="000000"/>
                <w:sz w:val="16"/>
                <w:szCs w:val="16"/>
              </w:rPr>
              <w:t>27. 9. 2010</w:t>
            </w:r>
          </w:p>
        </w:tc>
        <w:tc>
          <w:tcPr>
            <w:tcW w:w="793" w:type="dxa"/>
            <w:shd w:val="clear" w:color="000000" w:fill="FFFFFF"/>
            <w:vAlign w:val="center"/>
            <w:hideMark/>
          </w:tcPr>
          <w:p w:rsidR="005F4523" w:rsidRPr="005F4523" w:rsidRDefault="005F4523" w:rsidP="005E2949">
            <w:pPr>
              <w:jc w:val="center"/>
              <w:rPr>
                <w:color w:val="000000"/>
                <w:sz w:val="16"/>
                <w:szCs w:val="16"/>
              </w:rPr>
            </w:pPr>
            <w:proofErr w:type="gramStart"/>
            <w:r w:rsidRPr="005F4523">
              <w:rPr>
                <w:color w:val="000000"/>
                <w:sz w:val="16"/>
                <w:szCs w:val="16"/>
              </w:rPr>
              <w:t>30.9.2015</w:t>
            </w:r>
            <w:proofErr w:type="gramEnd"/>
          </w:p>
        </w:tc>
        <w:tc>
          <w:tcPr>
            <w:tcW w:w="861" w:type="dxa"/>
            <w:shd w:val="clear" w:color="000000" w:fill="FFFFFF"/>
            <w:noWrap/>
            <w:vAlign w:val="center"/>
            <w:hideMark/>
          </w:tcPr>
          <w:p w:rsidR="005F4523" w:rsidRPr="005F4523" w:rsidRDefault="005F4523" w:rsidP="005E2949">
            <w:pPr>
              <w:jc w:val="center"/>
              <w:rPr>
                <w:color w:val="000000"/>
                <w:sz w:val="16"/>
                <w:szCs w:val="16"/>
              </w:rPr>
            </w:pPr>
            <w:r w:rsidRPr="005F4523">
              <w:rPr>
                <w:color w:val="000000"/>
                <w:sz w:val="16"/>
                <w:szCs w:val="16"/>
              </w:rPr>
              <w:t>kontinuální</w:t>
            </w:r>
          </w:p>
        </w:tc>
        <w:tc>
          <w:tcPr>
            <w:tcW w:w="772" w:type="dxa"/>
            <w:shd w:val="clear" w:color="000000" w:fill="FFFFFF"/>
            <w:vAlign w:val="center"/>
            <w:hideMark/>
          </w:tcPr>
          <w:p w:rsidR="005F4523" w:rsidRPr="005F4523" w:rsidRDefault="005F4523" w:rsidP="005E2949">
            <w:pPr>
              <w:jc w:val="center"/>
              <w:rPr>
                <w:color w:val="000000"/>
                <w:sz w:val="16"/>
                <w:szCs w:val="16"/>
              </w:rPr>
            </w:pPr>
            <w:r w:rsidRPr="005F4523">
              <w:rPr>
                <w:color w:val="000000"/>
                <w:sz w:val="16"/>
                <w:szCs w:val="16"/>
              </w:rPr>
              <w:t>6.2b</w:t>
            </w:r>
          </w:p>
        </w:tc>
        <w:tc>
          <w:tcPr>
            <w:tcW w:w="916" w:type="dxa"/>
            <w:shd w:val="clear" w:color="000000" w:fill="FFFFFF"/>
            <w:noWrap/>
            <w:vAlign w:val="center"/>
            <w:hideMark/>
          </w:tcPr>
          <w:p w:rsidR="005F4523" w:rsidRPr="005F4523" w:rsidRDefault="005F4523" w:rsidP="000E3E9B">
            <w:pPr>
              <w:jc w:val="right"/>
              <w:rPr>
                <w:color w:val="000000"/>
                <w:sz w:val="16"/>
                <w:szCs w:val="16"/>
              </w:rPr>
            </w:pPr>
          </w:p>
        </w:tc>
        <w:tc>
          <w:tcPr>
            <w:tcW w:w="485"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0</w:t>
            </w:r>
          </w:p>
        </w:tc>
        <w:tc>
          <w:tcPr>
            <w:tcW w:w="930"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93 461</w:t>
            </w:r>
          </w:p>
        </w:tc>
        <w:tc>
          <w:tcPr>
            <w:tcW w:w="618" w:type="dxa"/>
            <w:shd w:val="clear" w:color="000000" w:fill="FFFFFF"/>
            <w:vAlign w:val="center"/>
            <w:hideMark/>
          </w:tcPr>
          <w:p w:rsidR="005F4523" w:rsidRPr="005F4523" w:rsidRDefault="005F4523" w:rsidP="000E3E9B">
            <w:pPr>
              <w:jc w:val="right"/>
              <w:rPr>
                <w:color w:val="000000"/>
                <w:sz w:val="16"/>
                <w:szCs w:val="16"/>
              </w:rPr>
            </w:pPr>
            <w:r w:rsidRPr="005F4523">
              <w:rPr>
                <w:color w:val="000000"/>
                <w:sz w:val="16"/>
                <w:szCs w:val="16"/>
              </w:rPr>
              <w:t>0</w:t>
            </w:r>
          </w:p>
        </w:tc>
        <w:tc>
          <w:tcPr>
            <w:tcW w:w="1209" w:type="dxa"/>
            <w:shd w:val="clear" w:color="000000" w:fill="FFFFFF"/>
            <w:noWrap/>
            <w:vAlign w:val="center"/>
            <w:hideMark/>
          </w:tcPr>
          <w:p w:rsidR="005F4523" w:rsidRPr="005F4523" w:rsidRDefault="005F4523" w:rsidP="000E3E9B">
            <w:pPr>
              <w:jc w:val="right"/>
              <w:rPr>
                <w:color w:val="000000"/>
                <w:sz w:val="16"/>
                <w:szCs w:val="16"/>
              </w:rPr>
            </w:pPr>
            <w:r w:rsidRPr="005F4523">
              <w:rPr>
                <w:color w:val="000000"/>
                <w:sz w:val="16"/>
                <w:szCs w:val="16"/>
              </w:rPr>
              <w:t>74 108</w:t>
            </w:r>
          </w:p>
        </w:tc>
      </w:tr>
      <w:tr w:rsidR="005F4523" w:rsidRPr="005F4523" w:rsidTr="001352F9">
        <w:trPr>
          <w:trHeight w:val="300"/>
        </w:trPr>
        <w:tc>
          <w:tcPr>
            <w:tcW w:w="4462" w:type="dxa"/>
            <w:gridSpan w:val="6"/>
            <w:shd w:val="clear" w:color="000000" w:fill="FFFFFF"/>
            <w:noWrap/>
            <w:vAlign w:val="bottom"/>
            <w:hideMark/>
          </w:tcPr>
          <w:p w:rsidR="005F4523" w:rsidRPr="005F4523" w:rsidRDefault="005F4523" w:rsidP="005F4523">
            <w:pPr>
              <w:rPr>
                <w:sz w:val="16"/>
                <w:szCs w:val="16"/>
              </w:rPr>
            </w:pPr>
            <w:r w:rsidRPr="005F4523">
              <w:rPr>
                <w:sz w:val="16"/>
                <w:szCs w:val="16"/>
              </w:rPr>
              <w:t>Celkem KONV</w:t>
            </w:r>
          </w:p>
        </w:tc>
        <w:tc>
          <w:tcPr>
            <w:tcW w:w="916" w:type="dxa"/>
            <w:shd w:val="clear" w:color="000000" w:fill="FFFFFF"/>
            <w:noWrap/>
            <w:vAlign w:val="center"/>
            <w:hideMark/>
          </w:tcPr>
          <w:p w:rsidR="005F4523" w:rsidRPr="005F4523" w:rsidRDefault="005F4523" w:rsidP="000E3E9B">
            <w:pPr>
              <w:jc w:val="right"/>
              <w:rPr>
                <w:sz w:val="16"/>
                <w:szCs w:val="16"/>
              </w:rPr>
            </w:pPr>
            <w:r w:rsidRPr="005F4523">
              <w:rPr>
                <w:sz w:val="16"/>
                <w:szCs w:val="16"/>
              </w:rPr>
              <w:t>34 372 129</w:t>
            </w:r>
          </w:p>
        </w:tc>
        <w:tc>
          <w:tcPr>
            <w:tcW w:w="485" w:type="dxa"/>
            <w:shd w:val="clear" w:color="000000" w:fill="FFFFFF"/>
            <w:noWrap/>
            <w:vAlign w:val="center"/>
            <w:hideMark/>
          </w:tcPr>
          <w:p w:rsidR="005F4523" w:rsidRPr="005F4523" w:rsidRDefault="005F4523" w:rsidP="000E3E9B">
            <w:pPr>
              <w:jc w:val="right"/>
              <w:rPr>
                <w:sz w:val="16"/>
                <w:szCs w:val="16"/>
              </w:rPr>
            </w:pPr>
            <w:r w:rsidRPr="005F4523">
              <w:rPr>
                <w:sz w:val="16"/>
                <w:szCs w:val="16"/>
              </w:rPr>
              <w:t>99</w:t>
            </w:r>
          </w:p>
        </w:tc>
        <w:tc>
          <w:tcPr>
            <w:tcW w:w="930" w:type="dxa"/>
            <w:shd w:val="clear" w:color="000000" w:fill="FFFFFF"/>
            <w:noWrap/>
            <w:vAlign w:val="center"/>
            <w:hideMark/>
          </w:tcPr>
          <w:p w:rsidR="005F4523" w:rsidRPr="005F4523" w:rsidRDefault="005F4523" w:rsidP="000E3E9B">
            <w:pPr>
              <w:jc w:val="right"/>
              <w:rPr>
                <w:sz w:val="16"/>
                <w:szCs w:val="16"/>
              </w:rPr>
            </w:pPr>
            <w:r w:rsidRPr="005F4523">
              <w:rPr>
                <w:sz w:val="16"/>
                <w:szCs w:val="16"/>
              </w:rPr>
              <w:t>45 340 246</w:t>
            </w:r>
          </w:p>
        </w:tc>
        <w:tc>
          <w:tcPr>
            <w:tcW w:w="618" w:type="dxa"/>
            <w:shd w:val="clear" w:color="000000" w:fill="FFFFFF"/>
            <w:noWrap/>
            <w:vAlign w:val="center"/>
            <w:hideMark/>
          </w:tcPr>
          <w:p w:rsidR="005F4523" w:rsidRPr="005F4523" w:rsidRDefault="005F4523" w:rsidP="000E3E9B">
            <w:pPr>
              <w:jc w:val="right"/>
              <w:rPr>
                <w:sz w:val="16"/>
                <w:szCs w:val="16"/>
              </w:rPr>
            </w:pPr>
            <w:r w:rsidRPr="005F4523">
              <w:rPr>
                <w:sz w:val="16"/>
                <w:szCs w:val="16"/>
              </w:rPr>
              <w:t>98</w:t>
            </w:r>
          </w:p>
        </w:tc>
        <w:tc>
          <w:tcPr>
            <w:tcW w:w="1209" w:type="dxa"/>
            <w:shd w:val="clear" w:color="000000" w:fill="FFFFFF"/>
            <w:noWrap/>
            <w:vAlign w:val="center"/>
            <w:hideMark/>
          </w:tcPr>
          <w:p w:rsidR="005F4523" w:rsidRPr="005F4523" w:rsidRDefault="005F4523" w:rsidP="000E3E9B">
            <w:pPr>
              <w:jc w:val="right"/>
              <w:rPr>
                <w:sz w:val="16"/>
                <w:szCs w:val="16"/>
              </w:rPr>
            </w:pPr>
            <w:r w:rsidRPr="005F4523">
              <w:rPr>
                <w:sz w:val="16"/>
                <w:szCs w:val="16"/>
              </w:rPr>
              <w:t>41 174 572</w:t>
            </w:r>
          </w:p>
        </w:tc>
      </w:tr>
      <w:tr w:rsidR="005F4523" w:rsidRPr="005F4523" w:rsidTr="001352F9">
        <w:trPr>
          <w:trHeight w:val="300"/>
        </w:trPr>
        <w:tc>
          <w:tcPr>
            <w:tcW w:w="4462" w:type="dxa"/>
            <w:gridSpan w:val="6"/>
            <w:shd w:val="clear" w:color="000000" w:fill="FFFFFF"/>
            <w:noWrap/>
            <w:vAlign w:val="bottom"/>
            <w:hideMark/>
          </w:tcPr>
          <w:p w:rsidR="005F4523" w:rsidRPr="005F4523" w:rsidRDefault="005F4523" w:rsidP="005F4523">
            <w:pPr>
              <w:rPr>
                <w:sz w:val="16"/>
                <w:szCs w:val="16"/>
              </w:rPr>
            </w:pPr>
            <w:r w:rsidRPr="005F4523">
              <w:rPr>
                <w:sz w:val="16"/>
                <w:szCs w:val="16"/>
              </w:rPr>
              <w:t xml:space="preserve">Celkem </w:t>
            </w:r>
            <w:proofErr w:type="spellStart"/>
            <w:r w:rsidRPr="005F4523">
              <w:rPr>
                <w:sz w:val="16"/>
                <w:szCs w:val="16"/>
              </w:rPr>
              <w:t>RKaZ</w:t>
            </w:r>
            <w:proofErr w:type="spellEnd"/>
          </w:p>
        </w:tc>
        <w:tc>
          <w:tcPr>
            <w:tcW w:w="916" w:type="dxa"/>
            <w:shd w:val="clear" w:color="000000" w:fill="FFFFFF"/>
            <w:noWrap/>
            <w:vAlign w:val="center"/>
            <w:hideMark/>
          </w:tcPr>
          <w:p w:rsidR="005F4523" w:rsidRPr="005F4523" w:rsidRDefault="005F4523" w:rsidP="000E3E9B">
            <w:pPr>
              <w:jc w:val="right"/>
              <w:rPr>
                <w:sz w:val="16"/>
                <w:szCs w:val="16"/>
              </w:rPr>
            </w:pPr>
            <w:r w:rsidRPr="005F4523">
              <w:rPr>
                <w:sz w:val="16"/>
                <w:szCs w:val="16"/>
              </w:rPr>
              <w:t>451 628</w:t>
            </w:r>
          </w:p>
        </w:tc>
        <w:tc>
          <w:tcPr>
            <w:tcW w:w="485" w:type="dxa"/>
            <w:shd w:val="clear" w:color="000000" w:fill="FFFFFF"/>
            <w:noWrap/>
            <w:vAlign w:val="center"/>
            <w:hideMark/>
          </w:tcPr>
          <w:p w:rsidR="005F4523" w:rsidRPr="005F4523" w:rsidRDefault="005F4523" w:rsidP="000E3E9B">
            <w:pPr>
              <w:jc w:val="right"/>
              <w:rPr>
                <w:sz w:val="16"/>
                <w:szCs w:val="16"/>
              </w:rPr>
            </w:pPr>
            <w:r w:rsidRPr="005F4523">
              <w:rPr>
                <w:sz w:val="16"/>
                <w:szCs w:val="16"/>
              </w:rPr>
              <w:t>0</w:t>
            </w:r>
          </w:p>
        </w:tc>
        <w:tc>
          <w:tcPr>
            <w:tcW w:w="930" w:type="dxa"/>
            <w:shd w:val="clear" w:color="000000" w:fill="FFFFFF"/>
            <w:noWrap/>
            <w:vAlign w:val="center"/>
            <w:hideMark/>
          </w:tcPr>
          <w:p w:rsidR="005F4523" w:rsidRPr="005F4523" w:rsidRDefault="005F4523" w:rsidP="000E3E9B">
            <w:pPr>
              <w:jc w:val="right"/>
              <w:rPr>
                <w:sz w:val="16"/>
                <w:szCs w:val="16"/>
              </w:rPr>
            </w:pPr>
            <w:r w:rsidRPr="005F4523">
              <w:rPr>
                <w:sz w:val="16"/>
                <w:szCs w:val="16"/>
              </w:rPr>
              <w:t>833 569</w:t>
            </w:r>
          </w:p>
        </w:tc>
        <w:tc>
          <w:tcPr>
            <w:tcW w:w="618" w:type="dxa"/>
            <w:shd w:val="clear" w:color="000000" w:fill="FFFFFF"/>
            <w:noWrap/>
            <w:vAlign w:val="center"/>
            <w:hideMark/>
          </w:tcPr>
          <w:p w:rsidR="005F4523" w:rsidRPr="005F4523" w:rsidRDefault="005F4523" w:rsidP="000E3E9B">
            <w:pPr>
              <w:jc w:val="right"/>
              <w:rPr>
                <w:sz w:val="16"/>
                <w:szCs w:val="16"/>
              </w:rPr>
            </w:pPr>
            <w:r w:rsidRPr="005F4523">
              <w:rPr>
                <w:sz w:val="16"/>
                <w:szCs w:val="16"/>
              </w:rPr>
              <w:t>0</w:t>
            </w:r>
          </w:p>
        </w:tc>
        <w:tc>
          <w:tcPr>
            <w:tcW w:w="1209" w:type="dxa"/>
            <w:shd w:val="clear" w:color="000000" w:fill="FFFFFF"/>
            <w:noWrap/>
            <w:vAlign w:val="center"/>
            <w:hideMark/>
          </w:tcPr>
          <w:p w:rsidR="005F4523" w:rsidRPr="005F4523" w:rsidRDefault="005F4523" w:rsidP="000E3E9B">
            <w:pPr>
              <w:jc w:val="right"/>
              <w:rPr>
                <w:sz w:val="16"/>
                <w:szCs w:val="16"/>
              </w:rPr>
            </w:pPr>
            <w:r w:rsidRPr="005F4523">
              <w:rPr>
                <w:sz w:val="16"/>
                <w:szCs w:val="16"/>
              </w:rPr>
              <w:t>756 984</w:t>
            </w:r>
          </w:p>
        </w:tc>
      </w:tr>
      <w:tr w:rsidR="005F4523" w:rsidRPr="005F4523" w:rsidTr="001352F9">
        <w:trPr>
          <w:trHeight w:val="300"/>
        </w:trPr>
        <w:tc>
          <w:tcPr>
            <w:tcW w:w="1097" w:type="dxa"/>
            <w:gridSpan w:val="2"/>
            <w:shd w:val="clear" w:color="000000" w:fill="BFBFBF"/>
            <w:noWrap/>
            <w:vAlign w:val="bottom"/>
            <w:hideMark/>
          </w:tcPr>
          <w:p w:rsidR="005F4523" w:rsidRPr="005F4523" w:rsidRDefault="005F4523" w:rsidP="005F4523">
            <w:pPr>
              <w:rPr>
                <w:b/>
                <w:bCs/>
                <w:sz w:val="16"/>
                <w:szCs w:val="16"/>
              </w:rPr>
            </w:pPr>
            <w:r w:rsidRPr="005F4523">
              <w:rPr>
                <w:b/>
                <w:bCs/>
                <w:sz w:val="16"/>
                <w:szCs w:val="16"/>
              </w:rPr>
              <w:t>Celkem PO 6</w:t>
            </w:r>
          </w:p>
        </w:tc>
        <w:tc>
          <w:tcPr>
            <w:tcW w:w="939" w:type="dxa"/>
            <w:shd w:val="clear" w:color="000000" w:fill="BFBFBF"/>
            <w:noWrap/>
            <w:vAlign w:val="bottom"/>
            <w:hideMark/>
          </w:tcPr>
          <w:p w:rsidR="005F4523" w:rsidRPr="005F4523" w:rsidRDefault="005F4523" w:rsidP="005F4523">
            <w:pPr>
              <w:rPr>
                <w:b/>
                <w:bCs/>
                <w:sz w:val="16"/>
                <w:szCs w:val="16"/>
              </w:rPr>
            </w:pPr>
            <w:r w:rsidRPr="005F4523">
              <w:rPr>
                <w:b/>
                <w:bCs/>
                <w:sz w:val="16"/>
                <w:szCs w:val="16"/>
              </w:rPr>
              <w:t> </w:t>
            </w:r>
          </w:p>
        </w:tc>
        <w:tc>
          <w:tcPr>
            <w:tcW w:w="793" w:type="dxa"/>
            <w:shd w:val="clear" w:color="000000" w:fill="BFBFBF"/>
            <w:noWrap/>
            <w:vAlign w:val="bottom"/>
            <w:hideMark/>
          </w:tcPr>
          <w:p w:rsidR="005F4523" w:rsidRPr="005F4523" w:rsidRDefault="005F4523" w:rsidP="005F4523">
            <w:pPr>
              <w:rPr>
                <w:b/>
                <w:bCs/>
                <w:sz w:val="16"/>
                <w:szCs w:val="16"/>
              </w:rPr>
            </w:pPr>
            <w:r w:rsidRPr="005F4523">
              <w:rPr>
                <w:b/>
                <w:bCs/>
                <w:sz w:val="16"/>
                <w:szCs w:val="16"/>
              </w:rPr>
              <w:t> </w:t>
            </w:r>
          </w:p>
        </w:tc>
        <w:tc>
          <w:tcPr>
            <w:tcW w:w="861" w:type="dxa"/>
            <w:shd w:val="clear" w:color="000000" w:fill="BFBFBF"/>
            <w:noWrap/>
            <w:vAlign w:val="bottom"/>
            <w:hideMark/>
          </w:tcPr>
          <w:p w:rsidR="005F4523" w:rsidRPr="005F4523" w:rsidRDefault="005F4523" w:rsidP="005F4523">
            <w:pPr>
              <w:rPr>
                <w:b/>
                <w:bCs/>
                <w:sz w:val="16"/>
                <w:szCs w:val="16"/>
              </w:rPr>
            </w:pPr>
            <w:r w:rsidRPr="005F4523">
              <w:rPr>
                <w:b/>
                <w:bCs/>
                <w:sz w:val="16"/>
                <w:szCs w:val="16"/>
              </w:rPr>
              <w:t> </w:t>
            </w:r>
          </w:p>
        </w:tc>
        <w:tc>
          <w:tcPr>
            <w:tcW w:w="772" w:type="dxa"/>
            <w:shd w:val="clear" w:color="000000" w:fill="BFBFBF"/>
            <w:noWrap/>
            <w:vAlign w:val="bottom"/>
            <w:hideMark/>
          </w:tcPr>
          <w:p w:rsidR="005F4523" w:rsidRPr="005F4523" w:rsidRDefault="005F4523" w:rsidP="005F4523">
            <w:pPr>
              <w:rPr>
                <w:b/>
                <w:bCs/>
                <w:sz w:val="16"/>
                <w:szCs w:val="16"/>
              </w:rPr>
            </w:pPr>
            <w:r w:rsidRPr="005F4523">
              <w:rPr>
                <w:b/>
                <w:bCs/>
                <w:sz w:val="16"/>
                <w:szCs w:val="16"/>
              </w:rPr>
              <w:t> </w:t>
            </w:r>
          </w:p>
        </w:tc>
        <w:tc>
          <w:tcPr>
            <w:tcW w:w="916" w:type="dxa"/>
            <w:shd w:val="clear" w:color="000000" w:fill="BFBFBF"/>
            <w:noWrap/>
            <w:vAlign w:val="bottom"/>
            <w:hideMark/>
          </w:tcPr>
          <w:p w:rsidR="005F4523" w:rsidRPr="005F4523" w:rsidRDefault="005F4523" w:rsidP="000E3E9B">
            <w:pPr>
              <w:jc w:val="right"/>
              <w:rPr>
                <w:b/>
                <w:bCs/>
                <w:sz w:val="16"/>
                <w:szCs w:val="16"/>
              </w:rPr>
            </w:pPr>
            <w:r w:rsidRPr="005F4523">
              <w:rPr>
                <w:b/>
                <w:bCs/>
                <w:sz w:val="16"/>
                <w:szCs w:val="16"/>
              </w:rPr>
              <w:t>34 823 757</w:t>
            </w:r>
          </w:p>
        </w:tc>
        <w:tc>
          <w:tcPr>
            <w:tcW w:w="485" w:type="dxa"/>
            <w:shd w:val="clear" w:color="000000" w:fill="BFBFBF"/>
            <w:noWrap/>
            <w:vAlign w:val="bottom"/>
            <w:hideMark/>
          </w:tcPr>
          <w:p w:rsidR="005F4523" w:rsidRPr="005F4523" w:rsidRDefault="005F4523" w:rsidP="000E3E9B">
            <w:pPr>
              <w:jc w:val="right"/>
              <w:rPr>
                <w:b/>
                <w:bCs/>
                <w:sz w:val="16"/>
                <w:szCs w:val="16"/>
              </w:rPr>
            </w:pPr>
            <w:r w:rsidRPr="005F4523">
              <w:rPr>
                <w:b/>
                <w:bCs/>
                <w:sz w:val="16"/>
                <w:szCs w:val="16"/>
              </w:rPr>
              <w:t>99</w:t>
            </w:r>
          </w:p>
        </w:tc>
        <w:tc>
          <w:tcPr>
            <w:tcW w:w="930" w:type="dxa"/>
            <w:shd w:val="clear" w:color="000000" w:fill="BFBFBF"/>
            <w:noWrap/>
            <w:vAlign w:val="bottom"/>
            <w:hideMark/>
          </w:tcPr>
          <w:p w:rsidR="005F4523" w:rsidRPr="005F4523" w:rsidRDefault="005F4523" w:rsidP="000E3E9B">
            <w:pPr>
              <w:jc w:val="right"/>
              <w:rPr>
                <w:b/>
                <w:bCs/>
                <w:sz w:val="16"/>
                <w:szCs w:val="16"/>
              </w:rPr>
            </w:pPr>
            <w:r w:rsidRPr="005F4523">
              <w:rPr>
                <w:b/>
                <w:bCs/>
                <w:sz w:val="16"/>
                <w:szCs w:val="16"/>
              </w:rPr>
              <w:t>46 173 815</w:t>
            </w:r>
          </w:p>
        </w:tc>
        <w:tc>
          <w:tcPr>
            <w:tcW w:w="618" w:type="dxa"/>
            <w:shd w:val="clear" w:color="000000" w:fill="BFBFBF"/>
            <w:noWrap/>
            <w:vAlign w:val="bottom"/>
            <w:hideMark/>
          </w:tcPr>
          <w:p w:rsidR="005F4523" w:rsidRPr="005F4523" w:rsidRDefault="005F4523" w:rsidP="000E3E9B">
            <w:pPr>
              <w:jc w:val="right"/>
              <w:rPr>
                <w:b/>
                <w:bCs/>
                <w:sz w:val="16"/>
                <w:szCs w:val="16"/>
              </w:rPr>
            </w:pPr>
            <w:r w:rsidRPr="005F4523">
              <w:rPr>
                <w:b/>
                <w:bCs/>
                <w:sz w:val="16"/>
                <w:szCs w:val="16"/>
              </w:rPr>
              <w:t>98</w:t>
            </w:r>
          </w:p>
        </w:tc>
        <w:tc>
          <w:tcPr>
            <w:tcW w:w="1209" w:type="dxa"/>
            <w:shd w:val="clear" w:color="000000" w:fill="BFBFBF"/>
            <w:noWrap/>
            <w:vAlign w:val="bottom"/>
            <w:hideMark/>
          </w:tcPr>
          <w:p w:rsidR="005F4523" w:rsidRPr="005F4523" w:rsidRDefault="005F4523" w:rsidP="000E3E9B">
            <w:pPr>
              <w:jc w:val="right"/>
              <w:rPr>
                <w:b/>
                <w:bCs/>
                <w:sz w:val="16"/>
                <w:szCs w:val="16"/>
              </w:rPr>
            </w:pPr>
            <w:r w:rsidRPr="005F4523">
              <w:rPr>
                <w:b/>
                <w:bCs/>
                <w:sz w:val="16"/>
                <w:szCs w:val="16"/>
              </w:rPr>
              <w:t>41 931 556</w:t>
            </w:r>
          </w:p>
        </w:tc>
      </w:tr>
    </w:tbl>
    <w:p w:rsidR="00A75862" w:rsidRPr="00F95A39" w:rsidRDefault="00A75862" w:rsidP="008C4750">
      <w:pPr>
        <w:rPr>
          <w:i/>
          <w:sz w:val="18"/>
          <w:szCs w:val="18"/>
        </w:rPr>
      </w:pPr>
      <w:r w:rsidRPr="00F95A39">
        <w:rPr>
          <w:i/>
          <w:sz w:val="18"/>
          <w:szCs w:val="18"/>
        </w:rPr>
        <w:t xml:space="preserve">Zdroj: MSC2007 ke dni </w:t>
      </w:r>
      <w:r w:rsidR="00AE4209">
        <w:rPr>
          <w:i/>
          <w:sz w:val="18"/>
          <w:szCs w:val="18"/>
        </w:rPr>
        <w:t>31</w:t>
      </w:r>
      <w:r w:rsidR="00AE4209" w:rsidRPr="00F95A39">
        <w:rPr>
          <w:i/>
          <w:sz w:val="18"/>
          <w:szCs w:val="18"/>
        </w:rPr>
        <w:t>.</w:t>
      </w:r>
      <w:r w:rsidR="00AE4209">
        <w:rPr>
          <w:i/>
          <w:sz w:val="18"/>
          <w:szCs w:val="18"/>
        </w:rPr>
        <w:t xml:space="preserve"> 12. 2014</w:t>
      </w:r>
    </w:p>
    <w:p w:rsidR="00A75862" w:rsidRDefault="00A75862" w:rsidP="003F0FB9">
      <w:pPr>
        <w:rPr>
          <w:i/>
          <w:sz w:val="18"/>
          <w:szCs w:val="18"/>
        </w:rPr>
      </w:pPr>
      <w:r w:rsidRPr="00F95A39">
        <w:rPr>
          <w:i/>
          <w:sz w:val="18"/>
          <w:szCs w:val="18"/>
        </w:rPr>
        <w:t xml:space="preserve">Kurz CZK/EUR: </w:t>
      </w:r>
      <w:r w:rsidR="005E2949">
        <w:rPr>
          <w:i/>
          <w:sz w:val="18"/>
          <w:szCs w:val="18"/>
        </w:rPr>
        <w:t>27,728</w:t>
      </w:r>
    </w:p>
    <w:p w:rsidR="00A75862" w:rsidRDefault="00A75862" w:rsidP="00C5051C">
      <w:pPr>
        <w:rPr>
          <w:sz w:val="24"/>
          <w:szCs w:val="24"/>
          <w:u w:val="single"/>
        </w:rPr>
      </w:pPr>
      <w:r w:rsidRPr="00F95A39">
        <w:rPr>
          <w:i/>
          <w:sz w:val="18"/>
          <w:szCs w:val="18"/>
        </w:rPr>
        <w:t>Zdroj financová</w:t>
      </w:r>
      <w:r w:rsidR="007378AB">
        <w:rPr>
          <w:i/>
          <w:sz w:val="18"/>
          <w:szCs w:val="18"/>
        </w:rPr>
        <w:t>ní</w:t>
      </w:r>
      <w:r w:rsidRPr="00F95A39">
        <w:rPr>
          <w:i/>
          <w:sz w:val="18"/>
          <w:szCs w:val="18"/>
        </w:rPr>
        <w:t>: veřejné prostředky celkem</w:t>
      </w:r>
    </w:p>
    <w:p w:rsidR="00A75862" w:rsidRDefault="00A75862" w:rsidP="00184E0A">
      <w:pPr>
        <w:jc w:val="both"/>
        <w:rPr>
          <w:sz w:val="24"/>
          <w:szCs w:val="24"/>
          <w:u w:val="single"/>
        </w:rPr>
      </w:pPr>
    </w:p>
    <w:p w:rsidR="00FC0BE8" w:rsidRPr="00444913" w:rsidRDefault="00FC0BE8" w:rsidP="00FC0BE8">
      <w:pPr>
        <w:spacing w:after="120" w:line="276" w:lineRule="auto"/>
        <w:jc w:val="both"/>
        <w:rPr>
          <w:sz w:val="22"/>
          <w:szCs w:val="22"/>
        </w:rPr>
      </w:pPr>
      <w:r w:rsidRPr="00FC0BE8">
        <w:rPr>
          <w:sz w:val="18"/>
          <w:szCs w:val="18"/>
        </w:rPr>
        <w:t>Pozn.:</w:t>
      </w:r>
      <w:r w:rsidRPr="00444913">
        <w:rPr>
          <w:sz w:val="22"/>
          <w:szCs w:val="22"/>
        </w:rPr>
        <w:t xml:space="preserve"> </w:t>
      </w:r>
      <w:r w:rsidRPr="00444913">
        <w:rPr>
          <w:sz w:val="18"/>
          <w:szCs w:val="18"/>
        </w:rPr>
        <w:t xml:space="preserve">Počet podaných žádostí a Projektů s vydaným Rozhodnutím/podepsanou smlouvou je vzhledem k </w:t>
      </w:r>
      <w:proofErr w:type="spellStart"/>
      <w:r w:rsidRPr="00444913">
        <w:rPr>
          <w:sz w:val="18"/>
          <w:szCs w:val="18"/>
        </w:rPr>
        <w:t>vícecílovosti</w:t>
      </w:r>
      <w:proofErr w:type="spellEnd"/>
      <w:r w:rsidRPr="00444913">
        <w:rPr>
          <w:sz w:val="18"/>
          <w:szCs w:val="18"/>
        </w:rPr>
        <w:t xml:space="preserve"> prioritních os uveden pouze u oblastí podpory vztahující se k cíli Konvergence (a). V oblastech podpory, které spadají pod cíl Regionální konkurenceschopnost a zaměstnanost (b) je počet nulový. </w:t>
      </w:r>
    </w:p>
    <w:p w:rsidR="00FC0BE8" w:rsidRDefault="00FC0BE8" w:rsidP="00184E0A">
      <w:pPr>
        <w:jc w:val="both"/>
        <w:rPr>
          <w:sz w:val="24"/>
          <w:szCs w:val="24"/>
          <w:u w:val="single"/>
        </w:rPr>
        <w:sectPr w:rsidR="00FC0BE8" w:rsidSect="003F08D8">
          <w:pgSz w:w="11906" w:h="16838"/>
          <w:pgMar w:top="1417" w:right="1417" w:bottom="1417" w:left="1417" w:header="708" w:footer="708" w:gutter="0"/>
          <w:cols w:space="708"/>
          <w:docGrid w:linePitch="272"/>
        </w:sectPr>
      </w:pPr>
    </w:p>
    <w:p w:rsidR="00A75862" w:rsidRDefault="00A75862" w:rsidP="00642923">
      <w:pPr>
        <w:jc w:val="both"/>
        <w:rPr>
          <w:rFonts w:ascii="Arial" w:hAnsi="Arial" w:cs="Arial"/>
        </w:rPr>
      </w:pPr>
      <w:r w:rsidRPr="00555962">
        <w:rPr>
          <w:sz w:val="22"/>
          <w:szCs w:val="22"/>
          <w:u w:val="single"/>
        </w:rPr>
        <w:lastRenderedPageBreak/>
        <w:t>Indikátory</w:t>
      </w:r>
    </w:p>
    <w:p w:rsidR="005656F9" w:rsidRDefault="00E10000" w:rsidP="00CF4611">
      <w:pPr>
        <w:jc w:val="both"/>
        <w:rPr>
          <w:sz w:val="22"/>
          <w:szCs w:val="22"/>
        </w:rPr>
      </w:pPr>
      <w:r w:rsidRPr="00555962">
        <w:rPr>
          <w:sz w:val="22"/>
          <w:szCs w:val="22"/>
        </w:rPr>
        <w:t>V prioritních osách 6a a 6b dochází k plnění všech sledovaných indikátorů</w:t>
      </w:r>
      <w:r>
        <w:rPr>
          <w:sz w:val="22"/>
          <w:szCs w:val="22"/>
        </w:rPr>
        <w:t xml:space="preserve">. </w:t>
      </w:r>
      <w:r w:rsidRPr="00555962">
        <w:rPr>
          <w:sz w:val="22"/>
          <w:szCs w:val="22"/>
        </w:rPr>
        <w:t>S pla</w:t>
      </w:r>
      <w:r>
        <w:rPr>
          <w:sz w:val="22"/>
          <w:szCs w:val="22"/>
        </w:rPr>
        <w:t>tností od 2. 10. 2009 byla</w:t>
      </w:r>
      <w:r w:rsidRPr="00555962">
        <w:rPr>
          <w:sz w:val="22"/>
          <w:szCs w:val="22"/>
        </w:rPr>
        <w:t xml:space="preserve"> provedena revize metodických listů indi</w:t>
      </w:r>
      <w:r>
        <w:rPr>
          <w:sz w:val="22"/>
          <w:szCs w:val="22"/>
        </w:rPr>
        <w:t>kátorů technické pomoci a vydána revidovaná</w:t>
      </w:r>
      <w:r w:rsidRPr="00555962">
        <w:rPr>
          <w:sz w:val="22"/>
          <w:szCs w:val="22"/>
        </w:rPr>
        <w:t xml:space="preserve"> verze Příručky pro žadatele a příjemce pro technickou pomoc.</w:t>
      </w:r>
      <w:r>
        <w:rPr>
          <w:sz w:val="22"/>
          <w:szCs w:val="22"/>
        </w:rPr>
        <w:t xml:space="preserve"> U dosažených hodnot indikátorů v projektech dochází</w:t>
      </w:r>
      <w:r w:rsidRPr="00555962">
        <w:rPr>
          <w:sz w:val="22"/>
          <w:szCs w:val="22"/>
        </w:rPr>
        <w:t xml:space="preserve"> k jejich přeplňování</w:t>
      </w:r>
      <w:r>
        <w:rPr>
          <w:sz w:val="22"/>
          <w:szCs w:val="22"/>
        </w:rPr>
        <w:t xml:space="preserve"> vůči cílovým hodnotám, které byly stanoveny na počátku realizace Technické pomoci IOP </w:t>
      </w:r>
      <w:r w:rsidRPr="00E10000">
        <w:rPr>
          <w:sz w:val="22"/>
          <w:szCs w:val="22"/>
        </w:rPr>
        <w:t>a měli by být upraveny při nejbližší revizi Programového dokumentu.</w:t>
      </w:r>
    </w:p>
    <w:p w:rsidR="005656F9" w:rsidRPr="009026D3" w:rsidRDefault="005656F9" w:rsidP="008263BA">
      <w:pPr>
        <w:pStyle w:val="Tabulkanzev"/>
      </w:pPr>
      <w:bookmarkStart w:id="246" w:name="_Toc416431865"/>
      <w:r w:rsidRPr="009026D3">
        <w:t>Indikátory výstupu</w:t>
      </w:r>
      <w:r w:rsidR="006468D8">
        <w:t xml:space="preserve"> v PO 6</w:t>
      </w:r>
      <w:bookmarkEnd w:id="246"/>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26"/>
        <w:gridCol w:w="2046"/>
        <w:gridCol w:w="897"/>
        <w:gridCol w:w="834"/>
        <w:gridCol w:w="891"/>
        <w:gridCol w:w="832"/>
        <w:gridCol w:w="832"/>
        <w:gridCol w:w="832"/>
        <w:gridCol w:w="834"/>
        <w:gridCol w:w="832"/>
        <w:gridCol w:w="832"/>
        <w:gridCol w:w="832"/>
        <w:gridCol w:w="840"/>
        <w:gridCol w:w="851"/>
        <w:gridCol w:w="1033"/>
      </w:tblGrid>
      <w:tr w:rsidR="005D1258" w:rsidRPr="009A406C" w:rsidTr="00577358">
        <w:trPr>
          <w:trHeight w:val="1020"/>
          <w:tblHeader/>
        </w:trPr>
        <w:tc>
          <w:tcPr>
            <w:tcW w:w="327"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Kód NČI</w:t>
            </w:r>
          </w:p>
        </w:tc>
        <w:tc>
          <w:tcPr>
            <w:tcW w:w="723" w:type="pct"/>
            <w:shd w:val="clear" w:color="000000" w:fill="C4D79B"/>
            <w:vAlign w:val="center"/>
            <w:hideMark/>
          </w:tcPr>
          <w:p w:rsidR="005D1258" w:rsidRPr="009A406C" w:rsidRDefault="005D1258" w:rsidP="009A406C">
            <w:pPr>
              <w:jc w:val="center"/>
              <w:rPr>
                <w:b/>
                <w:bCs/>
                <w:color w:val="000000"/>
              </w:rPr>
            </w:pPr>
            <w:r w:rsidRPr="009A406C">
              <w:rPr>
                <w:b/>
                <w:bCs/>
                <w:color w:val="000000"/>
              </w:rPr>
              <w:t>Název indikátoru</w:t>
            </w:r>
          </w:p>
        </w:tc>
        <w:tc>
          <w:tcPr>
            <w:tcW w:w="317" w:type="pct"/>
            <w:shd w:val="clear" w:color="000000" w:fill="C4D79B"/>
            <w:vAlign w:val="center"/>
            <w:hideMark/>
          </w:tcPr>
          <w:p w:rsidR="005D1258" w:rsidRPr="009A406C" w:rsidRDefault="005D1258" w:rsidP="009A406C">
            <w:pPr>
              <w:jc w:val="center"/>
              <w:rPr>
                <w:b/>
                <w:bCs/>
                <w:color w:val="000000"/>
              </w:rPr>
            </w:pPr>
            <w:r w:rsidRPr="009A406C">
              <w:rPr>
                <w:b/>
                <w:bCs/>
                <w:color w:val="000000"/>
              </w:rPr>
              <w:t>Měrná jednotka</w:t>
            </w:r>
          </w:p>
        </w:tc>
        <w:tc>
          <w:tcPr>
            <w:tcW w:w="295"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 xml:space="preserve">Zdroj </w:t>
            </w:r>
          </w:p>
        </w:tc>
        <w:tc>
          <w:tcPr>
            <w:tcW w:w="315"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 xml:space="preserve">Hodnota </w:t>
            </w:r>
          </w:p>
        </w:tc>
        <w:tc>
          <w:tcPr>
            <w:tcW w:w="294"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2007</w:t>
            </w:r>
          </w:p>
        </w:tc>
        <w:tc>
          <w:tcPr>
            <w:tcW w:w="294"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2008</w:t>
            </w:r>
          </w:p>
        </w:tc>
        <w:tc>
          <w:tcPr>
            <w:tcW w:w="294"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2009</w:t>
            </w:r>
          </w:p>
        </w:tc>
        <w:tc>
          <w:tcPr>
            <w:tcW w:w="295"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2010</w:t>
            </w:r>
          </w:p>
        </w:tc>
        <w:tc>
          <w:tcPr>
            <w:tcW w:w="294"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2011</w:t>
            </w:r>
          </w:p>
        </w:tc>
        <w:tc>
          <w:tcPr>
            <w:tcW w:w="294"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2012</w:t>
            </w:r>
          </w:p>
        </w:tc>
        <w:tc>
          <w:tcPr>
            <w:tcW w:w="294"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2013</w:t>
            </w:r>
          </w:p>
        </w:tc>
        <w:tc>
          <w:tcPr>
            <w:tcW w:w="295" w:type="pct"/>
            <w:shd w:val="clear" w:color="000000" w:fill="C4D79B"/>
            <w:noWrap/>
            <w:vAlign w:val="center"/>
            <w:hideMark/>
          </w:tcPr>
          <w:p w:rsidR="005D1258" w:rsidRPr="009A406C" w:rsidRDefault="005D1258" w:rsidP="009A406C">
            <w:pPr>
              <w:jc w:val="center"/>
              <w:rPr>
                <w:b/>
                <w:bCs/>
                <w:color w:val="000000"/>
              </w:rPr>
            </w:pPr>
            <w:r w:rsidRPr="009A406C">
              <w:rPr>
                <w:b/>
                <w:bCs/>
                <w:color w:val="000000"/>
              </w:rPr>
              <w:t>2014</w:t>
            </w:r>
          </w:p>
        </w:tc>
        <w:tc>
          <w:tcPr>
            <w:tcW w:w="301" w:type="pct"/>
            <w:shd w:val="clear" w:color="000000" w:fill="C4D79B"/>
            <w:vAlign w:val="center"/>
            <w:hideMark/>
          </w:tcPr>
          <w:p w:rsidR="005D1258" w:rsidRPr="009A406C" w:rsidRDefault="005D1258" w:rsidP="005D1258">
            <w:pPr>
              <w:jc w:val="center"/>
              <w:rPr>
                <w:b/>
                <w:bCs/>
                <w:color w:val="000000"/>
              </w:rPr>
            </w:pPr>
            <w:r w:rsidRPr="009A406C">
              <w:rPr>
                <w:b/>
                <w:bCs/>
                <w:color w:val="000000"/>
              </w:rPr>
              <w:t xml:space="preserve">Cílová hodnota 2015 </w:t>
            </w:r>
          </w:p>
        </w:tc>
        <w:tc>
          <w:tcPr>
            <w:tcW w:w="365" w:type="pct"/>
            <w:shd w:val="clear" w:color="000000" w:fill="C4D79B"/>
            <w:vAlign w:val="center"/>
            <w:hideMark/>
          </w:tcPr>
          <w:p w:rsidR="005D1258" w:rsidRPr="009A406C" w:rsidRDefault="004D4C2C" w:rsidP="009A406C">
            <w:pPr>
              <w:jc w:val="center"/>
              <w:rPr>
                <w:b/>
                <w:bCs/>
                <w:color w:val="000000"/>
              </w:rPr>
            </w:pPr>
            <w:r>
              <w:rPr>
                <w:b/>
                <w:bCs/>
                <w:color w:val="000000"/>
              </w:rPr>
              <w:t>Celkem</w:t>
            </w:r>
          </w:p>
        </w:tc>
      </w:tr>
      <w:tr w:rsidR="005D1258" w:rsidRPr="009A406C" w:rsidTr="004D4C2C">
        <w:trPr>
          <w:trHeight w:val="300"/>
        </w:trPr>
        <w:tc>
          <w:tcPr>
            <w:tcW w:w="327" w:type="pct"/>
            <w:vMerge w:val="restart"/>
            <w:shd w:val="clear" w:color="auto" w:fill="auto"/>
            <w:vAlign w:val="center"/>
            <w:hideMark/>
          </w:tcPr>
          <w:p w:rsidR="005D1258" w:rsidRPr="009A406C" w:rsidRDefault="005D1258" w:rsidP="009A406C">
            <w:pPr>
              <w:rPr>
                <w:color w:val="000000"/>
                <w:sz w:val="18"/>
                <w:szCs w:val="18"/>
              </w:rPr>
            </w:pPr>
            <w:r w:rsidRPr="009A406C">
              <w:rPr>
                <w:color w:val="000000"/>
                <w:sz w:val="18"/>
                <w:szCs w:val="18"/>
              </w:rPr>
              <w:t>480500</w:t>
            </w:r>
          </w:p>
        </w:tc>
        <w:tc>
          <w:tcPr>
            <w:tcW w:w="723" w:type="pct"/>
            <w:vMerge w:val="restart"/>
            <w:shd w:val="clear" w:color="000000" w:fill="FFFFFF"/>
            <w:vAlign w:val="center"/>
            <w:hideMark/>
          </w:tcPr>
          <w:p w:rsidR="005D1258" w:rsidRPr="009A406C" w:rsidRDefault="005D1258" w:rsidP="009A406C">
            <w:pPr>
              <w:rPr>
                <w:color w:val="000000"/>
                <w:sz w:val="18"/>
                <w:szCs w:val="18"/>
              </w:rPr>
            </w:pPr>
            <w:r w:rsidRPr="009A406C">
              <w:rPr>
                <w:color w:val="000000"/>
                <w:sz w:val="18"/>
                <w:szCs w:val="18"/>
              </w:rPr>
              <w:t xml:space="preserve">Počet vytvořených studií a zpráv (vč. evaluačních) </w:t>
            </w:r>
          </w:p>
        </w:tc>
        <w:tc>
          <w:tcPr>
            <w:tcW w:w="31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Počet</w:t>
            </w:r>
          </w:p>
        </w:tc>
        <w:tc>
          <w:tcPr>
            <w:tcW w:w="295" w:type="pct"/>
            <w:vMerge w:val="restart"/>
            <w:shd w:val="clear" w:color="auto" w:fill="auto"/>
            <w:vAlign w:val="center"/>
            <w:hideMark/>
          </w:tcPr>
          <w:p w:rsidR="005D1258" w:rsidRPr="009A406C" w:rsidRDefault="005D1258" w:rsidP="009A406C">
            <w:pPr>
              <w:rPr>
                <w:color w:val="000000"/>
                <w:sz w:val="18"/>
                <w:szCs w:val="18"/>
              </w:rPr>
            </w:pPr>
            <w:r w:rsidRPr="009A406C">
              <w:rPr>
                <w:color w:val="000000"/>
                <w:sz w:val="18"/>
                <w:szCs w:val="18"/>
              </w:rPr>
              <w:t>ŘO IOP</w:t>
            </w:r>
          </w:p>
        </w:tc>
        <w:tc>
          <w:tcPr>
            <w:tcW w:w="315" w:type="pct"/>
            <w:shd w:val="clear" w:color="000000" w:fill="FFFFFF"/>
            <w:noWrap/>
            <w:vAlign w:val="bottom"/>
            <w:hideMark/>
          </w:tcPr>
          <w:p w:rsidR="005D1258" w:rsidRPr="009A406C" w:rsidRDefault="005D1258" w:rsidP="009A406C">
            <w:pPr>
              <w:jc w:val="center"/>
              <w:rPr>
                <w:color w:val="000000"/>
                <w:sz w:val="18"/>
                <w:szCs w:val="18"/>
              </w:rPr>
            </w:pPr>
            <w:r w:rsidRPr="009A406C">
              <w:rPr>
                <w:color w:val="000000"/>
                <w:sz w:val="18"/>
                <w:szCs w:val="18"/>
              </w:rPr>
              <w:t>Dosažená</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152</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615</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99</w:t>
            </w:r>
            <w:r>
              <w:rPr>
                <w:color w:val="000000"/>
                <w:sz w:val="18"/>
                <w:szCs w:val="18"/>
              </w:rPr>
              <w:t>7</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1074</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1201</w:t>
            </w:r>
          </w:p>
        </w:tc>
        <w:tc>
          <w:tcPr>
            <w:tcW w:w="301"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FFFFFF"/>
            <w:noWrap/>
            <w:vAlign w:val="bottom"/>
            <w:hideMark/>
          </w:tcPr>
          <w:p w:rsidR="005D1258" w:rsidRPr="009A406C" w:rsidRDefault="004D4C2C" w:rsidP="009A406C">
            <w:pPr>
              <w:jc w:val="right"/>
              <w:rPr>
                <w:color w:val="000000"/>
                <w:sz w:val="18"/>
                <w:szCs w:val="18"/>
              </w:rPr>
            </w:pPr>
            <w:r>
              <w:rPr>
                <w:color w:val="000000"/>
                <w:sz w:val="18"/>
                <w:szCs w:val="18"/>
              </w:rPr>
              <w:t>1201</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000000" w:fill="D8E4BC"/>
            <w:noWrap/>
            <w:vAlign w:val="bottom"/>
            <w:hideMark/>
          </w:tcPr>
          <w:p w:rsidR="005D1258" w:rsidRPr="009A406C" w:rsidRDefault="005D1258" w:rsidP="009A406C">
            <w:pPr>
              <w:jc w:val="center"/>
              <w:rPr>
                <w:color w:val="000000"/>
                <w:sz w:val="18"/>
                <w:szCs w:val="18"/>
              </w:rPr>
            </w:pPr>
            <w:r w:rsidRPr="009A406C">
              <w:rPr>
                <w:color w:val="000000"/>
                <w:sz w:val="18"/>
                <w:szCs w:val="18"/>
              </w:rPr>
              <w:t>Výchozí</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152</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615</w:t>
            </w:r>
          </w:p>
        </w:tc>
        <w:tc>
          <w:tcPr>
            <w:tcW w:w="294" w:type="pct"/>
            <w:shd w:val="clear" w:color="000000" w:fill="D8E4BC"/>
            <w:vAlign w:val="bottom"/>
            <w:hideMark/>
          </w:tcPr>
          <w:p w:rsidR="005D1258" w:rsidRPr="009A406C" w:rsidRDefault="005D1258" w:rsidP="00F672E0">
            <w:pPr>
              <w:jc w:val="right"/>
              <w:rPr>
                <w:color w:val="000000"/>
                <w:sz w:val="18"/>
                <w:szCs w:val="18"/>
              </w:rPr>
            </w:pPr>
            <w:r w:rsidRPr="009A406C">
              <w:rPr>
                <w:color w:val="000000"/>
                <w:sz w:val="18"/>
                <w:szCs w:val="18"/>
              </w:rPr>
              <w:t>99</w:t>
            </w:r>
            <w:r>
              <w:rPr>
                <w:color w:val="000000"/>
                <w:sz w:val="18"/>
                <w:szCs w:val="18"/>
              </w:rPr>
              <w:t>7</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1074</w:t>
            </w:r>
          </w:p>
        </w:tc>
        <w:tc>
          <w:tcPr>
            <w:tcW w:w="301"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D8E4BC"/>
            <w:noWrap/>
            <w:vAlign w:val="bottom"/>
            <w:hideMark/>
          </w:tcPr>
          <w:p w:rsidR="005D1258" w:rsidRPr="009A406C" w:rsidRDefault="00A26D0C" w:rsidP="009A406C">
            <w:pPr>
              <w:jc w:val="right"/>
              <w:rPr>
                <w:color w:val="000000"/>
                <w:sz w:val="18"/>
                <w:szCs w:val="18"/>
              </w:rPr>
            </w:pPr>
            <w:r>
              <w:rPr>
                <w:color w:val="000000"/>
                <w:sz w:val="18"/>
                <w:szCs w:val="18"/>
              </w:rPr>
              <w:t>0</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Plánovaná</w:t>
            </w:r>
          </w:p>
        </w:tc>
        <w:tc>
          <w:tcPr>
            <w:tcW w:w="2356" w:type="pct"/>
            <w:gridSpan w:val="8"/>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N/A</w:t>
            </w:r>
          </w:p>
        </w:tc>
        <w:tc>
          <w:tcPr>
            <w:tcW w:w="301" w:type="pct"/>
            <w:shd w:val="clear" w:color="auto" w:fill="auto"/>
            <w:noWrap/>
            <w:vAlign w:val="bottom"/>
            <w:hideMark/>
          </w:tcPr>
          <w:p w:rsidR="005D1258" w:rsidRPr="009A406C" w:rsidRDefault="005D1258" w:rsidP="009A406C">
            <w:pPr>
              <w:jc w:val="right"/>
              <w:rPr>
                <w:color w:val="000000"/>
                <w:sz w:val="18"/>
                <w:szCs w:val="18"/>
              </w:rPr>
            </w:pPr>
            <w:r w:rsidRPr="009A406C">
              <w:rPr>
                <w:color w:val="000000"/>
                <w:sz w:val="18"/>
                <w:szCs w:val="18"/>
              </w:rPr>
              <w:t>14</w:t>
            </w:r>
          </w:p>
        </w:tc>
        <w:tc>
          <w:tcPr>
            <w:tcW w:w="365" w:type="pct"/>
            <w:shd w:val="clear" w:color="auto" w:fill="auto"/>
            <w:noWrap/>
            <w:vAlign w:val="bottom"/>
            <w:hideMark/>
          </w:tcPr>
          <w:p w:rsidR="005D1258" w:rsidRPr="009A406C" w:rsidRDefault="004D4C2C" w:rsidP="009A406C">
            <w:pPr>
              <w:jc w:val="right"/>
              <w:rPr>
                <w:color w:val="000000"/>
                <w:sz w:val="18"/>
                <w:szCs w:val="18"/>
              </w:rPr>
            </w:pPr>
            <w:r>
              <w:rPr>
                <w:color w:val="000000"/>
                <w:sz w:val="18"/>
                <w:szCs w:val="18"/>
              </w:rPr>
              <w:t>14</w:t>
            </w:r>
          </w:p>
        </w:tc>
      </w:tr>
      <w:tr w:rsidR="005D1258" w:rsidRPr="009A406C" w:rsidTr="004D4C2C">
        <w:trPr>
          <w:trHeight w:val="300"/>
        </w:trPr>
        <w:tc>
          <w:tcPr>
            <w:tcW w:w="327" w:type="pct"/>
            <w:vMerge w:val="restart"/>
            <w:shd w:val="clear" w:color="auto" w:fill="auto"/>
            <w:vAlign w:val="center"/>
            <w:hideMark/>
          </w:tcPr>
          <w:p w:rsidR="005D1258" w:rsidRPr="009A406C" w:rsidRDefault="005D1258" w:rsidP="009A406C">
            <w:pPr>
              <w:rPr>
                <w:color w:val="000000"/>
                <w:sz w:val="18"/>
                <w:szCs w:val="18"/>
              </w:rPr>
            </w:pPr>
            <w:r w:rsidRPr="009A406C">
              <w:rPr>
                <w:color w:val="000000"/>
                <w:sz w:val="18"/>
                <w:szCs w:val="18"/>
              </w:rPr>
              <w:t>480700</w:t>
            </w:r>
          </w:p>
        </w:tc>
        <w:tc>
          <w:tcPr>
            <w:tcW w:w="723" w:type="pct"/>
            <w:vMerge w:val="restart"/>
            <w:shd w:val="clear" w:color="000000" w:fill="FFFFFF"/>
            <w:vAlign w:val="center"/>
            <w:hideMark/>
          </w:tcPr>
          <w:p w:rsidR="005D1258" w:rsidRPr="009A406C" w:rsidRDefault="005D1258" w:rsidP="009A406C">
            <w:pPr>
              <w:rPr>
                <w:color w:val="000000"/>
                <w:sz w:val="18"/>
                <w:szCs w:val="18"/>
              </w:rPr>
            </w:pPr>
            <w:r w:rsidRPr="009A406C">
              <w:rPr>
                <w:color w:val="000000"/>
                <w:sz w:val="18"/>
                <w:szCs w:val="18"/>
              </w:rPr>
              <w:t xml:space="preserve">Počet vytvořených metodických a </w:t>
            </w:r>
            <w:proofErr w:type="spellStart"/>
            <w:r w:rsidRPr="009A406C">
              <w:rPr>
                <w:color w:val="000000"/>
                <w:sz w:val="18"/>
                <w:szCs w:val="18"/>
              </w:rPr>
              <w:t>technicko-informačních</w:t>
            </w:r>
            <w:proofErr w:type="spellEnd"/>
            <w:r w:rsidRPr="009A406C">
              <w:rPr>
                <w:color w:val="000000"/>
                <w:sz w:val="18"/>
                <w:szCs w:val="18"/>
              </w:rPr>
              <w:t xml:space="preserve"> materiálů </w:t>
            </w:r>
          </w:p>
        </w:tc>
        <w:tc>
          <w:tcPr>
            <w:tcW w:w="31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Počet</w:t>
            </w:r>
          </w:p>
        </w:tc>
        <w:tc>
          <w:tcPr>
            <w:tcW w:w="295"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ŘO IOP</w:t>
            </w:r>
          </w:p>
        </w:tc>
        <w:tc>
          <w:tcPr>
            <w:tcW w:w="315" w:type="pct"/>
            <w:shd w:val="clear" w:color="000000" w:fill="FFFFFF"/>
            <w:noWrap/>
            <w:vAlign w:val="bottom"/>
            <w:hideMark/>
          </w:tcPr>
          <w:p w:rsidR="005D1258" w:rsidRPr="009A406C" w:rsidRDefault="005D1258" w:rsidP="009A406C">
            <w:pPr>
              <w:jc w:val="center"/>
              <w:rPr>
                <w:color w:val="000000"/>
                <w:sz w:val="18"/>
                <w:szCs w:val="18"/>
              </w:rPr>
            </w:pPr>
            <w:r w:rsidRPr="009A406C">
              <w:rPr>
                <w:color w:val="000000"/>
                <w:sz w:val="18"/>
                <w:szCs w:val="18"/>
              </w:rPr>
              <w:t>Dosažená</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14</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91</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111</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153</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257</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289</w:t>
            </w:r>
          </w:p>
        </w:tc>
        <w:tc>
          <w:tcPr>
            <w:tcW w:w="301"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FFFFFF"/>
            <w:noWrap/>
            <w:vAlign w:val="bottom"/>
            <w:hideMark/>
          </w:tcPr>
          <w:p w:rsidR="005D1258" w:rsidRPr="009A406C" w:rsidRDefault="00137748" w:rsidP="009A406C">
            <w:pPr>
              <w:jc w:val="right"/>
              <w:rPr>
                <w:color w:val="000000"/>
                <w:sz w:val="18"/>
                <w:szCs w:val="18"/>
              </w:rPr>
            </w:pPr>
            <w:r>
              <w:rPr>
                <w:color w:val="000000"/>
                <w:sz w:val="18"/>
                <w:szCs w:val="18"/>
              </w:rPr>
              <w:t>289</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000000" w:fill="D8E4BC"/>
            <w:noWrap/>
            <w:vAlign w:val="bottom"/>
            <w:hideMark/>
          </w:tcPr>
          <w:p w:rsidR="005D1258" w:rsidRPr="009A406C" w:rsidRDefault="005D1258" w:rsidP="009A406C">
            <w:pPr>
              <w:jc w:val="center"/>
              <w:rPr>
                <w:color w:val="000000"/>
                <w:sz w:val="18"/>
                <w:szCs w:val="18"/>
              </w:rPr>
            </w:pPr>
            <w:r w:rsidRPr="009A406C">
              <w:rPr>
                <w:color w:val="000000"/>
                <w:sz w:val="18"/>
                <w:szCs w:val="18"/>
              </w:rPr>
              <w:t>Výchozí</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14</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91</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111</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153</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257</w:t>
            </w:r>
          </w:p>
        </w:tc>
        <w:tc>
          <w:tcPr>
            <w:tcW w:w="301"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Plánovaná</w:t>
            </w:r>
          </w:p>
        </w:tc>
        <w:tc>
          <w:tcPr>
            <w:tcW w:w="2356" w:type="pct"/>
            <w:gridSpan w:val="8"/>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N/A</w:t>
            </w:r>
          </w:p>
        </w:tc>
        <w:tc>
          <w:tcPr>
            <w:tcW w:w="301" w:type="pct"/>
            <w:shd w:val="clear" w:color="auto" w:fill="auto"/>
            <w:noWrap/>
            <w:vAlign w:val="bottom"/>
            <w:hideMark/>
          </w:tcPr>
          <w:p w:rsidR="005D1258" w:rsidRPr="009A406C" w:rsidRDefault="005D1258" w:rsidP="009A406C">
            <w:pPr>
              <w:jc w:val="right"/>
              <w:rPr>
                <w:color w:val="000000"/>
                <w:sz w:val="18"/>
                <w:szCs w:val="18"/>
              </w:rPr>
            </w:pPr>
            <w:r w:rsidRPr="009A406C">
              <w:rPr>
                <w:color w:val="000000"/>
                <w:sz w:val="18"/>
                <w:szCs w:val="18"/>
              </w:rPr>
              <w:t>84</w:t>
            </w:r>
          </w:p>
        </w:tc>
        <w:tc>
          <w:tcPr>
            <w:tcW w:w="365" w:type="pct"/>
            <w:shd w:val="clear" w:color="auto" w:fill="auto"/>
            <w:noWrap/>
            <w:vAlign w:val="bottom"/>
            <w:hideMark/>
          </w:tcPr>
          <w:p w:rsidR="005D1258" w:rsidRPr="009A406C" w:rsidRDefault="00137748" w:rsidP="009A406C">
            <w:pPr>
              <w:jc w:val="right"/>
              <w:rPr>
                <w:color w:val="000000"/>
                <w:sz w:val="18"/>
                <w:szCs w:val="18"/>
              </w:rPr>
            </w:pPr>
            <w:r>
              <w:rPr>
                <w:color w:val="000000"/>
                <w:sz w:val="18"/>
                <w:szCs w:val="18"/>
              </w:rPr>
              <w:t>84</w:t>
            </w:r>
          </w:p>
        </w:tc>
      </w:tr>
      <w:tr w:rsidR="005D1258" w:rsidRPr="009A406C" w:rsidTr="004D4C2C">
        <w:trPr>
          <w:trHeight w:val="315"/>
        </w:trPr>
        <w:tc>
          <w:tcPr>
            <w:tcW w:w="327" w:type="pct"/>
            <w:vMerge w:val="restart"/>
            <w:shd w:val="clear" w:color="auto" w:fill="auto"/>
            <w:vAlign w:val="center"/>
            <w:hideMark/>
          </w:tcPr>
          <w:p w:rsidR="005D1258" w:rsidRPr="009A406C" w:rsidRDefault="005D1258" w:rsidP="009A406C">
            <w:pPr>
              <w:rPr>
                <w:color w:val="000000"/>
                <w:sz w:val="18"/>
                <w:szCs w:val="18"/>
              </w:rPr>
            </w:pPr>
            <w:r w:rsidRPr="009A406C">
              <w:rPr>
                <w:color w:val="000000"/>
                <w:sz w:val="18"/>
                <w:szCs w:val="18"/>
              </w:rPr>
              <w:t>481100</w:t>
            </w:r>
          </w:p>
        </w:tc>
        <w:tc>
          <w:tcPr>
            <w:tcW w:w="723" w:type="pct"/>
            <w:vMerge w:val="restart"/>
            <w:shd w:val="clear" w:color="000000" w:fill="FFFFFF"/>
            <w:vAlign w:val="center"/>
            <w:hideMark/>
          </w:tcPr>
          <w:p w:rsidR="005D1258" w:rsidRPr="009A406C" w:rsidRDefault="005D1258" w:rsidP="009A406C">
            <w:pPr>
              <w:rPr>
                <w:color w:val="000000"/>
                <w:sz w:val="18"/>
                <w:szCs w:val="18"/>
              </w:rPr>
            </w:pPr>
            <w:r w:rsidRPr="009A406C">
              <w:rPr>
                <w:color w:val="000000"/>
                <w:sz w:val="18"/>
                <w:szCs w:val="18"/>
              </w:rPr>
              <w:t xml:space="preserve">Počet uskutečněných školení, seminářů, workshopů, konferencí </w:t>
            </w:r>
            <w:r>
              <w:rPr>
                <w:color w:val="000000"/>
                <w:sz w:val="18"/>
                <w:szCs w:val="18"/>
              </w:rPr>
              <w:br/>
            </w:r>
            <w:r w:rsidRPr="009A406C">
              <w:rPr>
                <w:color w:val="000000"/>
                <w:sz w:val="18"/>
                <w:szCs w:val="18"/>
              </w:rPr>
              <w:t>a ostatní podobné aktivity</w:t>
            </w:r>
          </w:p>
        </w:tc>
        <w:tc>
          <w:tcPr>
            <w:tcW w:w="31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Počet</w:t>
            </w:r>
          </w:p>
        </w:tc>
        <w:tc>
          <w:tcPr>
            <w:tcW w:w="295"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ŘO IOP</w:t>
            </w:r>
          </w:p>
        </w:tc>
        <w:tc>
          <w:tcPr>
            <w:tcW w:w="315" w:type="pct"/>
            <w:shd w:val="clear" w:color="000000" w:fill="FFFFFF"/>
            <w:noWrap/>
            <w:vAlign w:val="bottom"/>
            <w:hideMark/>
          </w:tcPr>
          <w:p w:rsidR="005D1258" w:rsidRPr="009A406C" w:rsidRDefault="005D1258" w:rsidP="009A406C">
            <w:pPr>
              <w:jc w:val="center"/>
              <w:rPr>
                <w:color w:val="000000"/>
                <w:sz w:val="18"/>
                <w:szCs w:val="18"/>
              </w:rPr>
            </w:pPr>
            <w:r w:rsidRPr="009A406C">
              <w:rPr>
                <w:color w:val="000000"/>
                <w:sz w:val="18"/>
                <w:szCs w:val="18"/>
              </w:rPr>
              <w:t>Dosažená</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22</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56</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124</w:t>
            </w:r>
          </w:p>
        </w:tc>
        <w:tc>
          <w:tcPr>
            <w:tcW w:w="294" w:type="pct"/>
            <w:shd w:val="clear" w:color="000000" w:fill="FFFFFF"/>
            <w:vAlign w:val="bottom"/>
            <w:hideMark/>
          </w:tcPr>
          <w:p w:rsidR="005D1258" w:rsidRPr="009A406C" w:rsidRDefault="005D1258" w:rsidP="009A406C">
            <w:pPr>
              <w:jc w:val="right"/>
              <w:rPr>
                <w:color w:val="000000"/>
                <w:sz w:val="18"/>
                <w:szCs w:val="18"/>
              </w:rPr>
            </w:pPr>
            <w:r>
              <w:rPr>
                <w:color w:val="000000"/>
                <w:sz w:val="18"/>
                <w:szCs w:val="18"/>
              </w:rPr>
              <w:t>217</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306</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426</w:t>
            </w:r>
          </w:p>
        </w:tc>
        <w:tc>
          <w:tcPr>
            <w:tcW w:w="301"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FFFFFF"/>
            <w:noWrap/>
            <w:vAlign w:val="bottom"/>
            <w:hideMark/>
          </w:tcPr>
          <w:p w:rsidR="005D1258" w:rsidRPr="009A406C" w:rsidRDefault="00137748" w:rsidP="009A406C">
            <w:pPr>
              <w:jc w:val="right"/>
              <w:rPr>
                <w:color w:val="000000"/>
                <w:sz w:val="18"/>
                <w:szCs w:val="18"/>
              </w:rPr>
            </w:pPr>
            <w:r>
              <w:rPr>
                <w:color w:val="000000"/>
                <w:sz w:val="18"/>
                <w:szCs w:val="18"/>
              </w:rPr>
              <w:t>426</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000000" w:fill="D8E4BC"/>
            <w:noWrap/>
            <w:vAlign w:val="bottom"/>
            <w:hideMark/>
          </w:tcPr>
          <w:p w:rsidR="005D1258" w:rsidRPr="009A406C" w:rsidRDefault="005D1258" w:rsidP="009A406C">
            <w:pPr>
              <w:jc w:val="center"/>
              <w:rPr>
                <w:color w:val="000000"/>
                <w:sz w:val="18"/>
                <w:szCs w:val="18"/>
              </w:rPr>
            </w:pPr>
            <w:r w:rsidRPr="009A406C">
              <w:rPr>
                <w:color w:val="000000"/>
                <w:sz w:val="18"/>
                <w:szCs w:val="18"/>
              </w:rPr>
              <w:t>Výchozí</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22</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56</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124</w:t>
            </w:r>
          </w:p>
        </w:tc>
        <w:tc>
          <w:tcPr>
            <w:tcW w:w="294" w:type="pct"/>
            <w:shd w:val="clear" w:color="000000" w:fill="D8E4BC"/>
            <w:vAlign w:val="bottom"/>
            <w:hideMark/>
          </w:tcPr>
          <w:p w:rsidR="005D1258" w:rsidRPr="009A406C" w:rsidRDefault="005D1258" w:rsidP="009A406C">
            <w:pPr>
              <w:jc w:val="right"/>
              <w:rPr>
                <w:color w:val="000000"/>
                <w:sz w:val="18"/>
                <w:szCs w:val="18"/>
              </w:rPr>
            </w:pPr>
            <w:r>
              <w:rPr>
                <w:color w:val="000000"/>
                <w:sz w:val="18"/>
                <w:szCs w:val="18"/>
              </w:rPr>
              <w:t>217</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306</w:t>
            </w:r>
          </w:p>
        </w:tc>
        <w:tc>
          <w:tcPr>
            <w:tcW w:w="301"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D8E4BC"/>
            <w:noWrap/>
            <w:vAlign w:val="bottom"/>
            <w:hideMark/>
          </w:tcPr>
          <w:p w:rsidR="005D1258" w:rsidRPr="009A406C" w:rsidRDefault="00A26D0C" w:rsidP="009A406C">
            <w:pPr>
              <w:jc w:val="right"/>
              <w:rPr>
                <w:color w:val="000000"/>
                <w:sz w:val="18"/>
                <w:szCs w:val="18"/>
              </w:rPr>
            </w:pPr>
            <w:r>
              <w:rPr>
                <w:color w:val="000000"/>
                <w:sz w:val="18"/>
                <w:szCs w:val="18"/>
              </w:rPr>
              <w:t>0</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Plánovaná</w:t>
            </w:r>
          </w:p>
        </w:tc>
        <w:tc>
          <w:tcPr>
            <w:tcW w:w="2356" w:type="pct"/>
            <w:gridSpan w:val="8"/>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N/A</w:t>
            </w:r>
          </w:p>
        </w:tc>
        <w:tc>
          <w:tcPr>
            <w:tcW w:w="301" w:type="pct"/>
            <w:shd w:val="clear" w:color="auto" w:fill="auto"/>
            <w:noWrap/>
            <w:vAlign w:val="bottom"/>
            <w:hideMark/>
          </w:tcPr>
          <w:p w:rsidR="005D1258" w:rsidRPr="009A406C" w:rsidRDefault="005D1258" w:rsidP="009A406C">
            <w:pPr>
              <w:jc w:val="right"/>
              <w:rPr>
                <w:color w:val="000000"/>
                <w:sz w:val="18"/>
                <w:szCs w:val="18"/>
              </w:rPr>
            </w:pPr>
            <w:r w:rsidRPr="009A406C">
              <w:rPr>
                <w:color w:val="000000"/>
                <w:sz w:val="18"/>
                <w:szCs w:val="18"/>
              </w:rPr>
              <w:t>70</w:t>
            </w:r>
          </w:p>
        </w:tc>
        <w:tc>
          <w:tcPr>
            <w:tcW w:w="365" w:type="pct"/>
            <w:shd w:val="clear" w:color="auto" w:fill="auto"/>
            <w:noWrap/>
            <w:vAlign w:val="bottom"/>
            <w:hideMark/>
          </w:tcPr>
          <w:p w:rsidR="005D1258" w:rsidRPr="009A406C" w:rsidRDefault="00137748" w:rsidP="009A406C">
            <w:pPr>
              <w:jc w:val="right"/>
              <w:rPr>
                <w:color w:val="000000"/>
                <w:sz w:val="18"/>
                <w:szCs w:val="18"/>
              </w:rPr>
            </w:pPr>
            <w:r>
              <w:rPr>
                <w:color w:val="000000"/>
                <w:sz w:val="18"/>
                <w:szCs w:val="18"/>
              </w:rPr>
              <w:t>70</w:t>
            </w:r>
          </w:p>
        </w:tc>
      </w:tr>
      <w:tr w:rsidR="005D1258" w:rsidRPr="009A406C" w:rsidTr="004D4C2C">
        <w:trPr>
          <w:trHeight w:val="300"/>
        </w:trPr>
        <w:tc>
          <w:tcPr>
            <w:tcW w:w="32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481600</w:t>
            </w:r>
          </w:p>
        </w:tc>
        <w:tc>
          <w:tcPr>
            <w:tcW w:w="723" w:type="pct"/>
            <w:vMerge w:val="restart"/>
            <w:shd w:val="clear" w:color="000000" w:fill="FFFFFF"/>
            <w:vAlign w:val="center"/>
            <w:hideMark/>
          </w:tcPr>
          <w:p w:rsidR="005D1258" w:rsidRPr="009A406C" w:rsidRDefault="005D1258" w:rsidP="009A406C">
            <w:pPr>
              <w:rPr>
                <w:color w:val="000000"/>
                <w:sz w:val="18"/>
                <w:szCs w:val="18"/>
              </w:rPr>
            </w:pPr>
            <w:r w:rsidRPr="009A406C">
              <w:rPr>
                <w:color w:val="000000"/>
                <w:sz w:val="18"/>
                <w:szCs w:val="18"/>
              </w:rPr>
              <w:t>Počet osob, které se zúčastnily vzdělávacích kurzů v rámci technické pomoci</w:t>
            </w:r>
          </w:p>
        </w:tc>
        <w:tc>
          <w:tcPr>
            <w:tcW w:w="31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Počet</w:t>
            </w:r>
          </w:p>
        </w:tc>
        <w:tc>
          <w:tcPr>
            <w:tcW w:w="295"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ŘO IOP</w:t>
            </w:r>
          </w:p>
        </w:tc>
        <w:tc>
          <w:tcPr>
            <w:tcW w:w="315" w:type="pct"/>
            <w:shd w:val="clear" w:color="000000" w:fill="FFFFFF"/>
            <w:noWrap/>
            <w:vAlign w:val="bottom"/>
            <w:hideMark/>
          </w:tcPr>
          <w:p w:rsidR="005D1258" w:rsidRPr="009A406C" w:rsidRDefault="005D1258" w:rsidP="009A406C">
            <w:pPr>
              <w:jc w:val="center"/>
              <w:rPr>
                <w:color w:val="000000"/>
                <w:sz w:val="18"/>
                <w:szCs w:val="18"/>
              </w:rPr>
            </w:pPr>
            <w:r w:rsidRPr="009A406C">
              <w:rPr>
                <w:color w:val="000000"/>
                <w:sz w:val="18"/>
                <w:szCs w:val="18"/>
              </w:rPr>
              <w:t>Dosažená</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677</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3040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5692</w:t>
            </w:r>
          </w:p>
        </w:tc>
        <w:tc>
          <w:tcPr>
            <w:tcW w:w="294" w:type="pct"/>
            <w:shd w:val="clear" w:color="000000" w:fill="FFFFFF"/>
            <w:vAlign w:val="bottom"/>
            <w:hideMark/>
          </w:tcPr>
          <w:p w:rsidR="005D1258" w:rsidRPr="009A406C" w:rsidRDefault="005D1258" w:rsidP="009A406C">
            <w:pPr>
              <w:jc w:val="right"/>
              <w:rPr>
                <w:color w:val="000000"/>
                <w:sz w:val="18"/>
                <w:szCs w:val="18"/>
              </w:rPr>
            </w:pPr>
            <w:r>
              <w:rPr>
                <w:color w:val="000000"/>
                <w:sz w:val="18"/>
                <w:szCs w:val="18"/>
              </w:rPr>
              <w:t>6889</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7722</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8337</w:t>
            </w:r>
          </w:p>
        </w:tc>
        <w:tc>
          <w:tcPr>
            <w:tcW w:w="301"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FFFFFF"/>
            <w:noWrap/>
            <w:vAlign w:val="bottom"/>
            <w:hideMark/>
          </w:tcPr>
          <w:p w:rsidR="005D1258" w:rsidRPr="009A406C" w:rsidRDefault="00137748" w:rsidP="009A406C">
            <w:pPr>
              <w:jc w:val="right"/>
              <w:rPr>
                <w:color w:val="000000"/>
                <w:sz w:val="18"/>
                <w:szCs w:val="18"/>
              </w:rPr>
            </w:pPr>
            <w:r>
              <w:rPr>
                <w:color w:val="000000"/>
                <w:sz w:val="18"/>
                <w:szCs w:val="18"/>
              </w:rPr>
              <w:t>8337</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000000" w:fill="D8E4BC"/>
            <w:noWrap/>
            <w:vAlign w:val="bottom"/>
            <w:hideMark/>
          </w:tcPr>
          <w:p w:rsidR="005D1258" w:rsidRPr="009A406C" w:rsidRDefault="005D1258" w:rsidP="009A406C">
            <w:pPr>
              <w:jc w:val="center"/>
              <w:rPr>
                <w:color w:val="000000"/>
                <w:sz w:val="18"/>
                <w:szCs w:val="18"/>
              </w:rPr>
            </w:pPr>
            <w:r w:rsidRPr="009A406C">
              <w:rPr>
                <w:color w:val="000000"/>
                <w:sz w:val="18"/>
                <w:szCs w:val="18"/>
              </w:rPr>
              <w:t>Výchozí</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677</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3040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5692</w:t>
            </w:r>
          </w:p>
        </w:tc>
        <w:tc>
          <w:tcPr>
            <w:tcW w:w="294" w:type="pct"/>
            <w:shd w:val="clear" w:color="000000" w:fill="D8E4BC"/>
            <w:vAlign w:val="bottom"/>
            <w:hideMark/>
          </w:tcPr>
          <w:p w:rsidR="005D1258" w:rsidRPr="009A406C" w:rsidRDefault="005D1258" w:rsidP="009A406C">
            <w:pPr>
              <w:jc w:val="right"/>
              <w:rPr>
                <w:color w:val="000000"/>
                <w:sz w:val="18"/>
                <w:szCs w:val="18"/>
              </w:rPr>
            </w:pPr>
            <w:r>
              <w:rPr>
                <w:color w:val="000000"/>
                <w:sz w:val="18"/>
                <w:szCs w:val="18"/>
              </w:rPr>
              <w:t>6889</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7722</w:t>
            </w:r>
          </w:p>
        </w:tc>
        <w:tc>
          <w:tcPr>
            <w:tcW w:w="301"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D8E4BC"/>
            <w:noWrap/>
            <w:vAlign w:val="bottom"/>
            <w:hideMark/>
          </w:tcPr>
          <w:p w:rsidR="005D1258" w:rsidRPr="009A406C" w:rsidRDefault="00A26D0C" w:rsidP="009A406C">
            <w:pPr>
              <w:jc w:val="right"/>
              <w:rPr>
                <w:color w:val="000000"/>
                <w:sz w:val="18"/>
                <w:szCs w:val="18"/>
              </w:rPr>
            </w:pPr>
            <w:r>
              <w:rPr>
                <w:color w:val="000000"/>
                <w:sz w:val="18"/>
                <w:szCs w:val="18"/>
              </w:rPr>
              <w:t>0</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Plánovaná</w:t>
            </w:r>
          </w:p>
        </w:tc>
        <w:tc>
          <w:tcPr>
            <w:tcW w:w="2356" w:type="pct"/>
            <w:gridSpan w:val="8"/>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N/A</w:t>
            </w:r>
          </w:p>
        </w:tc>
        <w:tc>
          <w:tcPr>
            <w:tcW w:w="301" w:type="pct"/>
            <w:shd w:val="clear" w:color="auto" w:fill="auto"/>
            <w:noWrap/>
            <w:vAlign w:val="bottom"/>
            <w:hideMark/>
          </w:tcPr>
          <w:p w:rsidR="005D1258" w:rsidRPr="009A406C" w:rsidRDefault="005D1258" w:rsidP="009A406C">
            <w:pPr>
              <w:jc w:val="right"/>
              <w:rPr>
                <w:color w:val="000000"/>
                <w:sz w:val="18"/>
                <w:szCs w:val="18"/>
              </w:rPr>
            </w:pPr>
            <w:r w:rsidRPr="009A406C">
              <w:rPr>
                <w:color w:val="000000"/>
                <w:sz w:val="18"/>
                <w:szCs w:val="18"/>
              </w:rPr>
              <w:t>1400</w:t>
            </w:r>
          </w:p>
        </w:tc>
        <w:tc>
          <w:tcPr>
            <w:tcW w:w="365" w:type="pct"/>
            <w:shd w:val="clear" w:color="auto" w:fill="auto"/>
            <w:noWrap/>
            <w:vAlign w:val="bottom"/>
            <w:hideMark/>
          </w:tcPr>
          <w:p w:rsidR="005D1258" w:rsidRPr="009A406C" w:rsidRDefault="00137748" w:rsidP="009A406C">
            <w:pPr>
              <w:jc w:val="right"/>
              <w:rPr>
                <w:color w:val="000000"/>
                <w:sz w:val="18"/>
                <w:szCs w:val="18"/>
              </w:rPr>
            </w:pPr>
            <w:r>
              <w:rPr>
                <w:color w:val="000000"/>
                <w:sz w:val="18"/>
                <w:szCs w:val="18"/>
              </w:rPr>
              <w:t>1400</w:t>
            </w:r>
          </w:p>
        </w:tc>
      </w:tr>
      <w:tr w:rsidR="005D1258" w:rsidRPr="009A406C" w:rsidTr="004D4C2C">
        <w:trPr>
          <w:trHeight w:val="300"/>
        </w:trPr>
        <w:tc>
          <w:tcPr>
            <w:tcW w:w="327" w:type="pct"/>
            <w:vMerge w:val="restart"/>
            <w:shd w:val="clear" w:color="auto" w:fill="auto"/>
            <w:vAlign w:val="center"/>
            <w:hideMark/>
          </w:tcPr>
          <w:p w:rsidR="005D1258" w:rsidRPr="009A406C" w:rsidRDefault="005D1258" w:rsidP="009A406C">
            <w:pPr>
              <w:rPr>
                <w:color w:val="000000"/>
                <w:sz w:val="18"/>
                <w:szCs w:val="18"/>
              </w:rPr>
            </w:pPr>
            <w:r w:rsidRPr="009A406C">
              <w:rPr>
                <w:color w:val="000000"/>
                <w:sz w:val="18"/>
                <w:szCs w:val="18"/>
              </w:rPr>
              <w:t>480800</w:t>
            </w:r>
          </w:p>
        </w:tc>
        <w:tc>
          <w:tcPr>
            <w:tcW w:w="723" w:type="pct"/>
            <w:vMerge w:val="restart"/>
            <w:shd w:val="clear" w:color="000000" w:fill="FFFFFF"/>
            <w:vAlign w:val="center"/>
            <w:hideMark/>
          </w:tcPr>
          <w:p w:rsidR="005D1258" w:rsidRPr="009A406C" w:rsidRDefault="005D1258" w:rsidP="009A406C">
            <w:pPr>
              <w:rPr>
                <w:color w:val="000000"/>
                <w:sz w:val="18"/>
                <w:szCs w:val="18"/>
              </w:rPr>
            </w:pPr>
            <w:r w:rsidRPr="009A406C">
              <w:rPr>
                <w:color w:val="000000"/>
                <w:sz w:val="18"/>
                <w:szCs w:val="18"/>
              </w:rPr>
              <w:t>Realizovaná spolupráce se sdělovacími prostředky a komunikace s veřejností</w:t>
            </w:r>
          </w:p>
        </w:tc>
        <w:tc>
          <w:tcPr>
            <w:tcW w:w="31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Počet</w:t>
            </w:r>
          </w:p>
        </w:tc>
        <w:tc>
          <w:tcPr>
            <w:tcW w:w="295"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ŘO IOP</w:t>
            </w:r>
          </w:p>
        </w:tc>
        <w:tc>
          <w:tcPr>
            <w:tcW w:w="315" w:type="pct"/>
            <w:shd w:val="clear" w:color="000000" w:fill="FFFFFF"/>
            <w:noWrap/>
            <w:vAlign w:val="bottom"/>
            <w:hideMark/>
          </w:tcPr>
          <w:p w:rsidR="005D1258" w:rsidRPr="009A406C" w:rsidRDefault="005D1258" w:rsidP="009A406C">
            <w:pPr>
              <w:jc w:val="center"/>
              <w:rPr>
                <w:color w:val="000000"/>
                <w:sz w:val="18"/>
                <w:szCs w:val="18"/>
              </w:rPr>
            </w:pPr>
            <w:r w:rsidRPr="009A406C">
              <w:rPr>
                <w:color w:val="000000"/>
                <w:sz w:val="18"/>
                <w:szCs w:val="18"/>
              </w:rPr>
              <w:t>Dosažená</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5</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52</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57</w:t>
            </w:r>
          </w:p>
        </w:tc>
        <w:tc>
          <w:tcPr>
            <w:tcW w:w="294" w:type="pct"/>
            <w:shd w:val="clear" w:color="000000" w:fill="FFFFFF"/>
            <w:vAlign w:val="bottom"/>
            <w:hideMark/>
          </w:tcPr>
          <w:p w:rsidR="005D1258" w:rsidRPr="009A406C" w:rsidRDefault="005D1258" w:rsidP="009A406C">
            <w:pPr>
              <w:jc w:val="right"/>
              <w:rPr>
                <w:color w:val="000000"/>
                <w:sz w:val="18"/>
                <w:szCs w:val="18"/>
              </w:rPr>
            </w:pPr>
            <w:r>
              <w:rPr>
                <w:color w:val="000000"/>
                <w:sz w:val="18"/>
                <w:szCs w:val="18"/>
              </w:rPr>
              <w:t>110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138</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151</w:t>
            </w:r>
          </w:p>
        </w:tc>
        <w:tc>
          <w:tcPr>
            <w:tcW w:w="301"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FFFFFF"/>
            <w:noWrap/>
            <w:vAlign w:val="bottom"/>
            <w:hideMark/>
          </w:tcPr>
          <w:p w:rsidR="005D1258" w:rsidRPr="009A406C" w:rsidRDefault="00137748" w:rsidP="009A406C">
            <w:pPr>
              <w:jc w:val="right"/>
              <w:rPr>
                <w:color w:val="000000"/>
                <w:sz w:val="18"/>
                <w:szCs w:val="18"/>
              </w:rPr>
            </w:pPr>
            <w:r>
              <w:rPr>
                <w:color w:val="000000"/>
                <w:sz w:val="18"/>
                <w:szCs w:val="18"/>
              </w:rPr>
              <w:t>151</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000000" w:fill="D8E4BC"/>
            <w:noWrap/>
            <w:vAlign w:val="bottom"/>
            <w:hideMark/>
          </w:tcPr>
          <w:p w:rsidR="005D1258" w:rsidRPr="009A406C" w:rsidRDefault="005D1258" w:rsidP="009A406C">
            <w:pPr>
              <w:jc w:val="center"/>
              <w:rPr>
                <w:color w:val="000000"/>
                <w:sz w:val="18"/>
                <w:szCs w:val="18"/>
              </w:rPr>
            </w:pPr>
            <w:r w:rsidRPr="009A406C">
              <w:rPr>
                <w:color w:val="000000"/>
                <w:sz w:val="18"/>
                <w:szCs w:val="18"/>
              </w:rPr>
              <w:t>Výchozí</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5</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52</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57</w:t>
            </w:r>
          </w:p>
        </w:tc>
        <w:tc>
          <w:tcPr>
            <w:tcW w:w="294" w:type="pct"/>
            <w:shd w:val="clear" w:color="000000" w:fill="D8E4BC"/>
            <w:vAlign w:val="bottom"/>
            <w:hideMark/>
          </w:tcPr>
          <w:p w:rsidR="005D1258" w:rsidRPr="009A406C" w:rsidRDefault="005D1258" w:rsidP="009A406C">
            <w:pPr>
              <w:jc w:val="right"/>
              <w:rPr>
                <w:color w:val="000000"/>
                <w:sz w:val="18"/>
                <w:szCs w:val="18"/>
              </w:rPr>
            </w:pPr>
            <w:r>
              <w:rPr>
                <w:color w:val="000000"/>
                <w:sz w:val="18"/>
                <w:szCs w:val="18"/>
              </w:rPr>
              <w:t>110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138</w:t>
            </w:r>
          </w:p>
        </w:tc>
        <w:tc>
          <w:tcPr>
            <w:tcW w:w="301"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D8E4BC"/>
            <w:noWrap/>
            <w:vAlign w:val="bottom"/>
            <w:hideMark/>
          </w:tcPr>
          <w:p w:rsidR="005D1258" w:rsidRPr="009A406C" w:rsidRDefault="00A26D0C" w:rsidP="009A406C">
            <w:pPr>
              <w:jc w:val="right"/>
              <w:rPr>
                <w:color w:val="000000"/>
                <w:sz w:val="18"/>
                <w:szCs w:val="18"/>
              </w:rPr>
            </w:pPr>
            <w:r>
              <w:rPr>
                <w:color w:val="000000"/>
                <w:sz w:val="18"/>
                <w:szCs w:val="18"/>
              </w:rPr>
              <w:t>0</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Plánovaná</w:t>
            </w:r>
          </w:p>
        </w:tc>
        <w:tc>
          <w:tcPr>
            <w:tcW w:w="2356" w:type="pct"/>
            <w:gridSpan w:val="8"/>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N/A</w:t>
            </w:r>
          </w:p>
        </w:tc>
        <w:tc>
          <w:tcPr>
            <w:tcW w:w="301" w:type="pct"/>
            <w:shd w:val="clear" w:color="auto" w:fill="auto"/>
            <w:noWrap/>
            <w:vAlign w:val="bottom"/>
            <w:hideMark/>
          </w:tcPr>
          <w:p w:rsidR="005D1258" w:rsidRPr="009A406C" w:rsidRDefault="005D1258" w:rsidP="009A406C">
            <w:pPr>
              <w:jc w:val="right"/>
              <w:rPr>
                <w:color w:val="000000"/>
                <w:sz w:val="18"/>
                <w:szCs w:val="18"/>
              </w:rPr>
            </w:pPr>
            <w:r w:rsidRPr="009A406C">
              <w:rPr>
                <w:color w:val="000000"/>
                <w:sz w:val="18"/>
                <w:szCs w:val="18"/>
              </w:rPr>
              <w:t>30</w:t>
            </w:r>
          </w:p>
        </w:tc>
        <w:tc>
          <w:tcPr>
            <w:tcW w:w="365" w:type="pct"/>
            <w:shd w:val="clear" w:color="auto" w:fill="auto"/>
            <w:noWrap/>
            <w:vAlign w:val="bottom"/>
            <w:hideMark/>
          </w:tcPr>
          <w:p w:rsidR="005D1258" w:rsidRPr="009A406C" w:rsidRDefault="00137748" w:rsidP="009A406C">
            <w:pPr>
              <w:jc w:val="right"/>
              <w:rPr>
                <w:color w:val="000000"/>
                <w:sz w:val="18"/>
                <w:szCs w:val="18"/>
              </w:rPr>
            </w:pPr>
            <w:r>
              <w:rPr>
                <w:color w:val="000000"/>
                <w:sz w:val="18"/>
                <w:szCs w:val="18"/>
              </w:rPr>
              <w:t>30</w:t>
            </w:r>
          </w:p>
        </w:tc>
      </w:tr>
      <w:tr w:rsidR="005D1258" w:rsidRPr="009A406C" w:rsidTr="004D4C2C">
        <w:trPr>
          <w:trHeight w:val="300"/>
        </w:trPr>
        <w:tc>
          <w:tcPr>
            <w:tcW w:w="32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480900</w:t>
            </w:r>
          </w:p>
        </w:tc>
        <w:tc>
          <w:tcPr>
            <w:tcW w:w="723" w:type="pct"/>
            <w:vMerge w:val="restart"/>
            <w:shd w:val="clear" w:color="000000" w:fill="FFFFFF"/>
            <w:vAlign w:val="center"/>
            <w:hideMark/>
          </w:tcPr>
          <w:p w:rsidR="005D1258" w:rsidRPr="009A406C" w:rsidRDefault="005D1258" w:rsidP="009A406C">
            <w:pPr>
              <w:rPr>
                <w:color w:val="000000"/>
                <w:sz w:val="18"/>
                <w:szCs w:val="18"/>
              </w:rPr>
            </w:pPr>
            <w:r w:rsidRPr="009A406C">
              <w:rPr>
                <w:color w:val="000000"/>
                <w:sz w:val="18"/>
                <w:szCs w:val="18"/>
              </w:rPr>
              <w:t xml:space="preserve">Počet uspořádaných informačních a propagačních aktivit </w:t>
            </w:r>
          </w:p>
        </w:tc>
        <w:tc>
          <w:tcPr>
            <w:tcW w:w="31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Počet</w:t>
            </w:r>
          </w:p>
        </w:tc>
        <w:tc>
          <w:tcPr>
            <w:tcW w:w="295"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ŘO IOP</w:t>
            </w:r>
          </w:p>
        </w:tc>
        <w:tc>
          <w:tcPr>
            <w:tcW w:w="315" w:type="pct"/>
            <w:shd w:val="clear" w:color="000000" w:fill="FFFFFF"/>
            <w:noWrap/>
            <w:vAlign w:val="bottom"/>
            <w:hideMark/>
          </w:tcPr>
          <w:p w:rsidR="005D1258" w:rsidRPr="009A406C" w:rsidRDefault="005D1258" w:rsidP="009A406C">
            <w:pPr>
              <w:jc w:val="center"/>
              <w:rPr>
                <w:color w:val="000000"/>
                <w:sz w:val="18"/>
                <w:szCs w:val="18"/>
              </w:rPr>
            </w:pPr>
            <w:r w:rsidRPr="009A406C">
              <w:rPr>
                <w:color w:val="000000"/>
                <w:sz w:val="18"/>
                <w:szCs w:val="18"/>
              </w:rPr>
              <w:t>Dosažená</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4</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34</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72</w:t>
            </w:r>
          </w:p>
        </w:tc>
        <w:tc>
          <w:tcPr>
            <w:tcW w:w="294" w:type="pct"/>
            <w:shd w:val="clear" w:color="000000" w:fill="FFFFFF"/>
            <w:vAlign w:val="bottom"/>
            <w:hideMark/>
          </w:tcPr>
          <w:p w:rsidR="005D1258" w:rsidRPr="009A406C" w:rsidRDefault="005D1258" w:rsidP="009A406C">
            <w:pPr>
              <w:jc w:val="right"/>
              <w:rPr>
                <w:color w:val="000000"/>
                <w:sz w:val="18"/>
                <w:szCs w:val="18"/>
              </w:rPr>
            </w:pPr>
            <w:r>
              <w:rPr>
                <w:color w:val="000000"/>
                <w:sz w:val="18"/>
                <w:szCs w:val="18"/>
              </w:rPr>
              <w:t>116</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145</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162</w:t>
            </w:r>
          </w:p>
        </w:tc>
        <w:tc>
          <w:tcPr>
            <w:tcW w:w="301"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FFFFFF"/>
            <w:noWrap/>
            <w:vAlign w:val="bottom"/>
            <w:hideMark/>
          </w:tcPr>
          <w:p w:rsidR="005D1258" w:rsidRPr="009A406C" w:rsidRDefault="00137748" w:rsidP="009A406C">
            <w:pPr>
              <w:jc w:val="right"/>
              <w:rPr>
                <w:color w:val="000000"/>
                <w:sz w:val="18"/>
                <w:szCs w:val="18"/>
              </w:rPr>
            </w:pPr>
            <w:r>
              <w:rPr>
                <w:color w:val="000000"/>
                <w:sz w:val="18"/>
                <w:szCs w:val="18"/>
              </w:rPr>
              <w:t>162</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000000" w:fill="D8E4BC"/>
            <w:noWrap/>
            <w:vAlign w:val="bottom"/>
            <w:hideMark/>
          </w:tcPr>
          <w:p w:rsidR="005D1258" w:rsidRPr="009A406C" w:rsidRDefault="005D1258" w:rsidP="009A406C">
            <w:pPr>
              <w:jc w:val="center"/>
              <w:rPr>
                <w:color w:val="000000"/>
                <w:sz w:val="18"/>
                <w:szCs w:val="18"/>
              </w:rPr>
            </w:pPr>
            <w:r w:rsidRPr="009A406C">
              <w:rPr>
                <w:color w:val="000000"/>
                <w:sz w:val="18"/>
                <w:szCs w:val="18"/>
              </w:rPr>
              <w:t>Výchozí</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4</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34</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72</w:t>
            </w:r>
          </w:p>
        </w:tc>
        <w:tc>
          <w:tcPr>
            <w:tcW w:w="294" w:type="pct"/>
            <w:shd w:val="clear" w:color="000000" w:fill="D8E4BC"/>
            <w:vAlign w:val="bottom"/>
            <w:hideMark/>
          </w:tcPr>
          <w:p w:rsidR="005D1258" w:rsidRPr="009A406C" w:rsidRDefault="005D1258" w:rsidP="009A406C">
            <w:pPr>
              <w:jc w:val="right"/>
              <w:rPr>
                <w:color w:val="000000"/>
                <w:sz w:val="18"/>
                <w:szCs w:val="18"/>
              </w:rPr>
            </w:pPr>
            <w:r>
              <w:rPr>
                <w:color w:val="000000"/>
                <w:sz w:val="18"/>
                <w:szCs w:val="18"/>
              </w:rPr>
              <w:t>116</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145</w:t>
            </w:r>
          </w:p>
        </w:tc>
        <w:tc>
          <w:tcPr>
            <w:tcW w:w="301"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Plánovaná</w:t>
            </w:r>
          </w:p>
        </w:tc>
        <w:tc>
          <w:tcPr>
            <w:tcW w:w="2356" w:type="pct"/>
            <w:gridSpan w:val="8"/>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N/A</w:t>
            </w:r>
          </w:p>
        </w:tc>
        <w:tc>
          <w:tcPr>
            <w:tcW w:w="301" w:type="pct"/>
            <w:shd w:val="clear" w:color="auto" w:fill="auto"/>
            <w:noWrap/>
            <w:vAlign w:val="bottom"/>
            <w:hideMark/>
          </w:tcPr>
          <w:p w:rsidR="005D1258" w:rsidRPr="009A406C" w:rsidRDefault="005D1258" w:rsidP="009A406C">
            <w:pPr>
              <w:jc w:val="right"/>
              <w:rPr>
                <w:color w:val="000000"/>
                <w:sz w:val="18"/>
                <w:szCs w:val="18"/>
              </w:rPr>
            </w:pPr>
            <w:r w:rsidRPr="009A406C">
              <w:rPr>
                <w:color w:val="000000"/>
                <w:sz w:val="18"/>
                <w:szCs w:val="18"/>
              </w:rPr>
              <w:t>32</w:t>
            </w:r>
          </w:p>
        </w:tc>
        <w:tc>
          <w:tcPr>
            <w:tcW w:w="365" w:type="pct"/>
            <w:shd w:val="clear" w:color="auto" w:fill="auto"/>
            <w:noWrap/>
            <w:vAlign w:val="bottom"/>
            <w:hideMark/>
          </w:tcPr>
          <w:p w:rsidR="005D1258" w:rsidRPr="009A406C" w:rsidRDefault="00137748" w:rsidP="009A406C">
            <w:pPr>
              <w:jc w:val="right"/>
              <w:rPr>
                <w:color w:val="000000"/>
                <w:sz w:val="18"/>
                <w:szCs w:val="18"/>
              </w:rPr>
            </w:pPr>
            <w:r>
              <w:rPr>
                <w:color w:val="000000"/>
                <w:sz w:val="18"/>
                <w:szCs w:val="18"/>
              </w:rPr>
              <w:t>32</w:t>
            </w:r>
          </w:p>
        </w:tc>
      </w:tr>
      <w:tr w:rsidR="005D1258" w:rsidRPr="009A406C" w:rsidTr="004D4C2C">
        <w:trPr>
          <w:trHeight w:val="300"/>
        </w:trPr>
        <w:tc>
          <w:tcPr>
            <w:tcW w:w="32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483100</w:t>
            </w:r>
          </w:p>
        </w:tc>
        <w:tc>
          <w:tcPr>
            <w:tcW w:w="723" w:type="pct"/>
            <w:vMerge w:val="restart"/>
            <w:shd w:val="clear" w:color="000000" w:fill="FFFFFF"/>
            <w:vAlign w:val="center"/>
            <w:hideMark/>
          </w:tcPr>
          <w:p w:rsidR="005D1258" w:rsidRPr="009A406C" w:rsidRDefault="005D1258" w:rsidP="009A406C">
            <w:pPr>
              <w:rPr>
                <w:color w:val="000000"/>
                <w:sz w:val="18"/>
                <w:szCs w:val="18"/>
              </w:rPr>
            </w:pPr>
            <w:r w:rsidRPr="009A406C">
              <w:rPr>
                <w:color w:val="000000"/>
                <w:sz w:val="18"/>
                <w:szCs w:val="18"/>
              </w:rPr>
              <w:t xml:space="preserve">Počet zaměstnaných pracovníků </w:t>
            </w:r>
            <w:r w:rsidRPr="009A406C">
              <w:rPr>
                <w:color w:val="000000"/>
                <w:sz w:val="18"/>
                <w:szCs w:val="18"/>
              </w:rPr>
              <w:lastRenderedPageBreak/>
              <w:t>implementační struktury</w:t>
            </w:r>
          </w:p>
        </w:tc>
        <w:tc>
          <w:tcPr>
            <w:tcW w:w="317"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lastRenderedPageBreak/>
              <w:t>Počet</w:t>
            </w:r>
          </w:p>
        </w:tc>
        <w:tc>
          <w:tcPr>
            <w:tcW w:w="295" w:type="pct"/>
            <w:vMerge w:val="restart"/>
            <w:shd w:val="clear" w:color="auto" w:fill="auto"/>
            <w:noWrap/>
            <w:vAlign w:val="center"/>
            <w:hideMark/>
          </w:tcPr>
          <w:p w:rsidR="005D1258" w:rsidRPr="009A406C" w:rsidRDefault="005D1258" w:rsidP="009A406C">
            <w:pPr>
              <w:rPr>
                <w:color w:val="000000"/>
                <w:sz w:val="18"/>
                <w:szCs w:val="18"/>
              </w:rPr>
            </w:pPr>
            <w:r w:rsidRPr="009A406C">
              <w:rPr>
                <w:color w:val="000000"/>
                <w:sz w:val="18"/>
                <w:szCs w:val="18"/>
              </w:rPr>
              <w:t>ŘO IOP</w:t>
            </w:r>
          </w:p>
        </w:tc>
        <w:tc>
          <w:tcPr>
            <w:tcW w:w="315" w:type="pct"/>
            <w:shd w:val="clear" w:color="000000" w:fill="FFFFFF"/>
            <w:noWrap/>
            <w:vAlign w:val="bottom"/>
            <w:hideMark/>
          </w:tcPr>
          <w:p w:rsidR="005D1258" w:rsidRPr="009A406C" w:rsidRDefault="005D1258" w:rsidP="009A406C">
            <w:pPr>
              <w:jc w:val="center"/>
              <w:rPr>
                <w:color w:val="000000"/>
                <w:sz w:val="18"/>
                <w:szCs w:val="18"/>
              </w:rPr>
            </w:pPr>
            <w:r w:rsidRPr="009A406C">
              <w:rPr>
                <w:color w:val="000000"/>
                <w:sz w:val="18"/>
                <w:szCs w:val="18"/>
              </w:rPr>
              <w:t>Dosažená</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56,31</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142,98</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239,6</w:t>
            </w:r>
          </w:p>
        </w:tc>
        <w:tc>
          <w:tcPr>
            <w:tcW w:w="294" w:type="pct"/>
            <w:shd w:val="clear" w:color="000000" w:fill="FFFFFF"/>
            <w:vAlign w:val="bottom"/>
            <w:hideMark/>
          </w:tcPr>
          <w:p w:rsidR="005D1258" w:rsidRPr="009A406C" w:rsidRDefault="005D1258" w:rsidP="009A406C">
            <w:pPr>
              <w:jc w:val="right"/>
              <w:rPr>
                <w:color w:val="000000"/>
                <w:sz w:val="18"/>
                <w:szCs w:val="18"/>
              </w:rPr>
            </w:pPr>
            <w:r>
              <w:rPr>
                <w:color w:val="000000"/>
                <w:sz w:val="18"/>
                <w:szCs w:val="18"/>
              </w:rPr>
              <w:t>416,23</w:t>
            </w:r>
          </w:p>
        </w:tc>
        <w:tc>
          <w:tcPr>
            <w:tcW w:w="294"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508,91</w:t>
            </w:r>
          </w:p>
        </w:tc>
        <w:tc>
          <w:tcPr>
            <w:tcW w:w="295" w:type="pct"/>
            <w:shd w:val="clear" w:color="000000" w:fill="FFFFFF"/>
            <w:vAlign w:val="bottom"/>
            <w:hideMark/>
          </w:tcPr>
          <w:p w:rsidR="005D1258" w:rsidRPr="009A406C" w:rsidRDefault="005D1258" w:rsidP="009A406C">
            <w:pPr>
              <w:jc w:val="right"/>
              <w:rPr>
                <w:color w:val="000000"/>
                <w:sz w:val="18"/>
                <w:szCs w:val="18"/>
              </w:rPr>
            </w:pPr>
            <w:r w:rsidRPr="009A406C">
              <w:rPr>
                <w:color w:val="000000"/>
                <w:sz w:val="18"/>
                <w:szCs w:val="18"/>
              </w:rPr>
              <w:t>657,85</w:t>
            </w:r>
          </w:p>
        </w:tc>
        <w:tc>
          <w:tcPr>
            <w:tcW w:w="301" w:type="pct"/>
            <w:shd w:val="clear" w:color="000000" w:fill="FFFFFF"/>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FFFFFF"/>
            <w:noWrap/>
            <w:vAlign w:val="bottom"/>
            <w:hideMark/>
          </w:tcPr>
          <w:p w:rsidR="005D1258" w:rsidRPr="009A406C" w:rsidRDefault="00137748" w:rsidP="009A406C">
            <w:pPr>
              <w:jc w:val="right"/>
              <w:rPr>
                <w:color w:val="000000"/>
                <w:sz w:val="18"/>
                <w:szCs w:val="18"/>
              </w:rPr>
            </w:pPr>
            <w:r>
              <w:rPr>
                <w:color w:val="000000"/>
                <w:sz w:val="18"/>
                <w:szCs w:val="18"/>
              </w:rPr>
              <w:t>657,85</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000000" w:fill="D8E4BC"/>
            <w:noWrap/>
            <w:vAlign w:val="bottom"/>
            <w:hideMark/>
          </w:tcPr>
          <w:p w:rsidR="005D1258" w:rsidRPr="009A406C" w:rsidRDefault="005D1258" w:rsidP="009A406C">
            <w:pPr>
              <w:jc w:val="center"/>
              <w:rPr>
                <w:color w:val="000000"/>
                <w:sz w:val="18"/>
                <w:szCs w:val="18"/>
              </w:rPr>
            </w:pPr>
            <w:r w:rsidRPr="009A406C">
              <w:rPr>
                <w:color w:val="000000"/>
                <w:sz w:val="18"/>
                <w:szCs w:val="18"/>
              </w:rPr>
              <w:t>Výchozí</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0</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56,31</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142,98</w:t>
            </w:r>
          </w:p>
        </w:tc>
        <w:tc>
          <w:tcPr>
            <w:tcW w:w="294"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239,6</w:t>
            </w:r>
          </w:p>
        </w:tc>
        <w:tc>
          <w:tcPr>
            <w:tcW w:w="294" w:type="pct"/>
            <w:shd w:val="clear" w:color="000000" w:fill="D8E4BC"/>
            <w:vAlign w:val="bottom"/>
            <w:hideMark/>
          </w:tcPr>
          <w:p w:rsidR="005D1258" w:rsidRPr="009A406C" w:rsidRDefault="005D1258" w:rsidP="009A406C">
            <w:pPr>
              <w:jc w:val="right"/>
              <w:rPr>
                <w:color w:val="000000"/>
                <w:sz w:val="18"/>
                <w:szCs w:val="18"/>
              </w:rPr>
            </w:pPr>
            <w:r>
              <w:rPr>
                <w:color w:val="000000"/>
                <w:sz w:val="18"/>
                <w:szCs w:val="18"/>
              </w:rPr>
              <w:t>416,23</w:t>
            </w:r>
          </w:p>
        </w:tc>
        <w:tc>
          <w:tcPr>
            <w:tcW w:w="295" w:type="pct"/>
            <w:shd w:val="clear" w:color="000000" w:fill="D8E4BC"/>
            <w:vAlign w:val="bottom"/>
            <w:hideMark/>
          </w:tcPr>
          <w:p w:rsidR="005D1258" w:rsidRPr="009A406C" w:rsidRDefault="005D1258" w:rsidP="009A406C">
            <w:pPr>
              <w:jc w:val="right"/>
              <w:rPr>
                <w:color w:val="000000"/>
                <w:sz w:val="18"/>
                <w:szCs w:val="18"/>
              </w:rPr>
            </w:pPr>
            <w:r w:rsidRPr="009A406C">
              <w:rPr>
                <w:color w:val="000000"/>
                <w:sz w:val="18"/>
                <w:szCs w:val="18"/>
              </w:rPr>
              <w:t>508,91</w:t>
            </w:r>
          </w:p>
        </w:tc>
        <w:tc>
          <w:tcPr>
            <w:tcW w:w="301" w:type="pct"/>
            <w:shd w:val="clear" w:color="000000" w:fill="D8E4BC"/>
            <w:noWrap/>
            <w:vAlign w:val="bottom"/>
            <w:hideMark/>
          </w:tcPr>
          <w:p w:rsidR="005D1258" w:rsidRPr="009A406C" w:rsidRDefault="005D1258" w:rsidP="009A406C">
            <w:pPr>
              <w:jc w:val="right"/>
              <w:rPr>
                <w:color w:val="000000"/>
                <w:sz w:val="18"/>
                <w:szCs w:val="18"/>
              </w:rPr>
            </w:pPr>
            <w:r w:rsidRPr="009A406C">
              <w:rPr>
                <w:color w:val="000000"/>
                <w:sz w:val="18"/>
                <w:szCs w:val="18"/>
              </w:rPr>
              <w:t>N/A</w:t>
            </w:r>
          </w:p>
        </w:tc>
        <w:tc>
          <w:tcPr>
            <w:tcW w:w="365" w:type="pct"/>
            <w:shd w:val="clear" w:color="000000" w:fill="D8E4BC"/>
            <w:noWrap/>
            <w:vAlign w:val="bottom"/>
            <w:hideMark/>
          </w:tcPr>
          <w:p w:rsidR="005D1258" w:rsidRPr="009A406C" w:rsidRDefault="00A26D0C" w:rsidP="009A406C">
            <w:pPr>
              <w:jc w:val="right"/>
              <w:rPr>
                <w:color w:val="000000"/>
                <w:sz w:val="18"/>
                <w:szCs w:val="18"/>
              </w:rPr>
            </w:pPr>
            <w:r>
              <w:rPr>
                <w:color w:val="000000"/>
                <w:sz w:val="18"/>
                <w:szCs w:val="18"/>
              </w:rPr>
              <w:t>0</w:t>
            </w:r>
          </w:p>
        </w:tc>
      </w:tr>
      <w:tr w:rsidR="005D1258" w:rsidRPr="009A406C" w:rsidTr="004D4C2C">
        <w:trPr>
          <w:trHeight w:val="300"/>
        </w:trPr>
        <w:tc>
          <w:tcPr>
            <w:tcW w:w="327" w:type="pct"/>
            <w:vMerge/>
            <w:vAlign w:val="center"/>
            <w:hideMark/>
          </w:tcPr>
          <w:p w:rsidR="005D1258" w:rsidRPr="009A406C" w:rsidRDefault="005D1258" w:rsidP="009A406C">
            <w:pPr>
              <w:rPr>
                <w:color w:val="000000"/>
                <w:sz w:val="18"/>
                <w:szCs w:val="18"/>
              </w:rPr>
            </w:pPr>
          </w:p>
        </w:tc>
        <w:tc>
          <w:tcPr>
            <w:tcW w:w="723" w:type="pct"/>
            <w:vMerge/>
            <w:vAlign w:val="center"/>
            <w:hideMark/>
          </w:tcPr>
          <w:p w:rsidR="005D1258" w:rsidRPr="009A406C" w:rsidRDefault="005D1258" w:rsidP="009A406C">
            <w:pPr>
              <w:rPr>
                <w:color w:val="000000"/>
                <w:sz w:val="18"/>
                <w:szCs w:val="18"/>
              </w:rPr>
            </w:pPr>
          </w:p>
        </w:tc>
        <w:tc>
          <w:tcPr>
            <w:tcW w:w="317" w:type="pct"/>
            <w:vMerge/>
            <w:vAlign w:val="center"/>
            <w:hideMark/>
          </w:tcPr>
          <w:p w:rsidR="005D1258" w:rsidRPr="009A406C" w:rsidRDefault="005D1258" w:rsidP="009A406C">
            <w:pPr>
              <w:rPr>
                <w:color w:val="000000"/>
                <w:sz w:val="18"/>
                <w:szCs w:val="18"/>
              </w:rPr>
            </w:pPr>
          </w:p>
        </w:tc>
        <w:tc>
          <w:tcPr>
            <w:tcW w:w="295" w:type="pct"/>
            <w:vMerge/>
            <w:vAlign w:val="center"/>
            <w:hideMark/>
          </w:tcPr>
          <w:p w:rsidR="005D1258" w:rsidRPr="009A406C" w:rsidRDefault="005D1258" w:rsidP="009A406C">
            <w:pPr>
              <w:rPr>
                <w:color w:val="000000"/>
                <w:sz w:val="18"/>
                <w:szCs w:val="18"/>
              </w:rPr>
            </w:pPr>
          </w:p>
        </w:tc>
        <w:tc>
          <w:tcPr>
            <w:tcW w:w="315" w:type="pct"/>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Plánovaná</w:t>
            </w:r>
          </w:p>
        </w:tc>
        <w:tc>
          <w:tcPr>
            <w:tcW w:w="2356" w:type="pct"/>
            <w:gridSpan w:val="8"/>
            <w:shd w:val="clear" w:color="auto" w:fill="auto"/>
            <w:noWrap/>
            <w:vAlign w:val="bottom"/>
            <w:hideMark/>
          </w:tcPr>
          <w:p w:rsidR="005D1258" w:rsidRPr="009A406C" w:rsidRDefault="005D1258" w:rsidP="009A406C">
            <w:pPr>
              <w:jc w:val="center"/>
              <w:rPr>
                <w:color w:val="000000"/>
                <w:sz w:val="18"/>
                <w:szCs w:val="18"/>
              </w:rPr>
            </w:pPr>
            <w:r w:rsidRPr="009A406C">
              <w:rPr>
                <w:color w:val="000000"/>
                <w:sz w:val="18"/>
                <w:szCs w:val="18"/>
              </w:rPr>
              <w:t>N/A</w:t>
            </w:r>
          </w:p>
        </w:tc>
        <w:tc>
          <w:tcPr>
            <w:tcW w:w="301" w:type="pct"/>
            <w:shd w:val="clear" w:color="auto" w:fill="auto"/>
            <w:noWrap/>
            <w:vAlign w:val="bottom"/>
            <w:hideMark/>
          </w:tcPr>
          <w:p w:rsidR="005D1258" w:rsidRPr="009A406C" w:rsidRDefault="00137748" w:rsidP="009A406C">
            <w:pPr>
              <w:jc w:val="right"/>
              <w:rPr>
                <w:color w:val="000000"/>
                <w:sz w:val="18"/>
                <w:szCs w:val="18"/>
              </w:rPr>
            </w:pPr>
            <w:r>
              <w:rPr>
                <w:color w:val="000000"/>
                <w:sz w:val="18"/>
                <w:szCs w:val="18"/>
              </w:rPr>
              <w:t>90</w:t>
            </w:r>
          </w:p>
        </w:tc>
        <w:tc>
          <w:tcPr>
            <w:tcW w:w="365" w:type="pct"/>
            <w:shd w:val="clear" w:color="auto" w:fill="auto"/>
            <w:noWrap/>
            <w:vAlign w:val="bottom"/>
            <w:hideMark/>
          </w:tcPr>
          <w:p w:rsidR="005D1258" w:rsidRPr="009A406C" w:rsidRDefault="00137748" w:rsidP="009A406C">
            <w:pPr>
              <w:jc w:val="right"/>
              <w:rPr>
                <w:color w:val="000000"/>
                <w:sz w:val="18"/>
                <w:szCs w:val="18"/>
              </w:rPr>
            </w:pPr>
            <w:r>
              <w:rPr>
                <w:color w:val="000000"/>
                <w:sz w:val="18"/>
                <w:szCs w:val="18"/>
              </w:rPr>
              <w:t>90</w:t>
            </w:r>
          </w:p>
        </w:tc>
      </w:tr>
    </w:tbl>
    <w:p w:rsidR="00A75862" w:rsidRPr="009026D3" w:rsidRDefault="00A75862" w:rsidP="00184E0A">
      <w:pPr>
        <w:jc w:val="both"/>
        <w:rPr>
          <w:i/>
          <w:sz w:val="18"/>
          <w:szCs w:val="18"/>
        </w:rPr>
      </w:pPr>
      <w:r w:rsidRPr="008C4750">
        <w:rPr>
          <w:i/>
          <w:sz w:val="18"/>
          <w:szCs w:val="18"/>
        </w:rPr>
        <w:lastRenderedPageBreak/>
        <w:t>Zdroj: MSC 2007 k</w:t>
      </w:r>
      <w:r w:rsidR="002C4096" w:rsidRPr="008C4750">
        <w:rPr>
          <w:i/>
          <w:sz w:val="18"/>
          <w:szCs w:val="18"/>
        </w:rPr>
        <w:t>e dni</w:t>
      </w:r>
      <w:r w:rsidRPr="008C4750">
        <w:rPr>
          <w:i/>
          <w:sz w:val="18"/>
          <w:szCs w:val="18"/>
        </w:rPr>
        <w:t xml:space="preserve"> </w:t>
      </w:r>
      <w:r w:rsidR="004A2127">
        <w:rPr>
          <w:i/>
          <w:sz w:val="18"/>
          <w:szCs w:val="18"/>
        </w:rPr>
        <w:t>2. 3. 2015</w:t>
      </w:r>
    </w:p>
    <w:p w:rsidR="005656F9" w:rsidRDefault="005656F9" w:rsidP="00184E0A">
      <w:pPr>
        <w:jc w:val="both"/>
      </w:pPr>
    </w:p>
    <w:p w:rsidR="005656F9" w:rsidRDefault="005656F9" w:rsidP="008263BA">
      <w:pPr>
        <w:pStyle w:val="Tabulkanzev"/>
      </w:pPr>
      <w:bookmarkStart w:id="247" w:name="_Toc416431866"/>
      <w:r>
        <w:t>Indikátory výsledku</w:t>
      </w:r>
      <w:r w:rsidR="006468D8">
        <w:t xml:space="preserve"> v PO 6</w:t>
      </w:r>
      <w:bookmarkEnd w:id="247"/>
    </w:p>
    <w:tbl>
      <w:tblPr>
        <w:tblW w:w="4982"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1043"/>
        <w:gridCol w:w="2328"/>
        <w:gridCol w:w="1012"/>
        <w:gridCol w:w="953"/>
        <w:gridCol w:w="1003"/>
        <w:gridCol w:w="730"/>
        <w:gridCol w:w="730"/>
        <w:gridCol w:w="730"/>
        <w:gridCol w:w="730"/>
        <w:gridCol w:w="730"/>
        <w:gridCol w:w="730"/>
        <w:gridCol w:w="730"/>
        <w:gridCol w:w="744"/>
        <w:gridCol w:w="950"/>
        <w:gridCol w:w="950"/>
      </w:tblGrid>
      <w:tr w:rsidR="004D4C2C" w:rsidRPr="005A6D53" w:rsidTr="0040283A">
        <w:trPr>
          <w:trHeight w:val="1040"/>
        </w:trPr>
        <w:tc>
          <w:tcPr>
            <w:tcW w:w="370"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Kód NČI</w:t>
            </w:r>
          </w:p>
        </w:tc>
        <w:tc>
          <w:tcPr>
            <w:tcW w:w="826" w:type="pct"/>
            <w:shd w:val="clear" w:color="000000" w:fill="C4D79B"/>
            <w:vAlign w:val="center"/>
            <w:hideMark/>
          </w:tcPr>
          <w:p w:rsidR="004D4C2C" w:rsidRPr="005A6D53" w:rsidRDefault="004D4C2C" w:rsidP="005A6D53">
            <w:pPr>
              <w:jc w:val="center"/>
              <w:rPr>
                <w:b/>
                <w:bCs/>
                <w:color w:val="000000"/>
              </w:rPr>
            </w:pPr>
            <w:r w:rsidRPr="005A6D53">
              <w:rPr>
                <w:b/>
                <w:bCs/>
                <w:color w:val="000000"/>
              </w:rPr>
              <w:t>Název indikátoru</w:t>
            </w:r>
          </w:p>
        </w:tc>
        <w:tc>
          <w:tcPr>
            <w:tcW w:w="359" w:type="pct"/>
            <w:shd w:val="clear" w:color="000000" w:fill="C4D79B"/>
            <w:vAlign w:val="center"/>
            <w:hideMark/>
          </w:tcPr>
          <w:p w:rsidR="004D4C2C" w:rsidRPr="005A6D53" w:rsidRDefault="004D4C2C" w:rsidP="005A6D53">
            <w:pPr>
              <w:jc w:val="center"/>
              <w:rPr>
                <w:b/>
                <w:bCs/>
                <w:color w:val="000000"/>
              </w:rPr>
            </w:pPr>
            <w:r w:rsidRPr="005A6D53">
              <w:rPr>
                <w:b/>
                <w:bCs/>
                <w:color w:val="000000"/>
              </w:rPr>
              <w:t>Měrná jednotka</w:t>
            </w:r>
          </w:p>
        </w:tc>
        <w:tc>
          <w:tcPr>
            <w:tcW w:w="338"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 xml:space="preserve">Zdroj </w:t>
            </w:r>
          </w:p>
        </w:tc>
        <w:tc>
          <w:tcPr>
            <w:tcW w:w="356"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 xml:space="preserve">Hodnota </w:t>
            </w:r>
          </w:p>
        </w:tc>
        <w:tc>
          <w:tcPr>
            <w:tcW w:w="259"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2007</w:t>
            </w:r>
          </w:p>
        </w:tc>
        <w:tc>
          <w:tcPr>
            <w:tcW w:w="259"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2008</w:t>
            </w:r>
          </w:p>
        </w:tc>
        <w:tc>
          <w:tcPr>
            <w:tcW w:w="259"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2009</w:t>
            </w:r>
          </w:p>
        </w:tc>
        <w:tc>
          <w:tcPr>
            <w:tcW w:w="259"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2010</w:t>
            </w:r>
          </w:p>
        </w:tc>
        <w:tc>
          <w:tcPr>
            <w:tcW w:w="259"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2011</w:t>
            </w:r>
          </w:p>
        </w:tc>
        <w:tc>
          <w:tcPr>
            <w:tcW w:w="259"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2012</w:t>
            </w:r>
          </w:p>
        </w:tc>
        <w:tc>
          <w:tcPr>
            <w:tcW w:w="259"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2013</w:t>
            </w:r>
          </w:p>
        </w:tc>
        <w:tc>
          <w:tcPr>
            <w:tcW w:w="264" w:type="pct"/>
            <w:shd w:val="clear" w:color="000000" w:fill="C4D79B"/>
            <w:noWrap/>
            <w:vAlign w:val="center"/>
            <w:hideMark/>
          </w:tcPr>
          <w:p w:rsidR="004D4C2C" w:rsidRPr="005A6D53" w:rsidRDefault="004D4C2C" w:rsidP="005A6D53">
            <w:pPr>
              <w:jc w:val="center"/>
              <w:rPr>
                <w:b/>
                <w:bCs/>
                <w:color w:val="000000"/>
              </w:rPr>
            </w:pPr>
            <w:r w:rsidRPr="005A6D53">
              <w:rPr>
                <w:b/>
                <w:bCs/>
                <w:color w:val="000000"/>
              </w:rPr>
              <w:t>2014</w:t>
            </w:r>
          </w:p>
        </w:tc>
        <w:tc>
          <w:tcPr>
            <w:tcW w:w="337" w:type="pct"/>
            <w:shd w:val="clear" w:color="000000" w:fill="C4D79B"/>
            <w:vAlign w:val="center"/>
            <w:hideMark/>
          </w:tcPr>
          <w:p w:rsidR="004D4C2C" w:rsidRPr="005A6D53" w:rsidRDefault="004D4C2C" w:rsidP="004D4C2C">
            <w:pPr>
              <w:jc w:val="center"/>
              <w:rPr>
                <w:b/>
                <w:bCs/>
                <w:color w:val="000000"/>
              </w:rPr>
            </w:pPr>
            <w:r w:rsidRPr="005A6D53">
              <w:rPr>
                <w:b/>
                <w:bCs/>
                <w:color w:val="000000"/>
              </w:rPr>
              <w:t xml:space="preserve">Cílová hodnota 2015 </w:t>
            </w:r>
          </w:p>
        </w:tc>
        <w:tc>
          <w:tcPr>
            <w:tcW w:w="337" w:type="pct"/>
            <w:shd w:val="clear" w:color="000000" w:fill="C4D79B"/>
            <w:vAlign w:val="center"/>
            <w:hideMark/>
          </w:tcPr>
          <w:p w:rsidR="004D4C2C" w:rsidRPr="005A6D53" w:rsidRDefault="004D4C2C" w:rsidP="005A6D53">
            <w:pPr>
              <w:jc w:val="center"/>
              <w:rPr>
                <w:b/>
                <w:bCs/>
                <w:color w:val="000000"/>
              </w:rPr>
            </w:pPr>
            <w:r>
              <w:rPr>
                <w:b/>
                <w:bCs/>
                <w:color w:val="000000"/>
              </w:rPr>
              <w:t>Celkem</w:t>
            </w:r>
          </w:p>
        </w:tc>
      </w:tr>
      <w:tr w:rsidR="004D4C2C" w:rsidRPr="005A6D53" w:rsidTr="004D4C2C">
        <w:trPr>
          <w:trHeight w:val="306"/>
        </w:trPr>
        <w:tc>
          <w:tcPr>
            <w:tcW w:w="370"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481900</w:t>
            </w:r>
          </w:p>
        </w:tc>
        <w:tc>
          <w:tcPr>
            <w:tcW w:w="826" w:type="pct"/>
            <w:vMerge w:val="restart"/>
            <w:shd w:val="clear" w:color="000000" w:fill="FFFFFF"/>
            <w:vAlign w:val="center"/>
            <w:hideMark/>
          </w:tcPr>
          <w:p w:rsidR="004D4C2C" w:rsidRPr="005A6D53" w:rsidRDefault="004D4C2C" w:rsidP="00936E42">
            <w:pPr>
              <w:rPr>
                <w:color w:val="000000"/>
                <w:sz w:val="18"/>
                <w:szCs w:val="18"/>
              </w:rPr>
            </w:pPr>
            <w:r w:rsidRPr="005A6D53">
              <w:rPr>
                <w:color w:val="000000"/>
                <w:sz w:val="18"/>
                <w:szCs w:val="18"/>
              </w:rPr>
              <w:t>Počet proškolených osob - celkem</w:t>
            </w:r>
          </w:p>
        </w:tc>
        <w:tc>
          <w:tcPr>
            <w:tcW w:w="359"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Počet</w:t>
            </w:r>
          </w:p>
        </w:tc>
        <w:tc>
          <w:tcPr>
            <w:tcW w:w="338" w:type="pct"/>
            <w:vMerge w:val="restart"/>
            <w:shd w:val="clear" w:color="auto" w:fill="auto"/>
            <w:vAlign w:val="center"/>
            <w:hideMark/>
          </w:tcPr>
          <w:p w:rsidR="004D4C2C" w:rsidRPr="005A6D53" w:rsidRDefault="004D4C2C" w:rsidP="00936E42">
            <w:pPr>
              <w:rPr>
                <w:color w:val="000000"/>
                <w:sz w:val="18"/>
                <w:szCs w:val="18"/>
              </w:rPr>
            </w:pPr>
            <w:r w:rsidRPr="005A6D53">
              <w:rPr>
                <w:color w:val="000000"/>
                <w:sz w:val="18"/>
                <w:szCs w:val="18"/>
              </w:rPr>
              <w:t>ŘO IOP</w:t>
            </w:r>
          </w:p>
        </w:tc>
        <w:tc>
          <w:tcPr>
            <w:tcW w:w="356" w:type="pct"/>
            <w:shd w:val="clear" w:color="000000" w:fill="FFFFFF"/>
            <w:noWrap/>
            <w:vAlign w:val="bottom"/>
            <w:hideMark/>
          </w:tcPr>
          <w:p w:rsidR="004D4C2C" w:rsidRPr="005A6D53" w:rsidRDefault="004D4C2C" w:rsidP="005A6D53">
            <w:pPr>
              <w:jc w:val="center"/>
              <w:rPr>
                <w:color w:val="000000"/>
                <w:sz w:val="18"/>
                <w:szCs w:val="18"/>
              </w:rPr>
            </w:pPr>
            <w:r w:rsidRPr="005A6D53">
              <w:rPr>
                <w:color w:val="000000"/>
                <w:sz w:val="18"/>
                <w:szCs w:val="18"/>
              </w:rPr>
              <w:t>Dosažená</w:t>
            </w:r>
          </w:p>
        </w:tc>
        <w:tc>
          <w:tcPr>
            <w:tcW w:w="259"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277</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1140</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1967</w:t>
            </w:r>
          </w:p>
        </w:tc>
        <w:tc>
          <w:tcPr>
            <w:tcW w:w="259" w:type="pct"/>
            <w:shd w:val="clear" w:color="000000" w:fill="FFFFFF"/>
            <w:vAlign w:val="bottom"/>
            <w:hideMark/>
          </w:tcPr>
          <w:p w:rsidR="004D4C2C" w:rsidRPr="005A6D53" w:rsidRDefault="004D4C2C" w:rsidP="00E61A91">
            <w:pPr>
              <w:jc w:val="right"/>
              <w:rPr>
                <w:color w:val="000000"/>
                <w:sz w:val="18"/>
                <w:szCs w:val="18"/>
              </w:rPr>
            </w:pPr>
            <w:r w:rsidRPr="005A6D53">
              <w:rPr>
                <w:color w:val="000000"/>
                <w:sz w:val="18"/>
                <w:szCs w:val="18"/>
              </w:rPr>
              <w:t>2</w:t>
            </w:r>
            <w:r>
              <w:rPr>
                <w:color w:val="000000"/>
                <w:sz w:val="18"/>
                <w:szCs w:val="18"/>
              </w:rPr>
              <w:t>821</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3686</w:t>
            </w:r>
          </w:p>
        </w:tc>
        <w:tc>
          <w:tcPr>
            <w:tcW w:w="264"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4718</w:t>
            </w:r>
          </w:p>
        </w:tc>
        <w:tc>
          <w:tcPr>
            <w:tcW w:w="337"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N/A</w:t>
            </w:r>
          </w:p>
        </w:tc>
        <w:tc>
          <w:tcPr>
            <w:tcW w:w="337" w:type="pct"/>
            <w:shd w:val="clear" w:color="000000" w:fill="FFFFFF"/>
            <w:noWrap/>
            <w:vAlign w:val="bottom"/>
            <w:hideMark/>
          </w:tcPr>
          <w:p w:rsidR="004D4C2C" w:rsidRPr="005A6D53" w:rsidRDefault="006A7357" w:rsidP="005A6D53">
            <w:pPr>
              <w:jc w:val="right"/>
              <w:rPr>
                <w:color w:val="000000"/>
                <w:sz w:val="18"/>
                <w:szCs w:val="18"/>
              </w:rPr>
            </w:pPr>
            <w:r>
              <w:rPr>
                <w:color w:val="000000"/>
                <w:sz w:val="18"/>
                <w:szCs w:val="18"/>
              </w:rPr>
              <w:t>4718</w:t>
            </w:r>
          </w:p>
        </w:tc>
      </w:tr>
      <w:tr w:rsidR="004D4C2C" w:rsidRPr="005A6D53" w:rsidTr="004D4C2C">
        <w:trPr>
          <w:trHeight w:val="306"/>
        </w:trPr>
        <w:tc>
          <w:tcPr>
            <w:tcW w:w="370" w:type="pct"/>
            <w:vMerge/>
            <w:vAlign w:val="center"/>
            <w:hideMark/>
          </w:tcPr>
          <w:p w:rsidR="004D4C2C" w:rsidRPr="005A6D53" w:rsidRDefault="004D4C2C" w:rsidP="00936E42">
            <w:pPr>
              <w:rPr>
                <w:color w:val="000000"/>
                <w:sz w:val="18"/>
                <w:szCs w:val="18"/>
              </w:rPr>
            </w:pPr>
          </w:p>
        </w:tc>
        <w:tc>
          <w:tcPr>
            <w:tcW w:w="826" w:type="pct"/>
            <w:vMerge/>
            <w:vAlign w:val="center"/>
            <w:hideMark/>
          </w:tcPr>
          <w:p w:rsidR="004D4C2C" w:rsidRPr="005A6D53" w:rsidRDefault="004D4C2C" w:rsidP="00936E42">
            <w:pPr>
              <w:rPr>
                <w:color w:val="000000"/>
                <w:sz w:val="18"/>
                <w:szCs w:val="18"/>
              </w:rPr>
            </w:pPr>
          </w:p>
        </w:tc>
        <w:tc>
          <w:tcPr>
            <w:tcW w:w="359" w:type="pct"/>
            <w:vMerge/>
            <w:vAlign w:val="center"/>
            <w:hideMark/>
          </w:tcPr>
          <w:p w:rsidR="004D4C2C" w:rsidRPr="005A6D53" w:rsidRDefault="004D4C2C" w:rsidP="00936E42">
            <w:pPr>
              <w:rPr>
                <w:color w:val="000000"/>
                <w:sz w:val="18"/>
                <w:szCs w:val="18"/>
              </w:rPr>
            </w:pPr>
          </w:p>
        </w:tc>
        <w:tc>
          <w:tcPr>
            <w:tcW w:w="338" w:type="pct"/>
            <w:vMerge/>
            <w:vAlign w:val="center"/>
            <w:hideMark/>
          </w:tcPr>
          <w:p w:rsidR="004D4C2C" w:rsidRPr="005A6D53" w:rsidRDefault="004D4C2C" w:rsidP="00936E42">
            <w:pPr>
              <w:rPr>
                <w:color w:val="000000"/>
                <w:sz w:val="18"/>
                <w:szCs w:val="18"/>
              </w:rPr>
            </w:pPr>
          </w:p>
        </w:tc>
        <w:tc>
          <w:tcPr>
            <w:tcW w:w="356" w:type="pct"/>
            <w:shd w:val="clear" w:color="000000" w:fill="D8E4BC"/>
            <w:noWrap/>
            <w:vAlign w:val="bottom"/>
            <w:hideMark/>
          </w:tcPr>
          <w:p w:rsidR="004D4C2C" w:rsidRPr="005A6D53" w:rsidRDefault="004D4C2C" w:rsidP="005A6D53">
            <w:pPr>
              <w:jc w:val="center"/>
              <w:rPr>
                <w:color w:val="000000"/>
                <w:sz w:val="18"/>
                <w:szCs w:val="18"/>
              </w:rPr>
            </w:pPr>
            <w:r w:rsidRPr="005A6D53">
              <w:rPr>
                <w:color w:val="000000"/>
                <w:sz w:val="18"/>
                <w:szCs w:val="18"/>
              </w:rPr>
              <w:t>Výchozí</w:t>
            </w:r>
          </w:p>
        </w:tc>
        <w:tc>
          <w:tcPr>
            <w:tcW w:w="259"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277</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1140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1967</w:t>
            </w:r>
          </w:p>
        </w:tc>
        <w:tc>
          <w:tcPr>
            <w:tcW w:w="259" w:type="pct"/>
            <w:shd w:val="clear" w:color="000000" w:fill="D8E4BC"/>
            <w:vAlign w:val="bottom"/>
            <w:hideMark/>
          </w:tcPr>
          <w:p w:rsidR="004D4C2C" w:rsidRPr="005A6D53" w:rsidRDefault="004D4C2C" w:rsidP="00E61A91">
            <w:pPr>
              <w:jc w:val="right"/>
              <w:rPr>
                <w:color w:val="000000"/>
                <w:sz w:val="18"/>
                <w:szCs w:val="18"/>
              </w:rPr>
            </w:pPr>
            <w:r w:rsidRPr="005A6D53">
              <w:rPr>
                <w:color w:val="000000"/>
                <w:sz w:val="18"/>
                <w:szCs w:val="18"/>
              </w:rPr>
              <w:t>2</w:t>
            </w:r>
            <w:r>
              <w:rPr>
                <w:color w:val="000000"/>
                <w:sz w:val="18"/>
                <w:szCs w:val="18"/>
              </w:rPr>
              <w:t>821</w:t>
            </w:r>
          </w:p>
        </w:tc>
        <w:tc>
          <w:tcPr>
            <w:tcW w:w="264"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3686</w:t>
            </w:r>
          </w:p>
        </w:tc>
        <w:tc>
          <w:tcPr>
            <w:tcW w:w="337"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N/A</w:t>
            </w:r>
          </w:p>
        </w:tc>
        <w:tc>
          <w:tcPr>
            <w:tcW w:w="337" w:type="pct"/>
            <w:shd w:val="clear" w:color="000000" w:fill="D8E4BC"/>
            <w:noWrap/>
            <w:vAlign w:val="bottom"/>
            <w:hideMark/>
          </w:tcPr>
          <w:p w:rsidR="004D4C2C" w:rsidRPr="005A6D53" w:rsidRDefault="00A26D0C" w:rsidP="005A6D53">
            <w:pPr>
              <w:jc w:val="right"/>
              <w:rPr>
                <w:color w:val="000000"/>
                <w:sz w:val="18"/>
                <w:szCs w:val="18"/>
              </w:rPr>
            </w:pPr>
            <w:r>
              <w:rPr>
                <w:color w:val="000000"/>
                <w:sz w:val="18"/>
                <w:szCs w:val="18"/>
              </w:rPr>
              <w:t>0</w:t>
            </w:r>
          </w:p>
        </w:tc>
      </w:tr>
      <w:tr w:rsidR="004D4C2C" w:rsidRPr="005A6D53" w:rsidTr="004D4C2C">
        <w:trPr>
          <w:trHeight w:val="306"/>
        </w:trPr>
        <w:tc>
          <w:tcPr>
            <w:tcW w:w="370" w:type="pct"/>
            <w:vMerge/>
            <w:vAlign w:val="center"/>
            <w:hideMark/>
          </w:tcPr>
          <w:p w:rsidR="004D4C2C" w:rsidRPr="005A6D53" w:rsidRDefault="004D4C2C" w:rsidP="00936E42">
            <w:pPr>
              <w:rPr>
                <w:color w:val="000000"/>
                <w:sz w:val="18"/>
                <w:szCs w:val="18"/>
              </w:rPr>
            </w:pPr>
          </w:p>
        </w:tc>
        <w:tc>
          <w:tcPr>
            <w:tcW w:w="826" w:type="pct"/>
            <w:vMerge/>
            <w:vAlign w:val="center"/>
            <w:hideMark/>
          </w:tcPr>
          <w:p w:rsidR="004D4C2C" w:rsidRPr="005A6D53" w:rsidRDefault="004D4C2C" w:rsidP="00936E42">
            <w:pPr>
              <w:rPr>
                <w:color w:val="000000"/>
                <w:sz w:val="18"/>
                <w:szCs w:val="18"/>
              </w:rPr>
            </w:pPr>
          </w:p>
        </w:tc>
        <w:tc>
          <w:tcPr>
            <w:tcW w:w="359" w:type="pct"/>
            <w:vMerge/>
            <w:vAlign w:val="center"/>
            <w:hideMark/>
          </w:tcPr>
          <w:p w:rsidR="004D4C2C" w:rsidRPr="005A6D53" w:rsidRDefault="004D4C2C" w:rsidP="00936E42">
            <w:pPr>
              <w:rPr>
                <w:color w:val="000000"/>
                <w:sz w:val="18"/>
                <w:szCs w:val="18"/>
              </w:rPr>
            </w:pPr>
          </w:p>
        </w:tc>
        <w:tc>
          <w:tcPr>
            <w:tcW w:w="338" w:type="pct"/>
            <w:vMerge/>
            <w:vAlign w:val="center"/>
            <w:hideMark/>
          </w:tcPr>
          <w:p w:rsidR="004D4C2C" w:rsidRPr="005A6D53" w:rsidRDefault="004D4C2C" w:rsidP="00936E42">
            <w:pPr>
              <w:rPr>
                <w:color w:val="000000"/>
                <w:sz w:val="18"/>
                <w:szCs w:val="18"/>
              </w:rPr>
            </w:pPr>
          </w:p>
        </w:tc>
        <w:tc>
          <w:tcPr>
            <w:tcW w:w="356" w:type="pct"/>
            <w:shd w:val="clear" w:color="auto" w:fill="auto"/>
            <w:noWrap/>
            <w:vAlign w:val="bottom"/>
            <w:hideMark/>
          </w:tcPr>
          <w:p w:rsidR="004D4C2C" w:rsidRPr="005A6D53" w:rsidRDefault="004D4C2C" w:rsidP="005A6D53">
            <w:pPr>
              <w:jc w:val="center"/>
              <w:rPr>
                <w:color w:val="000000"/>
                <w:sz w:val="18"/>
                <w:szCs w:val="18"/>
              </w:rPr>
            </w:pPr>
            <w:r w:rsidRPr="005A6D53">
              <w:rPr>
                <w:color w:val="000000"/>
                <w:sz w:val="18"/>
                <w:szCs w:val="18"/>
              </w:rPr>
              <w:t>Plánovaná</w:t>
            </w:r>
          </w:p>
        </w:tc>
        <w:tc>
          <w:tcPr>
            <w:tcW w:w="2077" w:type="pct"/>
            <w:gridSpan w:val="8"/>
            <w:shd w:val="clear" w:color="auto" w:fill="auto"/>
            <w:noWrap/>
            <w:vAlign w:val="bottom"/>
            <w:hideMark/>
          </w:tcPr>
          <w:p w:rsidR="004D4C2C" w:rsidRPr="005A6D53" w:rsidRDefault="004D4C2C" w:rsidP="005A6D53">
            <w:pPr>
              <w:jc w:val="center"/>
              <w:rPr>
                <w:color w:val="000000"/>
                <w:sz w:val="18"/>
                <w:szCs w:val="18"/>
              </w:rPr>
            </w:pPr>
            <w:r w:rsidRPr="005A6D53">
              <w:rPr>
                <w:color w:val="000000"/>
                <w:sz w:val="18"/>
                <w:szCs w:val="18"/>
              </w:rPr>
              <w:t>N/A</w:t>
            </w:r>
          </w:p>
        </w:tc>
        <w:tc>
          <w:tcPr>
            <w:tcW w:w="337" w:type="pct"/>
            <w:shd w:val="clear" w:color="auto" w:fill="auto"/>
            <w:noWrap/>
            <w:vAlign w:val="bottom"/>
            <w:hideMark/>
          </w:tcPr>
          <w:p w:rsidR="004D4C2C" w:rsidRPr="005A6D53" w:rsidRDefault="004D4C2C" w:rsidP="005A6D53">
            <w:pPr>
              <w:jc w:val="right"/>
              <w:rPr>
                <w:color w:val="000000"/>
                <w:sz w:val="18"/>
                <w:szCs w:val="18"/>
              </w:rPr>
            </w:pPr>
            <w:r w:rsidRPr="005A6D53">
              <w:rPr>
                <w:color w:val="000000"/>
                <w:sz w:val="18"/>
                <w:szCs w:val="18"/>
              </w:rPr>
              <w:t>1100</w:t>
            </w:r>
          </w:p>
        </w:tc>
        <w:tc>
          <w:tcPr>
            <w:tcW w:w="337" w:type="pct"/>
            <w:shd w:val="clear" w:color="auto" w:fill="auto"/>
            <w:noWrap/>
            <w:vAlign w:val="bottom"/>
            <w:hideMark/>
          </w:tcPr>
          <w:p w:rsidR="004D4C2C" w:rsidRPr="005A6D53" w:rsidRDefault="006A7357" w:rsidP="005A6D53">
            <w:pPr>
              <w:jc w:val="right"/>
              <w:rPr>
                <w:color w:val="000000"/>
                <w:sz w:val="18"/>
                <w:szCs w:val="18"/>
              </w:rPr>
            </w:pPr>
            <w:r>
              <w:rPr>
                <w:color w:val="000000"/>
                <w:sz w:val="18"/>
                <w:szCs w:val="18"/>
              </w:rPr>
              <w:t>1100</w:t>
            </w:r>
          </w:p>
        </w:tc>
      </w:tr>
      <w:tr w:rsidR="004D4C2C" w:rsidRPr="005A6D53" w:rsidTr="004D4C2C">
        <w:trPr>
          <w:trHeight w:val="306"/>
        </w:trPr>
        <w:tc>
          <w:tcPr>
            <w:tcW w:w="370"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480300</w:t>
            </w:r>
          </w:p>
        </w:tc>
        <w:tc>
          <w:tcPr>
            <w:tcW w:w="826" w:type="pct"/>
            <w:vMerge w:val="restart"/>
            <w:shd w:val="clear" w:color="000000" w:fill="FFFFFF"/>
            <w:vAlign w:val="center"/>
            <w:hideMark/>
          </w:tcPr>
          <w:p w:rsidR="004D4C2C" w:rsidRPr="005A6D53" w:rsidRDefault="004D4C2C" w:rsidP="00936E42">
            <w:pPr>
              <w:rPr>
                <w:color w:val="000000"/>
                <w:sz w:val="18"/>
                <w:szCs w:val="18"/>
              </w:rPr>
            </w:pPr>
            <w:r w:rsidRPr="005A6D53">
              <w:rPr>
                <w:color w:val="000000"/>
                <w:sz w:val="18"/>
                <w:szCs w:val="18"/>
              </w:rPr>
              <w:t>Počet zasedání výborů (monitorovacích, poradních a řídících)</w:t>
            </w:r>
          </w:p>
        </w:tc>
        <w:tc>
          <w:tcPr>
            <w:tcW w:w="359"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Počet</w:t>
            </w:r>
          </w:p>
        </w:tc>
        <w:tc>
          <w:tcPr>
            <w:tcW w:w="338"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ŘO IOP</w:t>
            </w:r>
          </w:p>
        </w:tc>
        <w:tc>
          <w:tcPr>
            <w:tcW w:w="356" w:type="pct"/>
            <w:shd w:val="clear" w:color="000000" w:fill="FFFFFF"/>
            <w:noWrap/>
            <w:vAlign w:val="bottom"/>
            <w:hideMark/>
          </w:tcPr>
          <w:p w:rsidR="004D4C2C" w:rsidRPr="005A6D53" w:rsidRDefault="004D4C2C" w:rsidP="005A6D53">
            <w:pPr>
              <w:jc w:val="center"/>
              <w:rPr>
                <w:color w:val="000000"/>
                <w:sz w:val="18"/>
                <w:szCs w:val="18"/>
              </w:rPr>
            </w:pPr>
            <w:r w:rsidRPr="005A6D53">
              <w:rPr>
                <w:color w:val="000000"/>
                <w:sz w:val="18"/>
                <w:szCs w:val="18"/>
              </w:rPr>
              <w:t>Dosažená</w:t>
            </w:r>
          </w:p>
        </w:tc>
        <w:tc>
          <w:tcPr>
            <w:tcW w:w="259"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3</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8</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10</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11</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13</w:t>
            </w:r>
          </w:p>
        </w:tc>
        <w:tc>
          <w:tcPr>
            <w:tcW w:w="264"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16</w:t>
            </w:r>
          </w:p>
        </w:tc>
        <w:tc>
          <w:tcPr>
            <w:tcW w:w="337"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N/A</w:t>
            </w:r>
          </w:p>
        </w:tc>
        <w:tc>
          <w:tcPr>
            <w:tcW w:w="337" w:type="pct"/>
            <w:shd w:val="clear" w:color="000000" w:fill="FFFFFF"/>
            <w:noWrap/>
            <w:vAlign w:val="bottom"/>
            <w:hideMark/>
          </w:tcPr>
          <w:p w:rsidR="004D4C2C" w:rsidRPr="005A6D53" w:rsidRDefault="006A7357" w:rsidP="005A6D53">
            <w:pPr>
              <w:jc w:val="right"/>
              <w:rPr>
                <w:color w:val="000000"/>
                <w:sz w:val="18"/>
                <w:szCs w:val="18"/>
              </w:rPr>
            </w:pPr>
            <w:r>
              <w:rPr>
                <w:color w:val="000000"/>
                <w:sz w:val="18"/>
                <w:szCs w:val="18"/>
              </w:rPr>
              <w:t>16</w:t>
            </w:r>
          </w:p>
        </w:tc>
      </w:tr>
      <w:tr w:rsidR="004D4C2C" w:rsidRPr="005A6D53" w:rsidTr="004D4C2C">
        <w:trPr>
          <w:trHeight w:val="306"/>
        </w:trPr>
        <w:tc>
          <w:tcPr>
            <w:tcW w:w="370" w:type="pct"/>
            <w:vMerge/>
            <w:vAlign w:val="center"/>
            <w:hideMark/>
          </w:tcPr>
          <w:p w:rsidR="004D4C2C" w:rsidRPr="005A6D53" w:rsidRDefault="004D4C2C" w:rsidP="00936E42">
            <w:pPr>
              <w:rPr>
                <w:color w:val="000000"/>
                <w:sz w:val="18"/>
                <w:szCs w:val="18"/>
              </w:rPr>
            </w:pPr>
          </w:p>
        </w:tc>
        <w:tc>
          <w:tcPr>
            <w:tcW w:w="826" w:type="pct"/>
            <w:vMerge/>
            <w:vAlign w:val="center"/>
            <w:hideMark/>
          </w:tcPr>
          <w:p w:rsidR="004D4C2C" w:rsidRPr="005A6D53" w:rsidRDefault="004D4C2C" w:rsidP="00936E42">
            <w:pPr>
              <w:rPr>
                <w:color w:val="000000"/>
                <w:sz w:val="18"/>
                <w:szCs w:val="18"/>
              </w:rPr>
            </w:pPr>
          </w:p>
        </w:tc>
        <w:tc>
          <w:tcPr>
            <w:tcW w:w="359" w:type="pct"/>
            <w:vMerge/>
            <w:vAlign w:val="center"/>
            <w:hideMark/>
          </w:tcPr>
          <w:p w:rsidR="004D4C2C" w:rsidRPr="005A6D53" w:rsidRDefault="004D4C2C" w:rsidP="00936E42">
            <w:pPr>
              <w:rPr>
                <w:color w:val="000000"/>
                <w:sz w:val="18"/>
                <w:szCs w:val="18"/>
              </w:rPr>
            </w:pPr>
          </w:p>
        </w:tc>
        <w:tc>
          <w:tcPr>
            <w:tcW w:w="338" w:type="pct"/>
            <w:vMerge/>
            <w:vAlign w:val="center"/>
            <w:hideMark/>
          </w:tcPr>
          <w:p w:rsidR="004D4C2C" w:rsidRPr="005A6D53" w:rsidRDefault="004D4C2C" w:rsidP="00936E42">
            <w:pPr>
              <w:rPr>
                <w:color w:val="000000"/>
                <w:sz w:val="18"/>
                <w:szCs w:val="18"/>
              </w:rPr>
            </w:pPr>
          </w:p>
        </w:tc>
        <w:tc>
          <w:tcPr>
            <w:tcW w:w="356" w:type="pct"/>
            <w:shd w:val="clear" w:color="000000" w:fill="D8E4BC"/>
            <w:noWrap/>
            <w:vAlign w:val="bottom"/>
            <w:hideMark/>
          </w:tcPr>
          <w:p w:rsidR="004D4C2C" w:rsidRPr="005A6D53" w:rsidRDefault="004D4C2C" w:rsidP="005A6D53">
            <w:pPr>
              <w:jc w:val="center"/>
              <w:rPr>
                <w:color w:val="000000"/>
                <w:sz w:val="18"/>
                <w:szCs w:val="18"/>
              </w:rPr>
            </w:pPr>
            <w:r w:rsidRPr="005A6D53">
              <w:rPr>
                <w:color w:val="000000"/>
                <w:sz w:val="18"/>
                <w:szCs w:val="18"/>
              </w:rPr>
              <w:t>Výchozí</w:t>
            </w:r>
          </w:p>
        </w:tc>
        <w:tc>
          <w:tcPr>
            <w:tcW w:w="259"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3</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8</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10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11</w:t>
            </w:r>
          </w:p>
        </w:tc>
        <w:tc>
          <w:tcPr>
            <w:tcW w:w="264"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13</w:t>
            </w:r>
          </w:p>
        </w:tc>
        <w:tc>
          <w:tcPr>
            <w:tcW w:w="337"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N/A</w:t>
            </w:r>
          </w:p>
        </w:tc>
        <w:tc>
          <w:tcPr>
            <w:tcW w:w="337" w:type="pct"/>
            <w:shd w:val="clear" w:color="000000" w:fill="D8E4BC"/>
            <w:noWrap/>
            <w:vAlign w:val="bottom"/>
            <w:hideMark/>
          </w:tcPr>
          <w:p w:rsidR="004D4C2C" w:rsidRPr="005A6D53" w:rsidRDefault="00A26D0C" w:rsidP="005A6D53">
            <w:pPr>
              <w:jc w:val="right"/>
              <w:rPr>
                <w:color w:val="000000"/>
                <w:sz w:val="18"/>
                <w:szCs w:val="18"/>
              </w:rPr>
            </w:pPr>
            <w:r>
              <w:rPr>
                <w:color w:val="000000"/>
                <w:sz w:val="18"/>
                <w:szCs w:val="18"/>
              </w:rPr>
              <w:t>0</w:t>
            </w:r>
          </w:p>
        </w:tc>
      </w:tr>
      <w:tr w:rsidR="004D4C2C" w:rsidRPr="005A6D53" w:rsidTr="004D4C2C">
        <w:trPr>
          <w:trHeight w:val="306"/>
        </w:trPr>
        <w:tc>
          <w:tcPr>
            <w:tcW w:w="370" w:type="pct"/>
            <w:vMerge/>
            <w:vAlign w:val="center"/>
            <w:hideMark/>
          </w:tcPr>
          <w:p w:rsidR="004D4C2C" w:rsidRPr="005A6D53" w:rsidRDefault="004D4C2C" w:rsidP="00936E42">
            <w:pPr>
              <w:rPr>
                <w:color w:val="000000"/>
                <w:sz w:val="18"/>
                <w:szCs w:val="18"/>
              </w:rPr>
            </w:pPr>
          </w:p>
        </w:tc>
        <w:tc>
          <w:tcPr>
            <w:tcW w:w="826" w:type="pct"/>
            <w:vMerge/>
            <w:vAlign w:val="center"/>
            <w:hideMark/>
          </w:tcPr>
          <w:p w:rsidR="004D4C2C" w:rsidRPr="005A6D53" w:rsidRDefault="004D4C2C" w:rsidP="00936E42">
            <w:pPr>
              <w:rPr>
                <w:color w:val="000000"/>
                <w:sz w:val="18"/>
                <w:szCs w:val="18"/>
              </w:rPr>
            </w:pPr>
          </w:p>
        </w:tc>
        <w:tc>
          <w:tcPr>
            <w:tcW w:w="359" w:type="pct"/>
            <w:vMerge/>
            <w:vAlign w:val="center"/>
            <w:hideMark/>
          </w:tcPr>
          <w:p w:rsidR="004D4C2C" w:rsidRPr="005A6D53" w:rsidRDefault="004D4C2C" w:rsidP="00936E42">
            <w:pPr>
              <w:rPr>
                <w:color w:val="000000"/>
                <w:sz w:val="18"/>
                <w:szCs w:val="18"/>
              </w:rPr>
            </w:pPr>
          </w:p>
        </w:tc>
        <w:tc>
          <w:tcPr>
            <w:tcW w:w="338" w:type="pct"/>
            <w:vMerge/>
            <w:vAlign w:val="center"/>
            <w:hideMark/>
          </w:tcPr>
          <w:p w:rsidR="004D4C2C" w:rsidRPr="005A6D53" w:rsidRDefault="004D4C2C" w:rsidP="00936E42">
            <w:pPr>
              <w:rPr>
                <w:color w:val="000000"/>
                <w:sz w:val="18"/>
                <w:szCs w:val="18"/>
              </w:rPr>
            </w:pPr>
          </w:p>
        </w:tc>
        <w:tc>
          <w:tcPr>
            <w:tcW w:w="356" w:type="pct"/>
            <w:shd w:val="clear" w:color="auto" w:fill="auto"/>
            <w:noWrap/>
            <w:vAlign w:val="bottom"/>
            <w:hideMark/>
          </w:tcPr>
          <w:p w:rsidR="004D4C2C" w:rsidRPr="005A6D53" w:rsidRDefault="004D4C2C" w:rsidP="005A6D53">
            <w:pPr>
              <w:jc w:val="center"/>
              <w:rPr>
                <w:color w:val="000000"/>
                <w:sz w:val="18"/>
                <w:szCs w:val="18"/>
              </w:rPr>
            </w:pPr>
            <w:r w:rsidRPr="005A6D53">
              <w:rPr>
                <w:color w:val="000000"/>
                <w:sz w:val="18"/>
                <w:szCs w:val="18"/>
              </w:rPr>
              <w:t>Plánovaná</w:t>
            </w:r>
          </w:p>
        </w:tc>
        <w:tc>
          <w:tcPr>
            <w:tcW w:w="2077" w:type="pct"/>
            <w:gridSpan w:val="8"/>
            <w:shd w:val="clear" w:color="auto" w:fill="auto"/>
            <w:noWrap/>
            <w:vAlign w:val="bottom"/>
            <w:hideMark/>
          </w:tcPr>
          <w:p w:rsidR="004D4C2C" w:rsidRPr="005A6D53" w:rsidRDefault="004D4C2C" w:rsidP="005A6D53">
            <w:pPr>
              <w:jc w:val="center"/>
              <w:rPr>
                <w:color w:val="000000"/>
                <w:sz w:val="18"/>
                <w:szCs w:val="18"/>
              </w:rPr>
            </w:pPr>
            <w:r w:rsidRPr="005A6D53">
              <w:rPr>
                <w:color w:val="000000"/>
                <w:sz w:val="18"/>
                <w:szCs w:val="18"/>
              </w:rPr>
              <w:t>N/A</w:t>
            </w:r>
          </w:p>
        </w:tc>
        <w:tc>
          <w:tcPr>
            <w:tcW w:w="337" w:type="pct"/>
            <w:shd w:val="clear" w:color="auto" w:fill="auto"/>
            <w:noWrap/>
            <w:vAlign w:val="bottom"/>
            <w:hideMark/>
          </w:tcPr>
          <w:p w:rsidR="004D4C2C" w:rsidRPr="005A6D53" w:rsidRDefault="004D4C2C" w:rsidP="005A6D53">
            <w:pPr>
              <w:jc w:val="right"/>
              <w:rPr>
                <w:color w:val="000000"/>
                <w:sz w:val="18"/>
                <w:szCs w:val="18"/>
              </w:rPr>
            </w:pPr>
            <w:r w:rsidRPr="005A6D53">
              <w:rPr>
                <w:color w:val="000000"/>
                <w:sz w:val="18"/>
                <w:szCs w:val="18"/>
              </w:rPr>
              <w:t>14</w:t>
            </w:r>
          </w:p>
        </w:tc>
        <w:tc>
          <w:tcPr>
            <w:tcW w:w="337" w:type="pct"/>
            <w:shd w:val="clear" w:color="auto" w:fill="auto"/>
            <w:noWrap/>
            <w:vAlign w:val="bottom"/>
            <w:hideMark/>
          </w:tcPr>
          <w:p w:rsidR="004D4C2C" w:rsidRPr="005A6D53" w:rsidRDefault="006A7357" w:rsidP="005A6D53">
            <w:pPr>
              <w:jc w:val="right"/>
              <w:rPr>
                <w:color w:val="000000"/>
                <w:sz w:val="18"/>
                <w:szCs w:val="18"/>
              </w:rPr>
            </w:pPr>
            <w:r>
              <w:rPr>
                <w:color w:val="000000"/>
                <w:sz w:val="18"/>
                <w:szCs w:val="18"/>
              </w:rPr>
              <w:t>14</w:t>
            </w:r>
          </w:p>
        </w:tc>
      </w:tr>
      <w:tr w:rsidR="004D4C2C" w:rsidRPr="005A6D53" w:rsidTr="004D4C2C">
        <w:trPr>
          <w:trHeight w:val="306"/>
        </w:trPr>
        <w:tc>
          <w:tcPr>
            <w:tcW w:w="370"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482500</w:t>
            </w:r>
          </w:p>
        </w:tc>
        <w:tc>
          <w:tcPr>
            <w:tcW w:w="826" w:type="pct"/>
            <w:vMerge w:val="restart"/>
            <w:shd w:val="clear" w:color="000000" w:fill="FFFFFF"/>
            <w:vAlign w:val="center"/>
            <w:hideMark/>
          </w:tcPr>
          <w:p w:rsidR="004D4C2C" w:rsidRPr="005A6D53" w:rsidRDefault="004D4C2C" w:rsidP="00936E42">
            <w:pPr>
              <w:rPr>
                <w:color w:val="000000"/>
                <w:sz w:val="18"/>
                <w:szCs w:val="18"/>
              </w:rPr>
            </w:pPr>
            <w:r w:rsidRPr="005A6D53">
              <w:rPr>
                <w:color w:val="000000"/>
                <w:sz w:val="18"/>
                <w:szCs w:val="18"/>
              </w:rPr>
              <w:t>Počet uskutečněných kontrol</w:t>
            </w:r>
          </w:p>
        </w:tc>
        <w:tc>
          <w:tcPr>
            <w:tcW w:w="359"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Počet</w:t>
            </w:r>
          </w:p>
        </w:tc>
        <w:tc>
          <w:tcPr>
            <w:tcW w:w="338" w:type="pct"/>
            <w:vMerge w:val="restart"/>
            <w:shd w:val="clear" w:color="auto" w:fill="auto"/>
            <w:noWrap/>
            <w:vAlign w:val="center"/>
            <w:hideMark/>
          </w:tcPr>
          <w:p w:rsidR="004D4C2C" w:rsidRPr="005A6D53" w:rsidRDefault="004D4C2C" w:rsidP="00936E42">
            <w:pPr>
              <w:rPr>
                <w:color w:val="000000"/>
                <w:sz w:val="18"/>
                <w:szCs w:val="18"/>
              </w:rPr>
            </w:pPr>
            <w:r w:rsidRPr="005A6D53">
              <w:rPr>
                <w:color w:val="000000"/>
                <w:sz w:val="18"/>
                <w:szCs w:val="18"/>
              </w:rPr>
              <w:t>ŘO IOP</w:t>
            </w:r>
          </w:p>
        </w:tc>
        <w:tc>
          <w:tcPr>
            <w:tcW w:w="356" w:type="pct"/>
            <w:shd w:val="clear" w:color="000000" w:fill="FFFFFF"/>
            <w:noWrap/>
            <w:vAlign w:val="bottom"/>
            <w:hideMark/>
          </w:tcPr>
          <w:p w:rsidR="004D4C2C" w:rsidRPr="005A6D53" w:rsidRDefault="004D4C2C" w:rsidP="005A6D53">
            <w:pPr>
              <w:jc w:val="center"/>
              <w:rPr>
                <w:color w:val="000000"/>
                <w:sz w:val="18"/>
                <w:szCs w:val="18"/>
              </w:rPr>
            </w:pPr>
            <w:r w:rsidRPr="005A6D53">
              <w:rPr>
                <w:color w:val="000000"/>
                <w:sz w:val="18"/>
                <w:szCs w:val="18"/>
              </w:rPr>
              <w:t>Dosažená</w:t>
            </w:r>
          </w:p>
        </w:tc>
        <w:tc>
          <w:tcPr>
            <w:tcW w:w="259"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10</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5304</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5306</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7420</w:t>
            </w:r>
          </w:p>
        </w:tc>
        <w:tc>
          <w:tcPr>
            <w:tcW w:w="259"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7461</w:t>
            </w:r>
          </w:p>
        </w:tc>
        <w:tc>
          <w:tcPr>
            <w:tcW w:w="264" w:type="pct"/>
            <w:shd w:val="clear" w:color="000000" w:fill="FFFFFF"/>
            <w:vAlign w:val="bottom"/>
            <w:hideMark/>
          </w:tcPr>
          <w:p w:rsidR="004D4C2C" w:rsidRPr="005A6D53" w:rsidRDefault="004D4C2C" w:rsidP="005A6D53">
            <w:pPr>
              <w:jc w:val="right"/>
              <w:rPr>
                <w:color w:val="000000"/>
                <w:sz w:val="18"/>
                <w:szCs w:val="18"/>
              </w:rPr>
            </w:pPr>
            <w:r w:rsidRPr="005A6D53">
              <w:rPr>
                <w:color w:val="000000"/>
                <w:sz w:val="18"/>
                <w:szCs w:val="18"/>
              </w:rPr>
              <w:t>7461</w:t>
            </w:r>
          </w:p>
        </w:tc>
        <w:tc>
          <w:tcPr>
            <w:tcW w:w="337" w:type="pct"/>
            <w:shd w:val="clear" w:color="000000" w:fill="FFFFFF"/>
            <w:noWrap/>
            <w:vAlign w:val="bottom"/>
            <w:hideMark/>
          </w:tcPr>
          <w:p w:rsidR="004D4C2C" w:rsidRPr="005A6D53" w:rsidRDefault="004D4C2C" w:rsidP="005A6D53">
            <w:pPr>
              <w:jc w:val="right"/>
              <w:rPr>
                <w:color w:val="000000"/>
                <w:sz w:val="18"/>
                <w:szCs w:val="18"/>
              </w:rPr>
            </w:pPr>
            <w:r w:rsidRPr="005A6D53">
              <w:rPr>
                <w:color w:val="000000"/>
                <w:sz w:val="18"/>
                <w:szCs w:val="18"/>
              </w:rPr>
              <w:t>N/A</w:t>
            </w:r>
          </w:p>
        </w:tc>
        <w:tc>
          <w:tcPr>
            <w:tcW w:w="337" w:type="pct"/>
            <w:shd w:val="clear" w:color="000000" w:fill="FFFFFF"/>
            <w:noWrap/>
            <w:vAlign w:val="bottom"/>
            <w:hideMark/>
          </w:tcPr>
          <w:p w:rsidR="004D4C2C" w:rsidRPr="005A6D53" w:rsidRDefault="006A7357" w:rsidP="005A6D53">
            <w:pPr>
              <w:jc w:val="right"/>
              <w:rPr>
                <w:color w:val="000000"/>
                <w:sz w:val="18"/>
                <w:szCs w:val="18"/>
              </w:rPr>
            </w:pPr>
            <w:r>
              <w:rPr>
                <w:color w:val="000000"/>
                <w:sz w:val="18"/>
                <w:szCs w:val="18"/>
              </w:rPr>
              <w:t>7461</w:t>
            </w:r>
          </w:p>
        </w:tc>
      </w:tr>
      <w:tr w:rsidR="004D4C2C" w:rsidRPr="005A6D53" w:rsidTr="004D4C2C">
        <w:trPr>
          <w:trHeight w:val="306"/>
        </w:trPr>
        <w:tc>
          <w:tcPr>
            <w:tcW w:w="370" w:type="pct"/>
            <w:vMerge/>
            <w:vAlign w:val="center"/>
            <w:hideMark/>
          </w:tcPr>
          <w:p w:rsidR="004D4C2C" w:rsidRPr="005A6D53" w:rsidRDefault="004D4C2C" w:rsidP="005A6D53">
            <w:pPr>
              <w:rPr>
                <w:color w:val="000000"/>
                <w:sz w:val="18"/>
                <w:szCs w:val="18"/>
              </w:rPr>
            </w:pPr>
          </w:p>
        </w:tc>
        <w:tc>
          <w:tcPr>
            <w:tcW w:w="826" w:type="pct"/>
            <w:vMerge/>
            <w:vAlign w:val="center"/>
            <w:hideMark/>
          </w:tcPr>
          <w:p w:rsidR="004D4C2C" w:rsidRPr="005A6D53" w:rsidRDefault="004D4C2C" w:rsidP="005A6D53">
            <w:pPr>
              <w:rPr>
                <w:color w:val="000000"/>
                <w:sz w:val="18"/>
                <w:szCs w:val="18"/>
              </w:rPr>
            </w:pPr>
          </w:p>
        </w:tc>
        <w:tc>
          <w:tcPr>
            <w:tcW w:w="359" w:type="pct"/>
            <w:vMerge/>
            <w:vAlign w:val="center"/>
            <w:hideMark/>
          </w:tcPr>
          <w:p w:rsidR="004D4C2C" w:rsidRPr="005A6D53" w:rsidRDefault="004D4C2C" w:rsidP="005A6D53">
            <w:pPr>
              <w:rPr>
                <w:color w:val="000000"/>
                <w:sz w:val="18"/>
                <w:szCs w:val="18"/>
              </w:rPr>
            </w:pPr>
          </w:p>
        </w:tc>
        <w:tc>
          <w:tcPr>
            <w:tcW w:w="338" w:type="pct"/>
            <w:vMerge/>
            <w:vAlign w:val="center"/>
            <w:hideMark/>
          </w:tcPr>
          <w:p w:rsidR="004D4C2C" w:rsidRPr="005A6D53" w:rsidRDefault="004D4C2C" w:rsidP="005A6D53">
            <w:pPr>
              <w:rPr>
                <w:color w:val="000000"/>
                <w:sz w:val="18"/>
                <w:szCs w:val="18"/>
              </w:rPr>
            </w:pPr>
          </w:p>
        </w:tc>
        <w:tc>
          <w:tcPr>
            <w:tcW w:w="356" w:type="pct"/>
            <w:shd w:val="clear" w:color="000000" w:fill="D8E4BC"/>
            <w:noWrap/>
            <w:vAlign w:val="bottom"/>
            <w:hideMark/>
          </w:tcPr>
          <w:p w:rsidR="004D4C2C" w:rsidRPr="005A6D53" w:rsidRDefault="004D4C2C" w:rsidP="005A6D53">
            <w:pPr>
              <w:jc w:val="center"/>
              <w:rPr>
                <w:color w:val="000000"/>
                <w:sz w:val="18"/>
                <w:szCs w:val="18"/>
              </w:rPr>
            </w:pPr>
            <w:r w:rsidRPr="005A6D53">
              <w:rPr>
                <w:color w:val="000000"/>
                <w:sz w:val="18"/>
                <w:szCs w:val="18"/>
              </w:rPr>
              <w:t>Výchozí</w:t>
            </w:r>
          </w:p>
        </w:tc>
        <w:tc>
          <w:tcPr>
            <w:tcW w:w="259"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10</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5304</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5306</w:t>
            </w:r>
          </w:p>
        </w:tc>
        <w:tc>
          <w:tcPr>
            <w:tcW w:w="259"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7420</w:t>
            </w:r>
          </w:p>
        </w:tc>
        <w:tc>
          <w:tcPr>
            <w:tcW w:w="264" w:type="pct"/>
            <w:shd w:val="clear" w:color="000000" w:fill="D8E4BC"/>
            <w:vAlign w:val="bottom"/>
            <w:hideMark/>
          </w:tcPr>
          <w:p w:rsidR="004D4C2C" w:rsidRPr="005A6D53" w:rsidRDefault="004D4C2C" w:rsidP="005A6D53">
            <w:pPr>
              <w:jc w:val="right"/>
              <w:rPr>
                <w:color w:val="000000"/>
                <w:sz w:val="18"/>
                <w:szCs w:val="18"/>
              </w:rPr>
            </w:pPr>
            <w:r w:rsidRPr="005A6D53">
              <w:rPr>
                <w:color w:val="000000"/>
                <w:sz w:val="18"/>
                <w:szCs w:val="18"/>
              </w:rPr>
              <w:t>7461</w:t>
            </w:r>
          </w:p>
        </w:tc>
        <w:tc>
          <w:tcPr>
            <w:tcW w:w="337" w:type="pct"/>
            <w:shd w:val="clear" w:color="000000" w:fill="D8E4BC"/>
            <w:noWrap/>
            <w:vAlign w:val="bottom"/>
            <w:hideMark/>
          </w:tcPr>
          <w:p w:rsidR="004D4C2C" w:rsidRPr="005A6D53" w:rsidRDefault="004D4C2C" w:rsidP="005A6D53">
            <w:pPr>
              <w:jc w:val="right"/>
              <w:rPr>
                <w:color w:val="000000"/>
                <w:sz w:val="18"/>
                <w:szCs w:val="18"/>
              </w:rPr>
            </w:pPr>
            <w:r w:rsidRPr="005A6D53">
              <w:rPr>
                <w:color w:val="000000"/>
                <w:sz w:val="18"/>
                <w:szCs w:val="18"/>
              </w:rPr>
              <w:t>N/A</w:t>
            </w:r>
          </w:p>
        </w:tc>
        <w:tc>
          <w:tcPr>
            <w:tcW w:w="337" w:type="pct"/>
            <w:shd w:val="clear" w:color="000000" w:fill="D8E4BC"/>
            <w:noWrap/>
            <w:vAlign w:val="bottom"/>
            <w:hideMark/>
          </w:tcPr>
          <w:p w:rsidR="004D4C2C" w:rsidRPr="005A6D53" w:rsidRDefault="00A26D0C" w:rsidP="005A6D53">
            <w:pPr>
              <w:jc w:val="right"/>
              <w:rPr>
                <w:color w:val="000000"/>
                <w:sz w:val="18"/>
                <w:szCs w:val="18"/>
              </w:rPr>
            </w:pPr>
            <w:r>
              <w:rPr>
                <w:color w:val="000000"/>
                <w:sz w:val="18"/>
                <w:szCs w:val="18"/>
              </w:rPr>
              <w:t>0</w:t>
            </w:r>
          </w:p>
        </w:tc>
      </w:tr>
      <w:tr w:rsidR="004D4C2C" w:rsidRPr="005A6D53" w:rsidTr="004D4C2C">
        <w:trPr>
          <w:trHeight w:val="306"/>
        </w:trPr>
        <w:tc>
          <w:tcPr>
            <w:tcW w:w="370" w:type="pct"/>
            <w:vMerge/>
            <w:vAlign w:val="center"/>
            <w:hideMark/>
          </w:tcPr>
          <w:p w:rsidR="004D4C2C" w:rsidRPr="005A6D53" w:rsidRDefault="004D4C2C" w:rsidP="005A6D53">
            <w:pPr>
              <w:rPr>
                <w:color w:val="000000"/>
                <w:sz w:val="18"/>
                <w:szCs w:val="18"/>
              </w:rPr>
            </w:pPr>
          </w:p>
        </w:tc>
        <w:tc>
          <w:tcPr>
            <w:tcW w:w="826" w:type="pct"/>
            <w:vMerge/>
            <w:vAlign w:val="center"/>
            <w:hideMark/>
          </w:tcPr>
          <w:p w:rsidR="004D4C2C" w:rsidRPr="005A6D53" w:rsidRDefault="004D4C2C" w:rsidP="005A6D53">
            <w:pPr>
              <w:rPr>
                <w:color w:val="000000"/>
                <w:sz w:val="18"/>
                <w:szCs w:val="18"/>
              </w:rPr>
            </w:pPr>
          </w:p>
        </w:tc>
        <w:tc>
          <w:tcPr>
            <w:tcW w:w="359" w:type="pct"/>
            <w:vMerge/>
            <w:vAlign w:val="center"/>
            <w:hideMark/>
          </w:tcPr>
          <w:p w:rsidR="004D4C2C" w:rsidRPr="005A6D53" w:rsidRDefault="004D4C2C" w:rsidP="005A6D53">
            <w:pPr>
              <w:rPr>
                <w:color w:val="000000"/>
                <w:sz w:val="18"/>
                <w:szCs w:val="18"/>
              </w:rPr>
            </w:pPr>
          </w:p>
        </w:tc>
        <w:tc>
          <w:tcPr>
            <w:tcW w:w="338" w:type="pct"/>
            <w:vMerge/>
            <w:vAlign w:val="center"/>
            <w:hideMark/>
          </w:tcPr>
          <w:p w:rsidR="004D4C2C" w:rsidRPr="005A6D53" w:rsidRDefault="004D4C2C" w:rsidP="005A6D53">
            <w:pPr>
              <w:rPr>
                <w:color w:val="000000"/>
                <w:sz w:val="18"/>
                <w:szCs w:val="18"/>
              </w:rPr>
            </w:pPr>
          </w:p>
        </w:tc>
        <w:tc>
          <w:tcPr>
            <w:tcW w:w="356" w:type="pct"/>
            <w:shd w:val="clear" w:color="auto" w:fill="auto"/>
            <w:noWrap/>
            <w:vAlign w:val="bottom"/>
            <w:hideMark/>
          </w:tcPr>
          <w:p w:rsidR="004D4C2C" w:rsidRPr="005A6D53" w:rsidRDefault="004D4C2C" w:rsidP="005A6D53">
            <w:pPr>
              <w:jc w:val="center"/>
              <w:rPr>
                <w:color w:val="000000"/>
                <w:sz w:val="18"/>
                <w:szCs w:val="18"/>
              </w:rPr>
            </w:pPr>
            <w:r w:rsidRPr="005A6D53">
              <w:rPr>
                <w:color w:val="000000"/>
                <w:sz w:val="18"/>
                <w:szCs w:val="18"/>
              </w:rPr>
              <w:t>Plánovaná</w:t>
            </w:r>
          </w:p>
        </w:tc>
        <w:tc>
          <w:tcPr>
            <w:tcW w:w="2077" w:type="pct"/>
            <w:gridSpan w:val="8"/>
            <w:shd w:val="clear" w:color="auto" w:fill="auto"/>
            <w:noWrap/>
            <w:vAlign w:val="bottom"/>
            <w:hideMark/>
          </w:tcPr>
          <w:p w:rsidR="004D4C2C" w:rsidRPr="005A6D53" w:rsidRDefault="004D4C2C" w:rsidP="005A6D53">
            <w:pPr>
              <w:jc w:val="center"/>
              <w:rPr>
                <w:color w:val="000000"/>
                <w:sz w:val="18"/>
                <w:szCs w:val="18"/>
              </w:rPr>
            </w:pPr>
            <w:r w:rsidRPr="005A6D53">
              <w:rPr>
                <w:color w:val="000000"/>
                <w:sz w:val="18"/>
                <w:szCs w:val="18"/>
              </w:rPr>
              <w:t>N/A</w:t>
            </w:r>
          </w:p>
        </w:tc>
        <w:tc>
          <w:tcPr>
            <w:tcW w:w="337" w:type="pct"/>
            <w:shd w:val="clear" w:color="auto" w:fill="auto"/>
            <w:noWrap/>
            <w:vAlign w:val="bottom"/>
            <w:hideMark/>
          </w:tcPr>
          <w:p w:rsidR="004D4C2C" w:rsidRPr="005A6D53" w:rsidRDefault="004D4C2C" w:rsidP="005A6D53">
            <w:pPr>
              <w:jc w:val="right"/>
              <w:rPr>
                <w:color w:val="000000"/>
                <w:sz w:val="18"/>
                <w:szCs w:val="18"/>
              </w:rPr>
            </w:pPr>
            <w:r w:rsidRPr="005A6D53">
              <w:rPr>
                <w:color w:val="000000"/>
                <w:sz w:val="18"/>
                <w:szCs w:val="18"/>
              </w:rPr>
              <w:t>1350</w:t>
            </w:r>
          </w:p>
        </w:tc>
        <w:tc>
          <w:tcPr>
            <w:tcW w:w="337" w:type="pct"/>
            <w:shd w:val="clear" w:color="auto" w:fill="auto"/>
            <w:noWrap/>
            <w:vAlign w:val="bottom"/>
            <w:hideMark/>
          </w:tcPr>
          <w:p w:rsidR="004D4C2C" w:rsidRPr="005A6D53" w:rsidRDefault="006A7357" w:rsidP="005A6D53">
            <w:pPr>
              <w:jc w:val="right"/>
              <w:rPr>
                <w:color w:val="000000"/>
                <w:sz w:val="18"/>
                <w:szCs w:val="18"/>
              </w:rPr>
            </w:pPr>
            <w:r>
              <w:rPr>
                <w:color w:val="000000"/>
                <w:sz w:val="18"/>
                <w:szCs w:val="18"/>
              </w:rPr>
              <w:t>1350</w:t>
            </w:r>
          </w:p>
        </w:tc>
      </w:tr>
    </w:tbl>
    <w:p w:rsidR="00426FD7" w:rsidRPr="009026D3" w:rsidRDefault="00426FD7" w:rsidP="00426FD7">
      <w:pPr>
        <w:jc w:val="both"/>
        <w:rPr>
          <w:i/>
          <w:sz w:val="18"/>
          <w:szCs w:val="18"/>
        </w:rPr>
      </w:pPr>
      <w:r w:rsidRPr="008C4750">
        <w:rPr>
          <w:i/>
          <w:sz w:val="18"/>
          <w:szCs w:val="18"/>
        </w:rPr>
        <w:t xml:space="preserve">Zdroj: MSC 2007 ke dni </w:t>
      </w:r>
      <w:r w:rsidR="004A2127">
        <w:rPr>
          <w:i/>
          <w:sz w:val="18"/>
          <w:szCs w:val="18"/>
        </w:rPr>
        <w:t>2. 3. 2015</w:t>
      </w:r>
    </w:p>
    <w:p w:rsidR="00A75862" w:rsidRDefault="00A75862" w:rsidP="00DA45CD">
      <w:pPr>
        <w:jc w:val="both"/>
        <w:sectPr w:rsidR="00A75862" w:rsidSect="003F08D8">
          <w:pgSz w:w="16838" w:h="11906" w:orient="landscape"/>
          <w:pgMar w:top="1417" w:right="1417" w:bottom="1417" w:left="1417" w:header="708" w:footer="708" w:gutter="0"/>
          <w:cols w:space="708"/>
          <w:docGrid w:linePitch="272"/>
        </w:sectPr>
      </w:pPr>
      <w:r w:rsidRPr="00CE501A">
        <w:t xml:space="preserve"> </w:t>
      </w:r>
    </w:p>
    <w:p w:rsidR="00A75862" w:rsidRDefault="000F1B3A" w:rsidP="00184E0A">
      <w:pPr>
        <w:jc w:val="both"/>
        <w:rPr>
          <w:b/>
          <w:sz w:val="24"/>
          <w:szCs w:val="24"/>
        </w:rPr>
      </w:pPr>
      <w:r w:rsidRPr="00796E0A">
        <w:rPr>
          <w:b/>
          <w:sz w:val="24"/>
          <w:szCs w:val="24"/>
        </w:rPr>
        <w:lastRenderedPageBreak/>
        <w:t>3.</w:t>
      </w:r>
      <w:r>
        <w:rPr>
          <w:b/>
          <w:sz w:val="24"/>
          <w:szCs w:val="24"/>
        </w:rPr>
        <w:t>6</w:t>
      </w:r>
      <w:r w:rsidRPr="00796E0A">
        <w:rPr>
          <w:b/>
          <w:sz w:val="24"/>
          <w:szCs w:val="24"/>
        </w:rPr>
        <w:t>.</w:t>
      </w:r>
      <w:r>
        <w:rPr>
          <w:b/>
          <w:sz w:val="24"/>
          <w:szCs w:val="24"/>
        </w:rPr>
        <w:t>1.</w:t>
      </w:r>
      <w:r w:rsidRPr="00796E0A">
        <w:rPr>
          <w:b/>
          <w:sz w:val="24"/>
          <w:szCs w:val="24"/>
        </w:rPr>
        <w:t xml:space="preserve"> B Kvalitativní</w:t>
      </w:r>
      <w:r w:rsidR="00A75862" w:rsidRPr="00796E0A">
        <w:rPr>
          <w:b/>
          <w:sz w:val="24"/>
          <w:szCs w:val="24"/>
        </w:rPr>
        <w:t xml:space="preserve"> analýza</w:t>
      </w:r>
    </w:p>
    <w:p w:rsidR="00A75862" w:rsidRDefault="00A75862" w:rsidP="00184E0A">
      <w:pPr>
        <w:jc w:val="both"/>
        <w:rPr>
          <w:b/>
          <w:sz w:val="24"/>
          <w:szCs w:val="24"/>
        </w:rPr>
      </w:pPr>
    </w:p>
    <w:p w:rsidR="00A75862" w:rsidRDefault="00A75862" w:rsidP="00184E0A">
      <w:pPr>
        <w:jc w:val="both"/>
        <w:rPr>
          <w:b/>
          <w:sz w:val="24"/>
          <w:szCs w:val="24"/>
        </w:rPr>
      </w:pPr>
      <w:r>
        <w:rPr>
          <w:b/>
          <w:sz w:val="24"/>
          <w:szCs w:val="24"/>
        </w:rPr>
        <w:t>Finanční pokrok</w:t>
      </w:r>
    </w:p>
    <w:p w:rsidR="00A75862" w:rsidRPr="0005371D" w:rsidRDefault="002D19AD" w:rsidP="00184E0A">
      <w:pPr>
        <w:jc w:val="both"/>
        <w:rPr>
          <w:sz w:val="22"/>
          <w:szCs w:val="22"/>
        </w:rPr>
      </w:pPr>
      <w:r w:rsidRPr="0078152C">
        <w:rPr>
          <w:sz w:val="22"/>
          <w:szCs w:val="22"/>
        </w:rPr>
        <w:t xml:space="preserve">V prioritních osách 6a a 6b bylo celkem schváleno </w:t>
      </w:r>
      <w:r>
        <w:rPr>
          <w:sz w:val="22"/>
          <w:szCs w:val="22"/>
        </w:rPr>
        <w:t xml:space="preserve">42,95 </w:t>
      </w:r>
      <w:r w:rsidRPr="0078152C">
        <w:rPr>
          <w:sz w:val="22"/>
          <w:szCs w:val="22"/>
        </w:rPr>
        <w:t xml:space="preserve">mil. EUR, což představuje </w:t>
      </w:r>
      <w:r>
        <w:rPr>
          <w:sz w:val="22"/>
          <w:szCs w:val="22"/>
        </w:rPr>
        <w:t>105,2</w:t>
      </w:r>
      <w:r w:rsidRPr="0078152C">
        <w:rPr>
          <w:sz w:val="22"/>
          <w:szCs w:val="22"/>
        </w:rPr>
        <w:t xml:space="preserve"> % alokace, z nich </w:t>
      </w:r>
      <w:r>
        <w:rPr>
          <w:sz w:val="22"/>
          <w:szCs w:val="22"/>
        </w:rPr>
        <w:t>36,48 mil. EUR bylo schváleno v roce 2014</w:t>
      </w:r>
      <w:r w:rsidRPr="0078152C">
        <w:rPr>
          <w:sz w:val="22"/>
          <w:szCs w:val="22"/>
        </w:rPr>
        <w:t xml:space="preserve">. </w:t>
      </w:r>
      <w:r w:rsidRPr="00E617F7">
        <w:rPr>
          <w:sz w:val="22"/>
          <w:szCs w:val="22"/>
        </w:rPr>
        <w:t>Příjemcům bylo proplaceno 30,4 mil. EUR (74,5</w:t>
      </w:r>
      <w:r>
        <w:rPr>
          <w:sz w:val="22"/>
          <w:szCs w:val="22"/>
        </w:rPr>
        <w:t> </w:t>
      </w:r>
      <w:r w:rsidRPr="00E617F7">
        <w:rPr>
          <w:sz w:val="22"/>
          <w:szCs w:val="22"/>
        </w:rPr>
        <w:t xml:space="preserve"> % alokace), z nich v roce 2014 byly proplaceny finanční prostředky ve výši 25,</w:t>
      </w:r>
      <w:r>
        <w:rPr>
          <w:sz w:val="22"/>
          <w:szCs w:val="22"/>
        </w:rPr>
        <w:t>8</w:t>
      </w:r>
      <w:r w:rsidRPr="00E617F7">
        <w:rPr>
          <w:sz w:val="22"/>
          <w:szCs w:val="22"/>
        </w:rPr>
        <w:t>4 mil. EUR. Certifikovány byly výdaje ve výši 29 mil. EUR (71 % alokace). V roce 2014 byly certifikovány výdaje ve výši 24</w:t>
      </w:r>
      <w:r>
        <w:rPr>
          <w:sz w:val="22"/>
          <w:szCs w:val="22"/>
        </w:rPr>
        <w:t>,65</w:t>
      </w:r>
      <w:r w:rsidRPr="00E617F7">
        <w:rPr>
          <w:sz w:val="22"/>
          <w:szCs w:val="22"/>
        </w:rPr>
        <w:t xml:space="preserve"> mil. EUR. </w:t>
      </w:r>
    </w:p>
    <w:p w:rsidR="0039119F" w:rsidRDefault="0039119F" w:rsidP="00184E0A">
      <w:pPr>
        <w:jc w:val="both"/>
        <w:rPr>
          <w:b/>
          <w:sz w:val="24"/>
          <w:szCs w:val="24"/>
        </w:rPr>
      </w:pPr>
    </w:p>
    <w:p w:rsidR="00A2770E" w:rsidRDefault="00A2770E" w:rsidP="008263BA">
      <w:pPr>
        <w:pStyle w:val="Tabulkanzev"/>
      </w:pPr>
      <w:bookmarkStart w:id="248" w:name="_Toc416431867"/>
      <w:r>
        <w:t>Finanční stav PO 6 k </w:t>
      </w:r>
      <w:bookmarkEnd w:id="248"/>
      <w:r w:rsidR="008263BA">
        <w:t>31. 12. 2014</w:t>
      </w:r>
    </w:p>
    <w:tbl>
      <w:tblPr>
        <w:tblW w:w="9108"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7"/>
        <w:gridCol w:w="1434"/>
        <w:gridCol w:w="1339"/>
        <w:gridCol w:w="908"/>
        <w:gridCol w:w="1363"/>
        <w:gridCol w:w="789"/>
        <w:gridCol w:w="1363"/>
        <w:gridCol w:w="765"/>
      </w:tblGrid>
      <w:tr w:rsidR="00A2770E" w:rsidRPr="00A2770E" w:rsidTr="001352F9">
        <w:trPr>
          <w:trHeight w:val="850"/>
        </w:trPr>
        <w:tc>
          <w:tcPr>
            <w:tcW w:w="1147" w:type="dxa"/>
            <w:vMerge w:val="restart"/>
            <w:shd w:val="clear" w:color="000000" w:fill="C4D79B"/>
            <w:vAlign w:val="center"/>
            <w:hideMark/>
          </w:tcPr>
          <w:p w:rsidR="00A2770E" w:rsidRPr="00A2770E" w:rsidRDefault="00A2770E" w:rsidP="00A2770E">
            <w:pPr>
              <w:jc w:val="center"/>
              <w:rPr>
                <w:b/>
                <w:bCs/>
                <w:color w:val="000000"/>
                <w:sz w:val="18"/>
                <w:szCs w:val="18"/>
              </w:rPr>
            </w:pPr>
            <w:r w:rsidRPr="00A2770E">
              <w:rPr>
                <w:b/>
                <w:bCs/>
                <w:color w:val="000000"/>
                <w:sz w:val="18"/>
                <w:szCs w:val="18"/>
              </w:rPr>
              <w:t>Oblast podpory</w:t>
            </w:r>
          </w:p>
        </w:tc>
        <w:tc>
          <w:tcPr>
            <w:tcW w:w="1434" w:type="dxa"/>
            <w:shd w:val="clear" w:color="000000" w:fill="C4D79B"/>
            <w:vAlign w:val="center"/>
            <w:hideMark/>
          </w:tcPr>
          <w:p w:rsidR="00A2770E" w:rsidRPr="00A2770E" w:rsidRDefault="00A2770E" w:rsidP="00A2770E">
            <w:pPr>
              <w:jc w:val="center"/>
              <w:rPr>
                <w:b/>
                <w:bCs/>
                <w:color w:val="000000"/>
                <w:sz w:val="18"/>
                <w:szCs w:val="18"/>
              </w:rPr>
            </w:pPr>
            <w:r w:rsidRPr="00A2770E">
              <w:rPr>
                <w:b/>
                <w:bCs/>
                <w:color w:val="000000"/>
                <w:sz w:val="18"/>
                <w:szCs w:val="18"/>
              </w:rPr>
              <w:t>Alokace podpory 2007-2013</w:t>
            </w:r>
          </w:p>
        </w:tc>
        <w:tc>
          <w:tcPr>
            <w:tcW w:w="2247" w:type="dxa"/>
            <w:gridSpan w:val="2"/>
            <w:shd w:val="clear" w:color="000000" w:fill="C4D79B"/>
            <w:vAlign w:val="center"/>
            <w:hideMark/>
          </w:tcPr>
          <w:p w:rsidR="00A2770E" w:rsidRPr="00A2770E" w:rsidRDefault="00A2770E" w:rsidP="00A2770E">
            <w:pPr>
              <w:jc w:val="center"/>
              <w:rPr>
                <w:b/>
                <w:bCs/>
                <w:color w:val="000000"/>
                <w:sz w:val="18"/>
                <w:szCs w:val="18"/>
              </w:rPr>
            </w:pPr>
            <w:r w:rsidRPr="00A2770E">
              <w:rPr>
                <w:b/>
                <w:bCs/>
                <w:color w:val="000000"/>
                <w:sz w:val="18"/>
                <w:szCs w:val="18"/>
              </w:rPr>
              <w:t>Prostředky kryté Rozhodnutím / Smlouvou (dodatkem)</w:t>
            </w:r>
          </w:p>
        </w:tc>
        <w:tc>
          <w:tcPr>
            <w:tcW w:w="2151" w:type="dxa"/>
            <w:gridSpan w:val="2"/>
            <w:shd w:val="clear" w:color="000000" w:fill="C4D79B"/>
            <w:vAlign w:val="center"/>
            <w:hideMark/>
          </w:tcPr>
          <w:p w:rsidR="00A2770E" w:rsidRPr="00A2770E" w:rsidRDefault="00A2770E" w:rsidP="00A2770E">
            <w:pPr>
              <w:jc w:val="center"/>
              <w:rPr>
                <w:b/>
                <w:bCs/>
                <w:color w:val="000000"/>
                <w:sz w:val="18"/>
                <w:szCs w:val="18"/>
              </w:rPr>
            </w:pPr>
            <w:r w:rsidRPr="00A2770E">
              <w:rPr>
                <w:b/>
                <w:bCs/>
                <w:color w:val="000000"/>
                <w:sz w:val="18"/>
                <w:szCs w:val="18"/>
              </w:rPr>
              <w:t>Proplacené prostředky příjemcům (vyúčtované prostředky)</w:t>
            </w:r>
          </w:p>
        </w:tc>
        <w:tc>
          <w:tcPr>
            <w:tcW w:w="2128" w:type="dxa"/>
            <w:gridSpan w:val="2"/>
            <w:shd w:val="clear" w:color="000000" w:fill="C4D79B"/>
            <w:vAlign w:val="center"/>
            <w:hideMark/>
          </w:tcPr>
          <w:p w:rsidR="00A2770E" w:rsidRPr="00A2770E" w:rsidRDefault="00A2770E" w:rsidP="00A2770E">
            <w:pPr>
              <w:jc w:val="center"/>
              <w:rPr>
                <w:b/>
                <w:bCs/>
                <w:color w:val="000000"/>
                <w:sz w:val="18"/>
                <w:szCs w:val="18"/>
              </w:rPr>
            </w:pPr>
            <w:r w:rsidRPr="00A2770E">
              <w:rPr>
                <w:b/>
                <w:bCs/>
                <w:color w:val="000000"/>
                <w:sz w:val="18"/>
                <w:szCs w:val="18"/>
              </w:rPr>
              <w:t>Certifikované prostředky (včetně vratek)</w:t>
            </w:r>
          </w:p>
        </w:tc>
      </w:tr>
      <w:tr w:rsidR="00A2770E" w:rsidRPr="00A2770E" w:rsidTr="001352F9">
        <w:trPr>
          <w:trHeight w:val="309"/>
        </w:trPr>
        <w:tc>
          <w:tcPr>
            <w:tcW w:w="1147" w:type="dxa"/>
            <w:vMerge/>
            <w:vAlign w:val="center"/>
            <w:hideMark/>
          </w:tcPr>
          <w:p w:rsidR="00A2770E" w:rsidRPr="00A2770E" w:rsidRDefault="00A2770E" w:rsidP="00A2770E">
            <w:pPr>
              <w:rPr>
                <w:b/>
                <w:bCs/>
                <w:color w:val="000000"/>
                <w:sz w:val="16"/>
                <w:szCs w:val="16"/>
              </w:rPr>
            </w:pPr>
          </w:p>
        </w:tc>
        <w:tc>
          <w:tcPr>
            <w:tcW w:w="1434" w:type="dxa"/>
            <w:shd w:val="clear" w:color="000000" w:fill="C4D79B"/>
            <w:vAlign w:val="bottom"/>
            <w:hideMark/>
          </w:tcPr>
          <w:p w:rsidR="00A2770E" w:rsidRPr="00A2770E" w:rsidRDefault="00A2770E" w:rsidP="00A2770E">
            <w:pPr>
              <w:jc w:val="center"/>
              <w:rPr>
                <w:color w:val="000000"/>
                <w:sz w:val="18"/>
                <w:szCs w:val="18"/>
              </w:rPr>
            </w:pPr>
            <w:r w:rsidRPr="00A2770E">
              <w:rPr>
                <w:color w:val="000000"/>
                <w:sz w:val="18"/>
                <w:szCs w:val="18"/>
              </w:rPr>
              <w:t>EUR</w:t>
            </w:r>
          </w:p>
        </w:tc>
        <w:tc>
          <w:tcPr>
            <w:tcW w:w="1339" w:type="dxa"/>
            <w:shd w:val="clear" w:color="000000" w:fill="C4D79B"/>
            <w:vAlign w:val="bottom"/>
            <w:hideMark/>
          </w:tcPr>
          <w:p w:rsidR="00A2770E" w:rsidRPr="00A2770E" w:rsidRDefault="00A2770E" w:rsidP="00A2770E">
            <w:pPr>
              <w:jc w:val="center"/>
              <w:rPr>
                <w:color w:val="000000"/>
                <w:sz w:val="18"/>
                <w:szCs w:val="18"/>
              </w:rPr>
            </w:pPr>
            <w:r w:rsidRPr="00A2770E">
              <w:rPr>
                <w:color w:val="000000"/>
                <w:sz w:val="18"/>
                <w:szCs w:val="18"/>
              </w:rPr>
              <w:t>EUR</w:t>
            </w:r>
          </w:p>
        </w:tc>
        <w:tc>
          <w:tcPr>
            <w:tcW w:w="908" w:type="dxa"/>
            <w:shd w:val="clear" w:color="000000" w:fill="C4D79B"/>
            <w:vAlign w:val="bottom"/>
            <w:hideMark/>
          </w:tcPr>
          <w:p w:rsidR="00A2770E" w:rsidRPr="00A2770E" w:rsidRDefault="00A2770E" w:rsidP="00A2770E">
            <w:pPr>
              <w:jc w:val="center"/>
              <w:rPr>
                <w:color w:val="000000"/>
                <w:sz w:val="18"/>
                <w:szCs w:val="18"/>
              </w:rPr>
            </w:pPr>
            <w:r w:rsidRPr="00A2770E">
              <w:rPr>
                <w:color w:val="000000"/>
                <w:sz w:val="18"/>
                <w:szCs w:val="18"/>
              </w:rPr>
              <w:t>%</w:t>
            </w:r>
          </w:p>
        </w:tc>
        <w:tc>
          <w:tcPr>
            <w:tcW w:w="1363" w:type="dxa"/>
            <w:shd w:val="clear" w:color="000000" w:fill="C4D79B"/>
            <w:vAlign w:val="bottom"/>
            <w:hideMark/>
          </w:tcPr>
          <w:p w:rsidR="00A2770E" w:rsidRPr="00A2770E" w:rsidRDefault="00A2770E" w:rsidP="00A2770E">
            <w:pPr>
              <w:jc w:val="center"/>
              <w:rPr>
                <w:color w:val="000000"/>
                <w:sz w:val="18"/>
                <w:szCs w:val="18"/>
              </w:rPr>
            </w:pPr>
            <w:r w:rsidRPr="00A2770E">
              <w:rPr>
                <w:color w:val="000000"/>
                <w:sz w:val="18"/>
                <w:szCs w:val="18"/>
              </w:rPr>
              <w:t>EUR</w:t>
            </w:r>
          </w:p>
        </w:tc>
        <w:tc>
          <w:tcPr>
            <w:tcW w:w="789" w:type="dxa"/>
            <w:shd w:val="clear" w:color="000000" w:fill="C4D79B"/>
            <w:vAlign w:val="bottom"/>
            <w:hideMark/>
          </w:tcPr>
          <w:p w:rsidR="00A2770E" w:rsidRPr="00A2770E" w:rsidRDefault="00A2770E" w:rsidP="00A2770E">
            <w:pPr>
              <w:jc w:val="center"/>
              <w:rPr>
                <w:color w:val="000000"/>
                <w:sz w:val="18"/>
                <w:szCs w:val="18"/>
              </w:rPr>
            </w:pPr>
            <w:r w:rsidRPr="00A2770E">
              <w:rPr>
                <w:color w:val="000000"/>
                <w:sz w:val="18"/>
                <w:szCs w:val="18"/>
              </w:rPr>
              <w:t>%</w:t>
            </w:r>
          </w:p>
        </w:tc>
        <w:tc>
          <w:tcPr>
            <w:tcW w:w="1363" w:type="dxa"/>
            <w:shd w:val="clear" w:color="000000" w:fill="C4D79B"/>
            <w:vAlign w:val="bottom"/>
            <w:hideMark/>
          </w:tcPr>
          <w:p w:rsidR="00A2770E" w:rsidRPr="00A2770E" w:rsidRDefault="00A2770E" w:rsidP="00A2770E">
            <w:pPr>
              <w:jc w:val="center"/>
              <w:rPr>
                <w:color w:val="000000"/>
                <w:sz w:val="18"/>
                <w:szCs w:val="18"/>
              </w:rPr>
            </w:pPr>
            <w:r w:rsidRPr="00A2770E">
              <w:rPr>
                <w:color w:val="000000"/>
                <w:sz w:val="18"/>
                <w:szCs w:val="18"/>
              </w:rPr>
              <w:t>EUR</w:t>
            </w:r>
          </w:p>
        </w:tc>
        <w:tc>
          <w:tcPr>
            <w:tcW w:w="765" w:type="dxa"/>
            <w:shd w:val="clear" w:color="000000" w:fill="C4D79B"/>
            <w:vAlign w:val="bottom"/>
            <w:hideMark/>
          </w:tcPr>
          <w:p w:rsidR="00A2770E" w:rsidRPr="00A2770E" w:rsidRDefault="00A2770E" w:rsidP="00A2770E">
            <w:pPr>
              <w:jc w:val="center"/>
              <w:rPr>
                <w:color w:val="000000"/>
                <w:sz w:val="18"/>
                <w:szCs w:val="18"/>
              </w:rPr>
            </w:pPr>
            <w:r w:rsidRPr="00A2770E">
              <w:rPr>
                <w:color w:val="000000"/>
                <w:sz w:val="18"/>
                <w:szCs w:val="18"/>
              </w:rPr>
              <w:t>%</w:t>
            </w:r>
          </w:p>
        </w:tc>
      </w:tr>
      <w:tr w:rsidR="00A2770E" w:rsidRPr="00A2770E" w:rsidTr="001352F9">
        <w:trPr>
          <w:trHeight w:val="309"/>
        </w:trPr>
        <w:tc>
          <w:tcPr>
            <w:tcW w:w="1147" w:type="dxa"/>
            <w:vMerge/>
            <w:vAlign w:val="center"/>
            <w:hideMark/>
          </w:tcPr>
          <w:p w:rsidR="00A2770E" w:rsidRPr="00A2770E" w:rsidRDefault="00A2770E" w:rsidP="00A2770E">
            <w:pPr>
              <w:rPr>
                <w:b/>
                <w:bCs/>
                <w:color w:val="000000"/>
                <w:sz w:val="16"/>
                <w:szCs w:val="16"/>
              </w:rPr>
            </w:pPr>
          </w:p>
        </w:tc>
        <w:tc>
          <w:tcPr>
            <w:tcW w:w="1434" w:type="dxa"/>
            <w:shd w:val="clear" w:color="000000" w:fill="C4D79B"/>
            <w:vAlign w:val="bottom"/>
            <w:hideMark/>
          </w:tcPr>
          <w:p w:rsidR="00A2770E" w:rsidRPr="00A2770E" w:rsidRDefault="00A2770E" w:rsidP="00A2770E">
            <w:pPr>
              <w:jc w:val="center"/>
              <w:rPr>
                <w:b/>
                <w:bCs/>
                <w:color w:val="000000"/>
                <w:sz w:val="18"/>
                <w:szCs w:val="18"/>
              </w:rPr>
            </w:pPr>
            <w:r w:rsidRPr="00A2770E">
              <w:rPr>
                <w:b/>
                <w:bCs/>
                <w:color w:val="000000"/>
                <w:sz w:val="18"/>
                <w:szCs w:val="18"/>
              </w:rPr>
              <w:t xml:space="preserve">a </w:t>
            </w:r>
          </w:p>
        </w:tc>
        <w:tc>
          <w:tcPr>
            <w:tcW w:w="1339" w:type="dxa"/>
            <w:shd w:val="clear" w:color="000000" w:fill="C4D79B"/>
            <w:vAlign w:val="bottom"/>
            <w:hideMark/>
          </w:tcPr>
          <w:p w:rsidR="00A2770E" w:rsidRPr="00A2770E" w:rsidRDefault="00A2770E" w:rsidP="00A2770E">
            <w:pPr>
              <w:jc w:val="center"/>
              <w:rPr>
                <w:b/>
                <w:bCs/>
                <w:color w:val="000000"/>
                <w:sz w:val="18"/>
                <w:szCs w:val="18"/>
              </w:rPr>
            </w:pPr>
            <w:r w:rsidRPr="00A2770E">
              <w:rPr>
                <w:b/>
                <w:bCs/>
                <w:color w:val="000000"/>
                <w:sz w:val="18"/>
                <w:szCs w:val="18"/>
              </w:rPr>
              <w:t xml:space="preserve">b </w:t>
            </w:r>
          </w:p>
        </w:tc>
        <w:tc>
          <w:tcPr>
            <w:tcW w:w="908" w:type="dxa"/>
            <w:shd w:val="clear" w:color="000000" w:fill="C4D79B"/>
            <w:vAlign w:val="bottom"/>
            <w:hideMark/>
          </w:tcPr>
          <w:p w:rsidR="00A2770E" w:rsidRPr="00A2770E" w:rsidRDefault="00A2770E" w:rsidP="00A2770E">
            <w:pPr>
              <w:jc w:val="center"/>
              <w:rPr>
                <w:b/>
                <w:bCs/>
                <w:color w:val="000000"/>
                <w:sz w:val="18"/>
                <w:szCs w:val="18"/>
              </w:rPr>
            </w:pPr>
            <w:r w:rsidRPr="00A2770E">
              <w:rPr>
                <w:b/>
                <w:bCs/>
                <w:color w:val="000000"/>
                <w:sz w:val="18"/>
                <w:szCs w:val="18"/>
              </w:rPr>
              <w:t xml:space="preserve">b/a </w:t>
            </w:r>
          </w:p>
        </w:tc>
        <w:tc>
          <w:tcPr>
            <w:tcW w:w="1363" w:type="dxa"/>
            <w:shd w:val="clear" w:color="000000" w:fill="C4D79B"/>
            <w:vAlign w:val="bottom"/>
            <w:hideMark/>
          </w:tcPr>
          <w:p w:rsidR="00A2770E" w:rsidRPr="00A2770E" w:rsidRDefault="00A2770E" w:rsidP="00A2770E">
            <w:pPr>
              <w:jc w:val="center"/>
              <w:rPr>
                <w:b/>
                <w:bCs/>
                <w:color w:val="000000"/>
                <w:sz w:val="18"/>
                <w:szCs w:val="18"/>
              </w:rPr>
            </w:pPr>
            <w:r w:rsidRPr="00A2770E">
              <w:rPr>
                <w:b/>
                <w:bCs/>
                <w:color w:val="000000"/>
                <w:sz w:val="18"/>
                <w:szCs w:val="18"/>
              </w:rPr>
              <w:t xml:space="preserve">c </w:t>
            </w:r>
          </w:p>
        </w:tc>
        <w:tc>
          <w:tcPr>
            <w:tcW w:w="789" w:type="dxa"/>
            <w:shd w:val="clear" w:color="000000" w:fill="C4D79B"/>
            <w:vAlign w:val="bottom"/>
            <w:hideMark/>
          </w:tcPr>
          <w:p w:rsidR="00A2770E" w:rsidRPr="00A2770E" w:rsidRDefault="00A2770E" w:rsidP="00A2770E">
            <w:pPr>
              <w:jc w:val="center"/>
              <w:rPr>
                <w:b/>
                <w:bCs/>
                <w:color w:val="000000"/>
                <w:sz w:val="18"/>
                <w:szCs w:val="18"/>
              </w:rPr>
            </w:pPr>
            <w:r w:rsidRPr="00A2770E">
              <w:rPr>
                <w:b/>
                <w:bCs/>
                <w:color w:val="000000"/>
                <w:sz w:val="18"/>
                <w:szCs w:val="18"/>
              </w:rPr>
              <w:t xml:space="preserve">c/a </w:t>
            </w:r>
          </w:p>
        </w:tc>
        <w:tc>
          <w:tcPr>
            <w:tcW w:w="1363" w:type="dxa"/>
            <w:shd w:val="clear" w:color="000000" w:fill="C4D79B"/>
            <w:vAlign w:val="bottom"/>
            <w:hideMark/>
          </w:tcPr>
          <w:p w:rsidR="00A2770E" w:rsidRPr="00A2770E" w:rsidRDefault="00A2770E" w:rsidP="00A2770E">
            <w:pPr>
              <w:jc w:val="center"/>
              <w:rPr>
                <w:b/>
                <w:bCs/>
                <w:color w:val="000000"/>
                <w:sz w:val="18"/>
                <w:szCs w:val="18"/>
              </w:rPr>
            </w:pPr>
            <w:r w:rsidRPr="00A2770E">
              <w:rPr>
                <w:b/>
                <w:bCs/>
                <w:color w:val="000000"/>
                <w:sz w:val="18"/>
                <w:szCs w:val="18"/>
              </w:rPr>
              <w:t xml:space="preserve">d </w:t>
            </w:r>
          </w:p>
        </w:tc>
        <w:tc>
          <w:tcPr>
            <w:tcW w:w="765" w:type="dxa"/>
            <w:shd w:val="clear" w:color="000000" w:fill="C4D79B"/>
            <w:vAlign w:val="bottom"/>
            <w:hideMark/>
          </w:tcPr>
          <w:p w:rsidR="00A2770E" w:rsidRPr="00A2770E" w:rsidRDefault="00A2770E" w:rsidP="00A2770E">
            <w:pPr>
              <w:jc w:val="center"/>
              <w:rPr>
                <w:b/>
                <w:bCs/>
                <w:color w:val="000000"/>
                <w:sz w:val="18"/>
                <w:szCs w:val="18"/>
              </w:rPr>
            </w:pPr>
            <w:r w:rsidRPr="00A2770E">
              <w:rPr>
                <w:b/>
                <w:bCs/>
                <w:color w:val="000000"/>
                <w:sz w:val="18"/>
                <w:szCs w:val="18"/>
              </w:rPr>
              <w:t xml:space="preserve">d/a </w:t>
            </w:r>
          </w:p>
        </w:tc>
      </w:tr>
      <w:tr w:rsidR="00A2770E" w:rsidRPr="00A2770E" w:rsidTr="001352F9">
        <w:trPr>
          <w:trHeight w:val="325"/>
        </w:trPr>
        <w:tc>
          <w:tcPr>
            <w:tcW w:w="1147" w:type="dxa"/>
            <w:shd w:val="clear" w:color="000000" w:fill="FFFFFF"/>
            <w:vAlign w:val="center"/>
            <w:hideMark/>
          </w:tcPr>
          <w:p w:rsidR="00A2770E" w:rsidRPr="00A2770E" w:rsidRDefault="00A2770E" w:rsidP="00A2770E">
            <w:pPr>
              <w:jc w:val="center"/>
              <w:rPr>
                <w:color w:val="000000"/>
                <w:sz w:val="18"/>
                <w:szCs w:val="18"/>
              </w:rPr>
            </w:pPr>
            <w:r w:rsidRPr="00A2770E">
              <w:rPr>
                <w:color w:val="000000"/>
                <w:sz w:val="18"/>
                <w:szCs w:val="18"/>
              </w:rPr>
              <w:t>6.1a</w:t>
            </w:r>
          </w:p>
        </w:tc>
        <w:tc>
          <w:tcPr>
            <w:tcW w:w="1434"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31 973 750</w:t>
            </w:r>
          </w:p>
        </w:tc>
        <w:tc>
          <w:tcPr>
            <w:tcW w:w="133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33 890 240</w:t>
            </w:r>
          </w:p>
        </w:tc>
        <w:tc>
          <w:tcPr>
            <w:tcW w:w="908"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106,0%</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25 263 713</w:t>
            </w:r>
          </w:p>
        </w:tc>
        <w:tc>
          <w:tcPr>
            <w:tcW w:w="78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79,0%</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23 964 606</w:t>
            </w:r>
          </w:p>
        </w:tc>
        <w:tc>
          <w:tcPr>
            <w:tcW w:w="765"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75,0%</w:t>
            </w:r>
          </w:p>
        </w:tc>
      </w:tr>
      <w:tr w:rsidR="00A2770E" w:rsidRPr="00A2770E" w:rsidTr="001352F9">
        <w:trPr>
          <w:trHeight w:val="325"/>
        </w:trPr>
        <w:tc>
          <w:tcPr>
            <w:tcW w:w="1147" w:type="dxa"/>
            <w:shd w:val="clear" w:color="000000" w:fill="FFFFFF"/>
            <w:vAlign w:val="center"/>
            <w:hideMark/>
          </w:tcPr>
          <w:p w:rsidR="00A2770E" w:rsidRPr="00A2770E" w:rsidRDefault="00A2770E" w:rsidP="00A2770E">
            <w:pPr>
              <w:jc w:val="center"/>
              <w:rPr>
                <w:color w:val="000000"/>
                <w:sz w:val="18"/>
                <w:szCs w:val="18"/>
              </w:rPr>
            </w:pPr>
            <w:r w:rsidRPr="00A2770E">
              <w:rPr>
                <w:color w:val="000000"/>
                <w:sz w:val="18"/>
                <w:szCs w:val="18"/>
              </w:rPr>
              <w:t>6.2a</w:t>
            </w:r>
          </w:p>
        </w:tc>
        <w:tc>
          <w:tcPr>
            <w:tcW w:w="1434"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8 114 236</w:t>
            </w:r>
          </w:p>
        </w:tc>
        <w:tc>
          <w:tcPr>
            <w:tcW w:w="133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8 282 604</w:t>
            </w:r>
          </w:p>
        </w:tc>
        <w:tc>
          <w:tcPr>
            <w:tcW w:w="908"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102,1%</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4 590 268</w:t>
            </w:r>
          </w:p>
        </w:tc>
        <w:tc>
          <w:tcPr>
            <w:tcW w:w="78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56,6%</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4 516 369</w:t>
            </w:r>
          </w:p>
        </w:tc>
        <w:tc>
          <w:tcPr>
            <w:tcW w:w="765"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55,7%</w:t>
            </w:r>
          </w:p>
        </w:tc>
      </w:tr>
      <w:tr w:rsidR="00A2770E" w:rsidRPr="00A2770E" w:rsidTr="001352F9">
        <w:trPr>
          <w:trHeight w:val="325"/>
        </w:trPr>
        <w:tc>
          <w:tcPr>
            <w:tcW w:w="1147" w:type="dxa"/>
            <w:shd w:val="clear" w:color="000000" w:fill="D9D9D9"/>
            <w:vAlign w:val="center"/>
            <w:hideMark/>
          </w:tcPr>
          <w:p w:rsidR="00A2770E" w:rsidRPr="00A2770E" w:rsidRDefault="00A2770E" w:rsidP="00A2770E">
            <w:pPr>
              <w:jc w:val="center"/>
              <w:rPr>
                <w:b/>
                <w:bCs/>
                <w:color w:val="000000"/>
                <w:sz w:val="18"/>
                <w:szCs w:val="18"/>
              </w:rPr>
            </w:pPr>
            <w:proofErr w:type="gramStart"/>
            <w:r w:rsidRPr="00A2770E">
              <w:rPr>
                <w:b/>
                <w:bCs/>
                <w:color w:val="000000"/>
                <w:sz w:val="18"/>
                <w:szCs w:val="18"/>
              </w:rPr>
              <w:t>Celkem 6</w:t>
            </w:r>
            <w:r w:rsidR="00EF6160">
              <w:rPr>
                <w:b/>
                <w:bCs/>
                <w:color w:val="000000"/>
                <w:sz w:val="18"/>
                <w:szCs w:val="18"/>
              </w:rPr>
              <w:t>.</w:t>
            </w:r>
            <w:r w:rsidRPr="00A2770E">
              <w:rPr>
                <w:b/>
                <w:bCs/>
                <w:color w:val="000000"/>
                <w:sz w:val="18"/>
                <w:szCs w:val="18"/>
              </w:rPr>
              <w:t>a</w:t>
            </w:r>
            <w:proofErr w:type="gramEnd"/>
          </w:p>
        </w:tc>
        <w:tc>
          <w:tcPr>
            <w:tcW w:w="1434"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40 087 986</w:t>
            </w:r>
          </w:p>
        </w:tc>
        <w:tc>
          <w:tcPr>
            <w:tcW w:w="1339"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42 172 844</w:t>
            </w:r>
          </w:p>
        </w:tc>
        <w:tc>
          <w:tcPr>
            <w:tcW w:w="908"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105,2%</w:t>
            </w:r>
          </w:p>
        </w:tc>
        <w:tc>
          <w:tcPr>
            <w:tcW w:w="1363"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29 853 980</w:t>
            </w:r>
          </w:p>
        </w:tc>
        <w:tc>
          <w:tcPr>
            <w:tcW w:w="789"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74,5%</w:t>
            </w:r>
          </w:p>
        </w:tc>
        <w:tc>
          <w:tcPr>
            <w:tcW w:w="1363"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28 480 975</w:t>
            </w:r>
          </w:p>
        </w:tc>
        <w:tc>
          <w:tcPr>
            <w:tcW w:w="765"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71,0%</w:t>
            </w:r>
          </w:p>
        </w:tc>
      </w:tr>
      <w:tr w:rsidR="00A2770E" w:rsidRPr="00A2770E" w:rsidTr="001352F9">
        <w:trPr>
          <w:trHeight w:val="309"/>
        </w:trPr>
        <w:tc>
          <w:tcPr>
            <w:tcW w:w="1147" w:type="dxa"/>
            <w:shd w:val="clear" w:color="000000" w:fill="FFFFFF"/>
            <w:vAlign w:val="center"/>
            <w:hideMark/>
          </w:tcPr>
          <w:p w:rsidR="00A2770E" w:rsidRPr="00A2770E" w:rsidRDefault="00A2770E" w:rsidP="00A2770E">
            <w:pPr>
              <w:jc w:val="center"/>
              <w:rPr>
                <w:color w:val="000000"/>
                <w:sz w:val="18"/>
                <w:szCs w:val="18"/>
              </w:rPr>
            </w:pPr>
            <w:r w:rsidRPr="00A2770E">
              <w:rPr>
                <w:color w:val="000000"/>
                <w:sz w:val="18"/>
                <w:szCs w:val="18"/>
              </w:rPr>
              <w:t>6.1b</w:t>
            </w:r>
          </w:p>
        </w:tc>
        <w:tc>
          <w:tcPr>
            <w:tcW w:w="1434"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587 779</w:t>
            </w:r>
          </w:p>
        </w:tc>
        <w:tc>
          <w:tcPr>
            <w:tcW w:w="133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623 065</w:t>
            </w:r>
          </w:p>
        </w:tc>
        <w:tc>
          <w:tcPr>
            <w:tcW w:w="908"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106,0%</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464 581</w:t>
            </w:r>
          </w:p>
        </w:tc>
        <w:tc>
          <w:tcPr>
            <w:tcW w:w="78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79,0%</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440 696</w:t>
            </w:r>
          </w:p>
        </w:tc>
        <w:tc>
          <w:tcPr>
            <w:tcW w:w="765"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75,0%</w:t>
            </w:r>
          </w:p>
        </w:tc>
      </w:tr>
      <w:tr w:rsidR="00A2770E" w:rsidRPr="00A2770E" w:rsidTr="001352F9">
        <w:trPr>
          <w:trHeight w:val="325"/>
        </w:trPr>
        <w:tc>
          <w:tcPr>
            <w:tcW w:w="1147" w:type="dxa"/>
            <w:shd w:val="clear" w:color="000000" w:fill="FFFFFF"/>
            <w:vAlign w:val="center"/>
            <w:hideMark/>
          </w:tcPr>
          <w:p w:rsidR="00A2770E" w:rsidRPr="00A2770E" w:rsidRDefault="00A2770E" w:rsidP="00A2770E">
            <w:pPr>
              <w:jc w:val="center"/>
              <w:rPr>
                <w:color w:val="000000"/>
                <w:sz w:val="18"/>
                <w:szCs w:val="18"/>
              </w:rPr>
            </w:pPr>
            <w:r w:rsidRPr="00A2770E">
              <w:rPr>
                <w:color w:val="000000"/>
                <w:sz w:val="18"/>
                <w:szCs w:val="18"/>
              </w:rPr>
              <w:t>6.2b</w:t>
            </w:r>
          </w:p>
        </w:tc>
        <w:tc>
          <w:tcPr>
            <w:tcW w:w="1434"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149 197</w:t>
            </w:r>
          </w:p>
        </w:tc>
        <w:tc>
          <w:tcPr>
            <w:tcW w:w="133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152 274</w:t>
            </w:r>
          </w:p>
        </w:tc>
        <w:tc>
          <w:tcPr>
            <w:tcW w:w="908"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102,1%</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84 426</w:t>
            </w:r>
          </w:p>
        </w:tc>
        <w:tc>
          <w:tcPr>
            <w:tcW w:w="789"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56,6%</w:t>
            </w:r>
          </w:p>
        </w:tc>
        <w:tc>
          <w:tcPr>
            <w:tcW w:w="1363"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83 059</w:t>
            </w:r>
          </w:p>
        </w:tc>
        <w:tc>
          <w:tcPr>
            <w:tcW w:w="765" w:type="dxa"/>
            <w:shd w:val="clear" w:color="000000" w:fill="FFFFFF"/>
            <w:noWrap/>
            <w:vAlign w:val="center"/>
            <w:hideMark/>
          </w:tcPr>
          <w:p w:rsidR="00A2770E" w:rsidRPr="00A2770E" w:rsidRDefault="00A2770E" w:rsidP="00A2770E">
            <w:pPr>
              <w:jc w:val="center"/>
              <w:rPr>
                <w:color w:val="000000"/>
                <w:sz w:val="18"/>
                <w:szCs w:val="18"/>
              </w:rPr>
            </w:pPr>
            <w:r w:rsidRPr="00A2770E">
              <w:rPr>
                <w:color w:val="000000"/>
                <w:sz w:val="18"/>
                <w:szCs w:val="18"/>
              </w:rPr>
              <w:t>55,7%</w:t>
            </w:r>
          </w:p>
        </w:tc>
      </w:tr>
      <w:tr w:rsidR="00A2770E" w:rsidRPr="00A2770E" w:rsidTr="001352F9">
        <w:trPr>
          <w:trHeight w:val="325"/>
        </w:trPr>
        <w:tc>
          <w:tcPr>
            <w:tcW w:w="1147" w:type="dxa"/>
            <w:shd w:val="clear" w:color="000000" w:fill="D9D9D9"/>
            <w:vAlign w:val="center"/>
            <w:hideMark/>
          </w:tcPr>
          <w:p w:rsidR="00A2770E" w:rsidRPr="00A2770E" w:rsidRDefault="00A2770E" w:rsidP="00A2770E">
            <w:pPr>
              <w:jc w:val="center"/>
              <w:rPr>
                <w:b/>
                <w:bCs/>
                <w:color w:val="000000"/>
                <w:sz w:val="18"/>
                <w:szCs w:val="18"/>
              </w:rPr>
            </w:pPr>
            <w:proofErr w:type="gramStart"/>
            <w:r w:rsidRPr="00A2770E">
              <w:rPr>
                <w:b/>
                <w:bCs/>
                <w:color w:val="000000"/>
                <w:sz w:val="18"/>
                <w:szCs w:val="18"/>
              </w:rPr>
              <w:t>Celkem 6</w:t>
            </w:r>
            <w:r w:rsidR="00EF6160">
              <w:rPr>
                <w:b/>
                <w:bCs/>
                <w:color w:val="000000"/>
                <w:sz w:val="18"/>
                <w:szCs w:val="18"/>
              </w:rPr>
              <w:t>.</w:t>
            </w:r>
            <w:r w:rsidRPr="00A2770E">
              <w:rPr>
                <w:b/>
                <w:bCs/>
                <w:color w:val="000000"/>
                <w:sz w:val="18"/>
                <w:szCs w:val="18"/>
              </w:rPr>
              <w:t>b</w:t>
            </w:r>
            <w:proofErr w:type="gramEnd"/>
          </w:p>
        </w:tc>
        <w:tc>
          <w:tcPr>
            <w:tcW w:w="1434"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736 976</w:t>
            </w:r>
          </w:p>
        </w:tc>
        <w:tc>
          <w:tcPr>
            <w:tcW w:w="1339"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775 340</w:t>
            </w:r>
          </w:p>
        </w:tc>
        <w:tc>
          <w:tcPr>
            <w:tcW w:w="908"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105,2%</w:t>
            </w:r>
          </w:p>
        </w:tc>
        <w:tc>
          <w:tcPr>
            <w:tcW w:w="1363"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549 007</w:t>
            </w:r>
          </w:p>
        </w:tc>
        <w:tc>
          <w:tcPr>
            <w:tcW w:w="789"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74,5%</w:t>
            </w:r>
          </w:p>
        </w:tc>
        <w:tc>
          <w:tcPr>
            <w:tcW w:w="1363"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523 755</w:t>
            </w:r>
          </w:p>
        </w:tc>
        <w:tc>
          <w:tcPr>
            <w:tcW w:w="765" w:type="dxa"/>
            <w:shd w:val="clear" w:color="000000" w:fill="D9D9D9"/>
            <w:noWrap/>
            <w:vAlign w:val="center"/>
            <w:hideMark/>
          </w:tcPr>
          <w:p w:rsidR="00A2770E" w:rsidRPr="00A2770E" w:rsidRDefault="00A2770E" w:rsidP="00A2770E">
            <w:pPr>
              <w:jc w:val="center"/>
              <w:rPr>
                <w:b/>
                <w:bCs/>
                <w:color w:val="000000"/>
                <w:sz w:val="18"/>
                <w:szCs w:val="18"/>
              </w:rPr>
            </w:pPr>
            <w:r w:rsidRPr="00A2770E">
              <w:rPr>
                <w:b/>
                <w:bCs/>
                <w:color w:val="000000"/>
                <w:sz w:val="18"/>
                <w:szCs w:val="18"/>
              </w:rPr>
              <w:t>71,1%</w:t>
            </w:r>
          </w:p>
        </w:tc>
      </w:tr>
    </w:tbl>
    <w:p w:rsidR="00A75862" w:rsidRPr="00D95A18" w:rsidRDefault="00A75862" w:rsidP="00CF4611">
      <w:pPr>
        <w:spacing w:before="60"/>
        <w:rPr>
          <w:i/>
          <w:sz w:val="18"/>
          <w:szCs w:val="18"/>
        </w:rPr>
      </w:pPr>
      <w:r w:rsidRPr="00D95A18">
        <w:rPr>
          <w:i/>
          <w:sz w:val="18"/>
          <w:szCs w:val="18"/>
        </w:rPr>
        <w:t xml:space="preserve">Zdroj: MSC2007 ke dni </w:t>
      </w:r>
      <w:r w:rsidR="0005371D">
        <w:rPr>
          <w:i/>
          <w:sz w:val="18"/>
          <w:szCs w:val="18"/>
        </w:rPr>
        <w:t>31</w:t>
      </w:r>
      <w:r w:rsidR="0005371D" w:rsidRPr="00D95A18">
        <w:rPr>
          <w:i/>
          <w:sz w:val="18"/>
          <w:szCs w:val="18"/>
        </w:rPr>
        <w:t>. 12. 2014</w:t>
      </w:r>
    </w:p>
    <w:p w:rsidR="00A75862" w:rsidRPr="00D95A18" w:rsidRDefault="00A75862" w:rsidP="00CF4611">
      <w:pPr>
        <w:rPr>
          <w:i/>
          <w:sz w:val="18"/>
          <w:szCs w:val="18"/>
        </w:rPr>
      </w:pPr>
      <w:r w:rsidRPr="00D95A18">
        <w:rPr>
          <w:i/>
          <w:sz w:val="18"/>
          <w:szCs w:val="18"/>
        </w:rPr>
        <w:t xml:space="preserve">Kurz CZK/EUR: </w:t>
      </w:r>
      <w:r w:rsidR="00A2770E">
        <w:rPr>
          <w:i/>
          <w:sz w:val="18"/>
          <w:szCs w:val="18"/>
        </w:rPr>
        <w:t>27,728</w:t>
      </w:r>
    </w:p>
    <w:p w:rsidR="00D62FA6" w:rsidRDefault="00D62FA6" w:rsidP="00CF4611">
      <w:pPr>
        <w:jc w:val="both"/>
        <w:rPr>
          <w:i/>
          <w:color w:val="000000"/>
          <w:sz w:val="18"/>
          <w:szCs w:val="18"/>
        </w:rPr>
      </w:pPr>
      <w:r w:rsidRPr="000435AC">
        <w:rPr>
          <w:i/>
          <w:color w:val="000000"/>
          <w:sz w:val="18"/>
          <w:szCs w:val="18"/>
        </w:rPr>
        <w:t xml:space="preserve">Zdroj financování: </w:t>
      </w:r>
      <w:r w:rsidR="007C58F6">
        <w:rPr>
          <w:i/>
          <w:color w:val="000000"/>
          <w:sz w:val="18"/>
          <w:szCs w:val="18"/>
        </w:rPr>
        <w:t>p</w:t>
      </w:r>
      <w:r w:rsidRPr="000435AC">
        <w:rPr>
          <w:i/>
          <w:color w:val="000000"/>
          <w:sz w:val="18"/>
          <w:szCs w:val="18"/>
        </w:rPr>
        <w:t>odíl EU</w:t>
      </w:r>
      <w:r w:rsidR="00C65838">
        <w:rPr>
          <w:i/>
          <w:color w:val="000000"/>
          <w:sz w:val="18"/>
          <w:szCs w:val="18"/>
        </w:rPr>
        <w:t xml:space="preserve"> </w:t>
      </w:r>
      <w:r>
        <w:rPr>
          <w:i/>
          <w:color w:val="000000"/>
          <w:sz w:val="18"/>
          <w:szCs w:val="18"/>
        </w:rPr>
        <w:t>+</w:t>
      </w:r>
      <w:r w:rsidR="00C65838">
        <w:rPr>
          <w:i/>
          <w:color w:val="000000"/>
          <w:sz w:val="18"/>
          <w:szCs w:val="18"/>
        </w:rPr>
        <w:t xml:space="preserve"> </w:t>
      </w:r>
      <w:r w:rsidR="007C58F6">
        <w:rPr>
          <w:i/>
          <w:color w:val="000000"/>
          <w:sz w:val="18"/>
          <w:szCs w:val="18"/>
        </w:rPr>
        <w:t>n</w:t>
      </w:r>
      <w:r>
        <w:rPr>
          <w:i/>
          <w:color w:val="000000"/>
          <w:sz w:val="18"/>
          <w:szCs w:val="18"/>
        </w:rPr>
        <w:t>árodní veřejné zdroje</w:t>
      </w:r>
      <w:r w:rsidR="00C65838">
        <w:rPr>
          <w:i/>
          <w:color w:val="000000"/>
          <w:sz w:val="18"/>
          <w:szCs w:val="18"/>
        </w:rPr>
        <w:t xml:space="preserve"> </w:t>
      </w:r>
      <w:r>
        <w:rPr>
          <w:i/>
          <w:color w:val="000000"/>
          <w:sz w:val="18"/>
          <w:szCs w:val="18"/>
        </w:rPr>
        <w:t>+</w:t>
      </w:r>
      <w:r w:rsidR="00C65838">
        <w:rPr>
          <w:i/>
          <w:color w:val="000000"/>
          <w:sz w:val="18"/>
          <w:szCs w:val="18"/>
        </w:rPr>
        <w:t xml:space="preserve"> </w:t>
      </w:r>
      <w:r w:rsidR="007C58F6">
        <w:rPr>
          <w:i/>
          <w:color w:val="000000"/>
          <w:sz w:val="18"/>
          <w:szCs w:val="18"/>
        </w:rPr>
        <w:t>s</w:t>
      </w:r>
      <w:r>
        <w:rPr>
          <w:i/>
          <w:color w:val="000000"/>
          <w:sz w:val="18"/>
          <w:szCs w:val="18"/>
        </w:rPr>
        <w:t>oukromé výdaje</w:t>
      </w:r>
    </w:p>
    <w:p w:rsidR="0039119F" w:rsidRPr="00D95A18" w:rsidRDefault="0039119F" w:rsidP="00CF4611">
      <w:pPr>
        <w:jc w:val="both"/>
        <w:rPr>
          <w:sz w:val="22"/>
          <w:szCs w:val="22"/>
        </w:rPr>
      </w:pPr>
    </w:p>
    <w:p w:rsidR="00A75862" w:rsidRDefault="00A75862" w:rsidP="00184E0A">
      <w:pPr>
        <w:jc w:val="both"/>
        <w:rPr>
          <w:b/>
          <w:sz w:val="24"/>
          <w:szCs w:val="24"/>
        </w:rPr>
      </w:pPr>
    </w:p>
    <w:p w:rsidR="00A75862" w:rsidRDefault="00A75862" w:rsidP="008263BA">
      <w:pPr>
        <w:pStyle w:val="Tabulkanzev"/>
      </w:pPr>
      <w:bookmarkStart w:id="249" w:name="_Toc416431868"/>
      <w:r w:rsidRPr="009026D3">
        <w:t>F</w:t>
      </w:r>
      <w:r w:rsidR="004915B4">
        <w:t>inanční pokrok PO 6 k </w:t>
      </w:r>
      <w:bookmarkEnd w:id="249"/>
      <w:r w:rsidR="008263BA">
        <w:t>31. 12. 2014</w:t>
      </w:r>
    </w:p>
    <w:tbl>
      <w:tblPr>
        <w:tblW w:w="9139"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1285"/>
        <w:gridCol w:w="1341"/>
        <w:gridCol w:w="853"/>
        <w:gridCol w:w="1529"/>
        <w:gridCol w:w="894"/>
        <w:gridCol w:w="1341"/>
        <w:gridCol w:w="747"/>
      </w:tblGrid>
      <w:tr w:rsidR="004915B4" w:rsidRPr="00A04588" w:rsidTr="001352F9">
        <w:trPr>
          <w:trHeight w:val="745"/>
        </w:trPr>
        <w:tc>
          <w:tcPr>
            <w:tcW w:w="1149" w:type="dxa"/>
            <w:vMerge w:val="restart"/>
            <w:shd w:val="clear" w:color="000000" w:fill="C4D79B"/>
            <w:vAlign w:val="center"/>
            <w:hideMark/>
          </w:tcPr>
          <w:p w:rsidR="00A04588" w:rsidRPr="00A04588" w:rsidRDefault="00A04588" w:rsidP="004915B4">
            <w:pPr>
              <w:jc w:val="center"/>
              <w:rPr>
                <w:b/>
                <w:bCs/>
                <w:color w:val="000000"/>
                <w:sz w:val="16"/>
                <w:szCs w:val="16"/>
              </w:rPr>
            </w:pPr>
            <w:r w:rsidRPr="00A04588">
              <w:rPr>
                <w:b/>
                <w:bCs/>
                <w:color w:val="000000"/>
                <w:sz w:val="16"/>
                <w:szCs w:val="16"/>
              </w:rPr>
              <w:t>Oblast podpory</w:t>
            </w:r>
          </w:p>
        </w:tc>
        <w:tc>
          <w:tcPr>
            <w:tcW w:w="1285" w:type="dxa"/>
            <w:shd w:val="clear" w:color="000000" w:fill="C4D79B"/>
            <w:vAlign w:val="center"/>
            <w:hideMark/>
          </w:tcPr>
          <w:p w:rsidR="00A04588" w:rsidRPr="00A04588" w:rsidRDefault="00A04588" w:rsidP="004915B4">
            <w:pPr>
              <w:jc w:val="center"/>
              <w:rPr>
                <w:b/>
                <w:bCs/>
                <w:color w:val="000000"/>
                <w:sz w:val="16"/>
                <w:szCs w:val="16"/>
              </w:rPr>
            </w:pPr>
            <w:r w:rsidRPr="00A04588">
              <w:rPr>
                <w:b/>
                <w:bCs/>
                <w:color w:val="000000"/>
                <w:sz w:val="16"/>
                <w:szCs w:val="16"/>
              </w:rPr>
              <w:t>Alokace podpory 2007-2013</w:t>
            </w:r>
          </w:p>
        </w:tc>
        <w:tc>
          <w:tcPr>
            <w:tcW w:w="2194" w:type="dxa"/>
            <w:gridSpan w:val="2"/>
            <w:shd w:val="clear" w:color="000000" w:fill="C4D79B"/>
            <w:vAlign w:val="center"/>
            <w:hideMark/>
          </w:tcPr>
          <w:p w:rsidR="00A04588" w:rsidRPr="00A04588" w:rsidRDefault="00A04588" w:rsidP="004915B4">
            <w:pPr>
              <w:jc w:val="center"/>
              <w:rPr>
                <w:b/>
                <w:bCs/>
                <w:color w:val="000000"/>
                <w:sz w:val="16"/>
                <w:szCs w:val="16"/>
              </w:rPr>
            </w:pPr>
            <w:r w:rsidRPr="00A04588">
              <w:rPr>
                <w:b/>
                <w:bCs/>
                <w:color w:val="000000"/>
                <w:sz w:val="16"/>
                <w:szCs w:val="16"/>
              </w:rPr>
              <w:t>Prostředky kryté Rozhodnutím / Smlouvou (dodatkem)</w:t>
            </w:r>
          </w:p>
        </w:tc>
        <w:tc>
          <w:tcPr>
            <w:tcW w:w="2423" w:type="dxa"/>
            <w:gridSpan w:val="2"/>
            <w:shd w:val="clear" w:color="000000" w:fill="C4D79B"/>
            <w:vAlign w:val="center"/>
            <w:hideMark/>
          </w:tcPr>
          <w:p w:rsidR="00A04588" w:rsidRPr="00A04588" w:rsidRDefault="00A04588" w:rsidP="004915B4">
            <w:pPr>
              <w:jc w:val="center"/>
              <w:rPr>
                <w:b/>
                <w:bCs/>
                <w:color w:val="000000"/>
                <w:sz w:val="16"/>
                <w:szCs w:val="16"/>
              </w:rPr>
            </w:pPr>
            <w:r w:rsidRPr="00A04588">
              <w:rPr>
                <w:b/>
                <w:bCs/>
                <w:color w:val="000000"/>
                <w:sz w:val="16"/>
                <w:szCs w:val="16"/>
              </w:rPr>
              <w:t>Proplacené prostředky příjemcům (vyúčtované prostředky)</w:t>
            </w:r>
          </w:p>
        </w:tc>
        <w:tc>
          <w:tcPr>
            <w:tcW w:w="2088" w:type="dxa"/>
            <w:gridSpan w:val="2"/>
            <w:shd w:val="clear" w:color="000000" w:fill="C4D79B"/>
            <w:vAlign w:val="center"/>
            <w:hideMark/>
          </w:tcPr>
          <w:p w:rsidR="00A04588" w:rsidRPr="00A04588" w:rsidRDefault="00A04588" w:rsidP="004915B4">
            <w:pPr>
              <w:jc w:val="center"/>
              <w:rPr>
                <w:b/>
                <w:bCs/>
                <w:color w:val="000000"/>
                <w:sz w:val="16"/>
                <w:szCs w:val="16"/>
              </w:rPr>
            </w:pPr>
            <w:r w:rsidRPr="00A04588">
              <w:rPr>
                <w:b/>
                <w:bCs/>
                <w:color w:val="000000"/>
                <w:sz w:val="16"/>
                <w:szCs w:val="16"/>
              </w:rPr>
              <w:t>Certifikované prostředky (včetně vratek)</w:t>
            </w:r>
          </w:p>
        </w:tc>
      </w:tr>
      <w:tr w:rsidR="004915B4" w:rsidRPr="00A04588" w:rsidTr="001352F9">
        <w:trPr>
          <w:trHeight w:val="292"/>
        </w:trPr>
        <w:tc>
          <w:tcPr>
            <w:tcW w:w="1149" w:type="dxa"/>
            <w:vMerge/>
            <w:vAlign w:val="center"/>
            <w:hideMark/>
          </w:tcPr>
          <w:p w:rsidR="00A04588" w:rsidRPr="00A04588" w:rsidRDefault="00A04588" w:rsidP="004915B4">
            <w:pPr>
              <w:jc w:val="center"/>
              <w:rPr>
                <w:b/>
                <w:bCs/>
                <w:color w:val="000000"/>
                <w:sz w:val="16"/>
                <w:szCs w:val="16"/>
              </w:rPr>
            </w:pPr>
          </w:p>
        </w:tc>
        <w:tc>
          <w:tcPr>
            <w:tcW w:w="1285" w:type="dxa"/>
            <w:shd w:val="clear" w:color="000000" w:fill="C4D79B"/>
            <w:vAlign w:val="center"/>
            <w:hideMark/>
          </w:tcPr>
          <w:p w:rsidR="00A04588" w:rsidRPr="00A04588" w:rsidRDefault="00A04588" w:rsidP="004915B4">
            <w:pPr>
              <w:jc w:val="center"/>
              <w:rPr>
                <w:color w:val="000000"/>
                <w:sz w:val="18"/>
                <w:szCs w:val="18"/>
              </w:rPr>
            </w:pPr>
            <w:r w:rsidRPr="00A04588">
              <w:rPr>
                <w:color w:val="000000"/>
                <w:sz w:val="18"/>
                <w:szCs w:val="18"/>
              </w:rPr>
              <w:t>EUR</w:t>
            </w:r>
          </w:p>
        </w:tc>
        <w:tc>
          <w:tcPr>
            <w:tcW w:w="1341" w:type="dxa"/>
            <w:shd w:val="clear" w:color="000000" w:fill="C4D79B"/>
            <w:vAlign w:val="center"/>
            <w:hideMark/>
          </w:tcPr>
          <w:p w:rsidR="00A04588" w:rsidRPr="00A04588" w:rsidRDefault="00A04588" w:rsidP="004915B4">
            <w:pPr>
              <w:jc w:val="center"/>
              <w:rPr>
                <w:color w:val="000000"/>
                <w:sz w:val="18"/>
                <w:szCs w:val="18"/>
              </w:rPr>
            </w:pPr>
            <w:r w:rsidRPr="00A04588">
              <w:rPr>
                <w:color w:val="000000"/>
                <w:sz w:val="18"/>
                <w:szCs w:val="18"/>
              </w:rPr>
              <w:t>EUR</w:t>
            </w:r>
          </w:p>
        </w:tc>
        <w:tc>
          <w:tcPr>
            <w:tcW w:w="853" w:type="dxa"/>
            <w:shd w:val="clear" w:color="000000" w:fill="C4D79B"/>
            <w:vAlign w:val="center"/>
            <w:hideMark/>
          </w:tcPr>
          <w:p w:rsidR="00A04588" w:rsidRPr="00A04588" w:rsidRDefault="00A04588" w:rsidP="004915B4">
            <w:pPr>
              <w:jc w:val="center"/>
              <w:rPr>
                <w:color w:val="000000"/>
                <w:sz w:val="18"/>
                <w:szCs w:val="18"/>
              </w:rPr>
            </w:pPr>
            <w:r w:rsidRPr="00A04588">
              <w:rPr>
                <w:color w:val="000000"/>
                <w:sz w:val="18"/>
                <w:szCs w:val="18"/>
              </w:rPr>
              <w:t>%</w:t>
            </w:r>
          </w:p>
        </w:tc>
        <w:tc>
          <w:tcPr>
            <w:tcW w:w="1529" w:type="dxa"/>
            <w:shd w:val="clear" w:color="000000" w:fill="C4D79B"/>
            <w:vAlign w:val="center"/>
            <w:hideMark/>
          </w:tcPr>
          <w:p w:rsidR="00A04588" w:rsidRPr="00A04588" w:rsidRDefault="00A04588" w:rsidP="004915B4">
            <w:pPr>
              <w:jc w:val="center"/>
              <w:rPr>
                <w:color w:val="000000"/>
                <w:sz w:val="18"/>
                <w:szCs w:val="18"/>
              </w:rPr>
            </w:pPr>
            <w:r w:rsidRPr="00A04588">
              <w:rPr>
                <w:color w:val="000000"/>
                <w:sz w:val="18"/>
                <w:szCs w:val="18"/>
              </w:rPr>
              <w:t>EUR</w:t>
            </w:r>
          </w:p>
        </w:tc>
        <w:tc>
          <w:tcPr>
            <w:tcW w:w="894" w:type="dxa"/>
            <w:shd w:val="clear" w:color="000000" w:fill="C4D79B"/>
            <w:vAlign w:val="center"/>
            <w:hideMark/>
          </w:tcPr>
          <w:p w:rsidR="00A04588" w:rsidRPr="00A04588" w:rsidRDefault="00A04588" w:rsidP="004915B4">
            <w:pPr>
              <w:jc w:val="center"/>
              <w:rPr>
                <w:color w:val="000000"/>
                <w:sz w:val="18"/>
                <w:szCs w:val="18"/>
              </w:rPr>
            </w:pPr>
            <w:r w:rsidRPr="00A04588">
              <w:rPr>
                <w:color w:val="000000"/>
                <w:sz w:val="18"/>
                <w:szCs w:val="18"/>
              </w:rPr>
              <w:t>%</w:t>
            </w:r>
          </w:p>
        </w:tc>
        <w:tc>
          <w:tcPr>
            <w:tcW w:w="1341" w:type="dxa"/>
            <w:shd w:val="clear" w:color="000000" w:fill="C4D79B"/>
            <w:vAlign w:val="center"/>
            <w:hideMark/>
          </w:tcPr>
          <w:p w:rsidR="00A04588" w:rsidRPr="00A04588" w:rsidRDefault="00A04588" w:rsidP="004915B4">
            <w:pPr>
              <w:jc w:val="center"/>
              <w:rPr>
                <w:color w:val="000000"/>
                <w:sz w:val="18"/>
                <w:szCs w:val="18"/>
              </w:rPr>
            </w:pPr>
            <w:r w:rsidRPr="00A04588">
              <w:rPr>
                <w:color w:val="000000"/>
                <w:sz w:val="18"/>
                <w:szCs w:val="18"/>
              </w:rPr>
              <w:t>EUR</w:t>
            </w:r>
          </w:p>
        </w:tc>
        <w:tc>
          <w:tcPr>
            <w:tcW w:w="747" w:type="dxa"/>
            <w:shd w:val="clear" w:color="000000" w:fill="C4D79B"/>
            <w:vAlign w:val="center"/>
            <w:hideMark/>
          </w:tcPr>
          <w:p w:rsidR="00A04588" w:rsidRPr="00A04588" w:rsidRDefault="00A04588" w:rsidP="004915B4">
            <w:pPr>
              <w:jc w:val="center"/>
              <w:rPr>
                <w:color w:val="000000"/>
                <w:sz w:val="18"/>
                <w:szCs w:val="18"/>
              </w:rPr>
            </w:pPr>
            <w:r w:rsidRPr="00A04588">
              <w:rPr>
                <w:color w:val="000000"/>
                <w:sz w:val="18"/>
                <w:szCs w:val="18"/>
              </w:rPr>
              <w:t>%</w:t>
            </w:r>
          </w:p>
        </w:tc>
      </w:tr>
      <w:tr w:rsidR="004915B4" w:rsidRPr="00A04588" w:rsidTr="001352F9">
        <w:trPr>
          <w:trHeight w:val="292"/>
        </w:trPr>
        <w:tc>
          <w:tcPr>
            <w:tcW w:w="1149" w:type="dxa"/>
            <w:vMerge/>
            <w:vAlign w:val="center"/>
            <w:hideMark/>
          </w:tcPr>
          <w:p w:rsidR="00A04588" w:rsidRPr="00A04588" w:rsidRDefault="00A04588" w:rsidP="004915B4">
            <w:pPr>
              <w:jc w:val="center"/>
              <w:rPr>
                <w:b/>
                <w:bCs/>
                <w:color w:val="000000"/>
                <w:sz w:val="16"/>
                <w:szCs w:val="16"/>
              </w:rPr>
            </w:pPr>
          </w:p>
        </w:tc>
        <w:tc>
          <w:tcPr>
            <w:tcW w:w="1285" w:type="dxa"/>
            <w:shd w:val="clear" w:color="000000" w:fill="C4D79B"/>
            <w:vAlign w:val="center"/>
            <w:hideMark/>
          </w:tcPr>
          <w:p w:rsidR="00A04588" w:rsidRPr="00A04588" w:rsidRDefault="00A04588" w:rsidP="004915B4">
            <w:pPr>
              <w:jc w:val="center"/>
              <w:rPr>
                <w:b/>
                <w:bCs/>
                <w:color w:val="000000"/>
                <w:sz w:val="18"/>
                <w:szCs w:val="18"/>
              </w:rPr>
            </w:pPr>
            <w:r w:rsidRPr="00A04588">
              <w:rPr>
                <w:b/>
                <w:bCs/>
                <w:color w:val="000000"/>
                <w:sz w:val="18"/>
                <w:szCs w:val="18"/>
              </w:rPr>
              <w:t>a</w:t>
            </w:r>
          </w:p>
        </w:tc>
        <w:tc>
          <w:tcPr>
            <w:tcW w:w="1341" w:type="dxa"/>
            <w:shd w:val="clear" w:color="000000" w:fill="C4D79B"/>
            <w:vAlign w:val="center"/>
            <w:hideMark/>
          </w:tcPr>
          <w:p w:rsidR="00A04588" w:rsidRPr="00A04588" w:rsidRDefault="00A04588" w:rsidP="004915B4">
            <w:pPr>
              <w:jc w:val="center"/>
              <w:rPr>
                <w:b/>
                <w:bCs/>
                <w:color w:val="000000"/>
                <w:sz w:val="18"/>
                <w:szCs w:val="18"/>
              </w:rPr>
            </w:pPr>
            <w:r w:rsidRPr="00A04588">
              <w:rPr>
                <w:b/>
                <w:bCs/>
                <w:color w:val="000000"/>
                <w:sz w:val="18"/>
                <w:szCs w:val="18"/>
              </w:rPr>
              <w:t>b</w:t>
            </w:r>
          </w:p>
        </w:tc>
        <w:tc>
          <w:tcPr>
            <w:tcW w:w="853" w:type="dxa"/>
            <w:shd w:val="clear" w:color="000000" w:fill="C4D79B"/>
            <w:vAlign w:val="center"/>
            <w:hideMark/>
          </w:tcPr>
          <w:p w:rsidR="00A04588" w:rsidRPr="00A04588" w:rsidRDefault="00A04588" w:rsidP="004915B4">
            <w:pPr>
              <w:jc w:val="center"/>
              <w:rPr>
                <w:b/>
                <w:bCs/>
                <w:color w:val="000000"/>
                <w:sz w:val="18"/>
                <w:szCs w:val="18"/>
              </w:rPr>
            </w:pPr>
            <w:r w:rsidRPr="00A04588">
              <w:rPr>
                <w:b/>
                <w:bCs/>
                <w:color w:val="000000"/>
                <w:sz w:val="18"/>
                <w:szCs w:val="18"/>
              </w:rPr>
              <w:t>b/a</w:t>
            </w:r>
          </w:p>
        </w:tc>
        <w:tc>
          <w:tcPr>
            <w:tcW w:w="1529" w:type="dxa"/>
            <w:shd w:val="clear" w:color="000000" w:fill="C4D79B"/>
            <w:vAlign w:val="center"/>
            <w:hideMark/>
          </w:tcPr>
          <w:p w:rsidR="00A04588" w:rsidRPr="00A04588" w:rsidRDefault="00A04588" w:rsidP="004915B4">
            <w:pPr>
              <w:jc w:val="center"/>
              <w:rPr>
                <w:b/>
                <w:bCs/>
                <w:color w:val="000000"/>
                <w:sz w:val="18"/>
                <w:szCs w:val="18"/>
              </w:rPr>
            </w:pPr>
            <w:r w:rsidRPr="00A04588">
              <w:rPr>
                <w:b/>
                <w:bCs/>
                <w:color w:val="000000"/>
                <w:sz w:val="18"/>
                <w:szCs w:val="18"/>
              </w:rPr>
              <w:t>c</w:t>
            </w:r>
          </w:p>
        </w:tc>
        <w:tc>
          <w:tcPr>
            <w:tcW w:w="894" w:type="dxa"/>
            <w:shd w:val="clear" w:color="000000" w:fill="C4D79B"/>
            <w:vAlign w:val="center"/>
            <w:hideMark/>
          </w:tcPr>
          <w:p w:rsidR="00A04588" w:rsidRPr="00A04588" w:rsidRDefault="00A04588" w:rsidP="004915B4">
            <w:pPr>
              <w:jc w:val="center"/>
              <w:rPr>
                <w:b/>
                <w:bCs/>
                <w:color w:val="000000"/>
                <w:sz w:val="18"/>
                <w:szCs w:val="18"/>
              </w:rPr>
            </w:pPr>
            <w:r w:rsidRPr="00A04588">
              <w:rPr>
                <w:b/>
                <w:bCs/>
                <w:color w:val="000000"/>
                <w:sz w:val="18"/>
                <w:szCs w:val="18"/>
              </w:rPr>
              <w:t>c/a</w:t>
            </w:r>
          </w:p>
        </w:tc>
        <w:tc>
          <w:tcPr>
            <w:tcW w:w="1341" w:type="dxa"/>
            <w:shd w:val="clear" w:color="000000" w:fill="C4D79B"/>
            <w:vAlign w:val="center"/>
            <w:hideMark/>
          </w:tcPr>
          <w:p w:rsidR="00A04588" w:rsidRPr="00A04588" w:rsidRDefault="00A04588" w:rsidP="004915B4">
            <w:pPr>
              <w:jc w:val="center"/>
              <w:rPr>
                <w:b/>
                <w:bCs/>
                <w:color w:val="000000"/>
                <w:sz w:val="18"/>
                <w:szCs w:val="18"/>
              </w:rPr>
            </w:pPr>
            <w:r w:rsidRPr="00A04588">
              <w:rPr>
                <w:b/>
                <w:bCs/>
                <w:color w:val="000000"/>
                <w:sz w:val="18"/>
                <w:szCs w:val="18"/>
              </w:rPr>
              <w:t>d</w:t>
            </w:r>
          </w:p>
        </w:tc>
        <w:tc>
          <w:tcPr>
            <w:tcW w:w="747" w:type="dxa"/>
            <w:shd w:val="clear" w:color="000000" w:fill="C4D79B"/>
            <w:vAlign w:val="center"/>
            <w:hideMark/>
          </w:tcPr>
          <w:p w:rsidR="00A04588" w:rsidRPr="00A04588" w:rsidRDefault="00A04588" w:rsidP="004915B4">
            <w:pPr>
              <w:jc w:val="center"/>
              <w:rPr>
                <w:b/>
                <w:bCs/>
                <w:color w:val="000000"/>
                <w:sz w:val="18"/>
                <w:szCs w:val="18"/>
              </w:rPr>
            </w:pPr>
            <w:r w:rsidRPr="00A04588">
              <w:rPr>
                <w:b/>
                <w:bCs/>
                <w:color w:val="000000"/>
                <w:sz w:val="18"/>
                <w:szCs w:val="18"/>
              </w:rPr>
              <w:t>d/a</w:t>
            </w:r>
          </w:p>
        </w:tc>
      </w:tr>
      <w:tr w:rsidR="004915B4" w:rsidRPr="00A04588" w:rsidTr="001352F9">
        <w:trPr>
          <w:trHeight w:val="292"/>
        </w:trPr>
        <w:tc>
          <w:tcPr>
            <w:tcW w:w="1149" w:type="dxa"/>
            <w:shd w:val="clear" w:color="000000" w:fill="FFFFFF"/>
            <w:vAlign w:val="center"/>
            <w:hideMark/>
          </w:tcPr>
          <w:p w:rsidR="00A04588" w:rsidRPr="00A04588" w:rsidRDefault="00A04588" w:rsidP="004915B4">
            <w:pPr>
              <w:jc w:val="center"/>
              <w:rPr>
                <w:color w:val="000000"/>
                <w:sz w:val="18"/>
                <w:szCs w:val="18"/>
              </w:rPr>
            </w:pPr>
            <w:r w:rsidRPr="00A04588">
              <w:rPr>
                <w:color w:val="000000"/>
                <w:sz w:val="18"/>
                <w:szCs w:val="18"/>
              </w:rPr>
              <w:t>6.1a</w:t>
            </w:r>
          </w:p>
        </w:tc>
        <w:tc>
          <w:tcPr>
            <w:tcW w:w="1285"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27 177 687</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28 781 894</w:t>
            </w:r>
          </w:p>
        </w:tc>
        <w:tc>
          <w:tcPr>
            <w:tcW w:w="853"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105,9%</w:t>
            </w:r>
          </w:p>
        </w:tc>
        <w:tc>
          <w:tcPr>
            <w:tcW w:w="1529"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21 474 152</w:t>
            </w:r>
          </w:p>
        </w:tc>
        <w:tc>
          <w:tcPr>
            <w:tcW w:w="894"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79,0%</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20 369 911</w:t>
            </w:r>
          </w:p>
        </w:tc>
        <w:tc>
          <w:tcPr>
            <w:tcW w:w="747"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75,0%</w:t>
            </w:r>
          </w:p>
        </w:tc>
      </w:tr>
      <w:tr w:rsidR="004915B4" w:rsidRPr="00A04588" w:rsidTr="001352F9">
        <w:trPr>
          <w:trHeight w:val="292"/>
        </w:trPr>
        <w:tc>
          <w:tcPr>
            <w:tcW w:w="1149" w:type="dxa"/>
            <w:shd w:val="clear" w:color="000000" w:fill="FFFFFF"/>
            <w:vAlign w:val="center"/>
            <w:hideMark/>
          </w:tcPr>
          <w:p w:rsidR="00A04588" w:rsidRPr="00A04588" w:rsidRDefault="00A04588" w:rsidP="004915B4">
            <w:pPr>
              <w:jc w:val="center"/>
              <w:rPr>
                <w:color w:val="000000"/>
                <w:sz w:val="18"/>
                <w:szCs w:val="18"/>
              </w:rPr>
            </w:pPr>
            <w:r w:rsidRPr="00A04588">
              <w:rPr>
                <w:color w:val="000000"/>
                <w:sz w:val="18"/>
                <w:szCs w:val="18"/>
              </w:rPr>
              <w:t>6.2a</w:t>
            </w:r>
          </w:p>
        </w:tc>
        <w:tc>
          <w:tcPr>
            <w:tcW w:w="1285"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6 897 100</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7 040 213</w:t>
            </w:r>
          </w:p>
        </w:tc>
        <w:tc>
          <w:tcPr>
            <w:tcW w:w="853"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102,1%</w:t>
            </w:r>
          </w:p>
        </w:tc>
        <w:tc>
          <w:tcPr>
            <w:tcW w:w="1529"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3 901 724</w:t>
            </w:r>
          </w:p>
        </w:tc>
        <w:tc>
          <w:tcPr>
            <w:tcW w:w="894"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56,6%</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3 838 911</w:t>
            </w:r>
          </w:p>
        </w:tc>
        <w:tc>
          <w:tcPr>
            <w:tcW w:w="747"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55,7%</w:t>
            </w:r>
          </w:p>
        </w:tc>
      </w:tr>
      <w:tr w:rsidR="004915B4" w:rsidRPr="00A04588" w:rsidTr="001352F9">
        <w:trPr>
          <w:trHeight w:val="292"/>
        </w:trPr>
        <w:tc>
          <w:tcPr>
            <w:tcW w:w="1149" w:type="dxa"/>
            <w:shd w:val="clear" w:color="000000" w:fill="D9D9D9"/>
            <w:vAlign w:val="center"/>
            <w:hideMark/>
          </w:tcPr>
          <w:p w:rsidR="00A04588" w:rsidRPr="00A04588" w:rsidRDefault="00A04588" w:rsidP="004915B4">
            <w:pPr>
              <w:jc w:val="center"/>
              <w:rPr>
                <w:b/>
                <w:bCs/>
                <w:color w:val="000000"/>
                <w:sz w:val="18"/>
                <w:szCs w:val="18"/>
              </w:rPr>
            </w:pPr>
            <w:proofErr w:type="gramStart"/>
            <w:r w:rsidRPr="00A04588">
              <w:rPr>
                <w:b/>
                <w:bCs/>
                <w:color w:val="000000"/>
                <w:sz w:val="18"/>
                <w:szCs w:val="18"/>
              </w:rPr>
              <w:t>Celkem 6.a</w:t>
            </w:r>
            <w:proofErr w:type="gramEnd"/>
          </w:p>
        </w:tc>
        <w:tc>
          <w:tcPr>
            <w:tcW w:w="1285"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34 074 787</w:t>
            </w:r>
          </w:p>
        </w:tc>
        <w:tc>
          <w:tcPr>
            <w:tcW w:w="1341"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35 822 107</w:t>
            </w:r>
          </w:p>
        </w:tc>
        <w:tc>
          <w:tcPr>
            <w:tcW w:w="853"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105,1%</w:t>
            </w:r>
          </w:p>
        </w:tc>
        <w:tc>
          <w:tcPr>
            <w:tcW w:w="1529"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25 375 875</w:t>
            </w:r>
          </w:p>
        </w:tc>
        <w:tc>
          <w:tcPr>
            <w:tcW w:w="894"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74,5%</w:t>
            </w:r>
          </w:p>
        </w:tc>
        <w:tc>
          <w:tcPr>
            <w:tcW w:w="1341"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24 208 822</w:t>
            </w:r>
          </w:p>
        </w:tc>
        <w:tc>
          <w:tcPr>
            <w:tcW w:w="747"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71,0%</w:t>
            </w:r>
          </w:p>
        </w:tc>
      </w:tr>
      <w:tr w:rsidR="004915B4" w:rsidRPr="00A04588" w:rsidTr="001352F9">
        <w:trPr>
          <w:trHeight w:val="292"/>
        </w:trPr>
        <w:tc>
          <w:tcPr>
            <w:tcW w:w="1149" w:type="dxa"/>
            <w:shd w:val="clear" w:color="000000" w:fill="FFFFFF"/>
            <w:vAlign w:val="center"/>
            <w:hideMark/>
          </w:tcPr>
          <w:p w:rsidR="00A04588" w:rsidRPr="00A04588" w:rsidRDefault="00A04588" w:rsidP="004915B4">
            <w:pPr>
              <w:jc w:val="center"/>
              <w:rPr>
                <w:color w:val="000000"/>
                <w:sz w:val="18"/>
                <w:szCs w:val="18"/>
              </w:rPr>
            </w:pPr>
            <w:r w:rsidRPr="00A04588">
              <w:rPr>
                <w:color w:val="000000"/>
                <w:sz w:val="18"/>
                <w:szCs w:val="18"/>
              </w:rPr>
              <w:t>6.1b</w:t>
            </w:r>
          </w:p>
        </w:tc>
        <w:tc>
          <w:tcPr>
            <w:tcW w:w="1285"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499 612</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529 149</w:t>
            </w:r>
          </w:p>
        </w:tc>
        <w:tc>
          <w:tcPr>
            <w:tcW w:w="853"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105,9%</w:t>
            </w:r>
          </w:p>
        </w:tc>
        <w:tc>
          <w:tcPr>
            <w:tcW w:w="1529"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394 894</w:t>
            </w:r>
          </w:p>
        </w:tc>
        <w:tc>
          <w:tcPr>
            <w:tcW w:w="894"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79,0%</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374 592</w:t>
            </w:r>
          </w:p>
        </w:tc>
        <w:tc>
          <w:tcPr>
            <w:tcW w:w="747"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75,0%</w:t>
            </w:r>
          </w:p>
        </w:tc>
      </w:tr>
      <w:tr w:rsidR="004915B4" w:rsidRPr="00A04588" w:rsidTr="001352F9">
        <w:trPr>
          <w:trHeight w:val="292"/>
        </w:trPr>
        <w:tc>
          <w:tcPr>
            <w:tcW w:w="1149" w:type="dxa"/>
            <w:shd w:val="clear" w:color="000000" w:fill="FFFFFF"/>
            <w:vAlign w:val="center"/>
            <w:hideMark/>
          </w:tcPr>
          <w:p w:rsidR="00A04588" w:rsidRPr="00A04588" w:rsidRDefault="00A04588" w:rsidP="004915B4">
            <w:pPr>
              <w:jc w:val="center"/>
              <w:rPr>
                <w:color w:val="000000"/>
                <w:sz w:val="18"/>
                <w:szCs w:val="18"/>
              </w:rPr>
            </w:pPr>
            <w:r w:rsidRPr="00A04588">
              <w:rPr>
                <w:color w:val="000000"/>
                <w:sz w:val="18"/>
                <w:szCs w:val="18"/>
              </w:rPr>
              <w:t>6.2b</w:t>
            </w:r>
          </w:p>
        </w:tc>
        <w:tc>
          <w:tcPr>
            <w:tcW w:w="1285"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126 816</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129 433</w:t>
            </w:r>
          </w:p>
        </w:tc>
        <w:tc>
          <w:tcPr>
            <w:tcW w:w="853"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102,1%</w:t>
            </w:r>
          </w:p>
        </w:tc>
        <w:tc>
          <w:tcPr>
            <w:tcW w:w="1529"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71 763</w:t>
            </w:r>
          </w:p>
        </w:tc>
        <w:tc>
          <w:tcPr>
            <w:tcW w:w="894"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56,6%</w:t>
            </w:r>
          </w:p>
        </w:tc>
        <w:tc>
          <w:tcPr>
            <w:tcW w:w="1341"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70 600</w:t>
            </w:r>
          </w:p>
        </w:tc>
        <w:tc>
          <w:tcPr>
            <w:tcW w:w="747" w:type="dxa"/>
            <w:shd w:val="clear" w:color="000000" w:fill="FFFFFF"/>
            <w:noWrap/>
            <w:vAlign w:val="center"/>
            <w:hideMark/>
          </w:tcPr>
          <w:p w:rsidR="00A04588" w:rsidRPr="00A04588" w:rsidRDefault="00A04588" w:rsidP="004915B4">
            <w:pPr>
              <w:jc w:val="center"/>
              <w:rPr>
                <w:color w:val="000000"/>
                <w:sz w:val="18"/>
                <w:szCs w:val="18"/>
              </w:rPr>
            </w:pPr>
            <w:r w:rsidRPr="00A04588">
              <w:rPr>
                <w:color w:val="000000"/>
                <w:sz w:val="18"/>
                <w:szCs w:val="18"/>
              </w:rPr>
              <w:t>55,7%</w:t>
            </w:r>
          </w:p>
        </w:tc>
      </w:tr>
      <w:tr w:rsidR="004915B4" w:rsidRPr="00A04588" w:rsidTr="001352F9">
        <w:trPr>
          <w:trHeight w:val="292"/>
        </w:trPr>
        <w:tc>
          <w:tcPr>
            <w:tcW w:w="1149" w:type="dxa"/>
            <w:shd w:val="clear" w:color="000000" w:fill="D9D9D9"/>
            <w:vAlign w:val="center"/>
            <w:hideMark/>
          </w:tcPr>
          <w:p w:rsidR="00A04588" w:rsidRPr="00A04588" w:rsidRDefault="00A04588" w:rsidP="004915B4">
            <w:pPr>
              <w:jc w:val="center"/>
              <w:rPr>
                <w:b/>
                <w:bCs/>
                <w:color w:val="000000"/>
                <w:sz w:val="18"/>
                <w:szCs w:val="18"/>
              </w:rPr>
            </w:pPr>
            <w:proofErr w:type="gramStart"/>
            <w:r w:rsidRPr="00A04588">
              <w:rPr>
                <w:b/>
                <w:bCs/>
                <w:color w:val="000000"/>
                <w:sz w:val="18"/>
                <w:szCs w:val="18"/>
              </w:rPr>
              <w:t>Celkem 6.b</w:t>
            </w:r>
            <w:proofErr w:type="gramEnd"/>
          </w:p>
        </w:tc>
        <w:tc>
          <w:tcPr>
            <w:tcW w:w="1285"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626 428</w:t>
            </w:r>
          </w:p>
        </w:tc>
        <w:tc>
          <w:tcPr>
            <w:tcW w:w="1341"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658 583</w:t>
            </w:r>
          </w:p>
        </w:tc>
        <w:tc>
          <w:tcPr>
            <w:tcW w:w="853"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105,1%</w:t>
            </w:r>
          </w:p>
        </w:tc>
        <w:tc>
          <w:tcPr>
            <w:tcW w:w="1529"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466 657</w:t>
            </w:r>
          </w:p>
        </w:tc>
        <w:tc>
          <w:tcPr>
            <w:tcW w:w="894"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74,5%</w:t>
            </w:r>
          </w:p>
        </w:tc>
        <w:tc>
          <w:tcPr>
            <w:tcW w:w="1341"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445 192</w:t>
            </w:r>
          </w:p>
        </w:tc>
        <w:tc>
          <w:tcPr>
            <w:tcW w:w="747" w:type="dxa"/>
            <w:shd w:val="clear" w:color="000000" w:fill="D9D9D9"/>
            <w:noWrap/>
            <w:vAlign w:val="center"/>
            <w:hideMark/>
          </w:tcPr>
          <w:p w:rsidR="00A04588" w:rsidRPr="00A04588" w:rsidRDefault="00A04588" w:rsidP="004915B4">
            <w:pPr>
              <w:jc w:val="center"/>
              <w:rPr>
                <w:b/>
                <w:bCs/>
                <w:color w:val="000000"/>
                <w:sz w:val="18"/>
                <w:szCs w:val="18"/>
              </w:rPr>
            </w:pPr>
            <w:r w:rsidRPr="00A04588">
              <w:rPr>
                <w:b/>
                <w:bCs/>
                <w:color w:val="000000"/>
                <w:sz w:val="18"/>
                <w:szCs w:val="18"/>
              </w:rPr>
              <w:t>71,1%</w:t>
            </w:r>
          </w:p>
        </w:tc>
      </w:tr>
    </w:tbl>
    <w:p w:rsidR="00A75862" w:rsidRPr="00D95A18" w:rsidRDefault="00A75862" w:rsidP="00CF4611">
      <w:pPr>
        <w:spacing w:before="60"/>
        <w:rPr>
          <w:i/>
          <w:sz w:val="18"/>
          <w:szCs w:val="18"/>
        </w:rPr>
      </w:pPr>
      <w:r w:rsidRPr="00D95A18">
        <w:rPr>
          <w:i/>
          <w:sz w:val="18"/>
          <w:szCs w:val="18"/>
        </w:rPr>
        <w:t xml:space="preserve">Zdroj: MSC2007 ke dni </w:t>
      </w:r>
      <w:r w:rsidR="0005371D">
        <w:rPr>
          <w:i/>
          <w:sz w:val="18"/>
          <w:szCs w:val="18"/>
        </w:rPr>
        <w:t>31</w:t>
      </w:r>
      <w:r w:rsidR="0005371D" w:rsidRPr="00D95A18">
        <w:rPr>
          <w:i/>
          <w:sz w:val="18"/>
          <w:szCs w:val="18"/>
        </w:rPr>
        <w:t>. 12. 2014</w:t>
      </w:r>
    </w:p>
    <w:p w:rsidR="00A75862" w:rsidRDefault="00A75862" w:rsidP="00CF4611">
      <w:pPr>
        <w:rPr>
          <w:i/>
          <w:sz w:val="18"/>
          <w:szCs w:val="18"/>
        </w:rPr>
      </w:pPr>
      <w:r w:rsidRPr="00D95A18">
        <w:rPr>
          <w:i/>
          <w:sz w:val="18"/>
          <w:szCs w:val="18"/>
        </w:rPr>
        <w:t xml:space="preserve">Kurz CZK/EUR: </w:t>
      </w:r>
      <w:r w:rsidR="004915B4">
        <w:rPr>
          <w:i/>
          <w:sz w:val="18"/>
          <w:szCs w:val="18"/>
        </w:rPr>
        <w:t>27,728</w:t>
      </w:r>
    </w:p>
    <w:p w:rsidR="00327002" w:rsidRDefault="007C58F6" w:rsidP="00CF4611">
      <w:pPr>
        <w:jc w:val="both"/>
        <w:rPr>
          <w:i/>
          <w:color w:val="000000"/>
          <w:sz w:val="18"/>
          <w:szCs w:val="18"/>
        </w:rPr>
      </w:pPr>
      <w:r>
        <w:rPr>
          <w:i/>
          <w:color w:val="000000"/>
          <w:sz w:val="18"/>
          <w:szCs w:val="18"/>
        </w:rPr>
        <w:t>Zdroj financování: p</w:t>
      </w:r>
      <w:r w:rsidR="00327002" w:rsidRPr="000435AC">
        <w:rPr>
          <w:i/>
          <w:color w:val="000000"/>
          <w:sz w:val="18"/>
          <w:szCs w:val="18"/>
        </w:rPr>
        <w:t xml:space="preserve">odíl EU </w:t>
      </w:r>
    </w:p>
    <w:p w:rsidR="00187DA5" w:rsidRDefault="00187DA5" w:rsidP="00184E0A">
      <w:pPr>
        <w:jc w:val="both"/>
        <w:rPr>
          <w:b/>
          <w:sz w:val="24"/>
          <w:szCs w:val="24"/>
        </w:rPr>
      </w:pPr>
    </w:p>
    <w:p w:rsidR="00FC3458" w:rsidRDefault="00FC3458" w:rsidP="00184E0A">
      <w:pPr>
        <w:jc w:val="both"/>
        <w:rPr>
          <w:b/>
          <w:sz w:val="24"/>
          <w:szCs w:val="24"/>
        </w:rPr>
      </w:pPr>
    </w:p>
    <w:p w:rsidR="00FC3458" w:rsidRDefault="00FC3458" w:rsidP="00184E0A">
      <w:pPr>
        <w:jc w:val="both"/>
        <w:rPr>
          <w:b/>
          <w:sz w:val="24"/>
          <w:szCs w:val="24"/>
        </w:rPr>
      </w:pPr>
    </w:p>
    <w:p w:rsidR="00FC3458" w:rsidRDefault="00FC3458" w:rsidP="00184E0A">
      <w:pPr>
        <w:jc w:val="both"/>
        <w:rPr>
          <w:b/>
          <w:sz w:val="24"/>
          <w:szCs w:val="24"/>
        </w:rPr>
      </w:pPr>
    </w:p>
    <w:p w:rsidR="00FC3458" w:rsidRDefault="00FC3458" w:rsidP="00184E0A">
      <w:pPr>
        <w:jc w:val="both"/>
        <w:rPr>
          <w:b/>
          <w:sz w:val="24"/>
          <w:szCs w:val="24"/>
        </w:rPr>
      </w:pPr>
    </w:p>
    <w:p w:rsidR="00FC3458" w:rsidRDefault="00FC3458" w:rsidP="00184E0A">
      <w:pPr>
        <w:jc w:val="both"/>
        <w:rPr>
          <w:b/>
          <w:sz w:val="24"/>
          <w:szCs w:val="24"/>
        </w:rPr>
      </w:pPr>
    </w:p>
    <w:p w:rsidR="00FC3458" w:rsidRDefault="00FC3458" w:rsidP="00184E0A">
      <w:pPr>
        <w:jc w:val="both"/>
        <w:rPr>
          <w:b/>
          <w:sz w:val="24"/>
          <w:szCs w:val="24"/>
        </w:rPr>
      </w:pPr>
    </w:p>
    <w:p w:rsidR="0005371D" w:rsidRDefault="0005371D" w:rsidP="00184E0A">
      <w:pPr>
        <w:jc w:val="both"/>
        <w:rPr>
          <w:b/>
          <w:sz w:val="24"/>
          <w:szCs w:val="24"/>
        </w:rPr>
      </w:pPr>
    </w:p>
    <w:p w:rsidR="006767E5" w:rsidRDefault="006767E5" w:rsidP="00184E0A">
      <w:pPr>
        <w:jc w:val="both"/>
        <w:rPr>
          <w:sz w:val="22"/>
          <w:szCs w:val="22"/>
          <w:u w:val="single"/>
        </w:rPr>
      </w:pPr>
    </w:p>
    <w:p w:rsidR="00A75862" w:rsidRPr="00555962" w:rsidRDefault="00A75862" w:rsidP="00184E0A">
      <w:pPr>
        <w:jc w:val="both"/>
        <w:rPr>
          <w:sz w:val="22"/>
          <w:szCs w:val="22"/>
          <w:u w:val="single"/>
        </w:rPr>
      </w:pPr>
      <w:r w:rsidRPr="00555962">
        <w:rPr>
          <w:sz w:val="22"/>
          <w:szCs w:val="22"/>
          <w:u w:val="single"/>
        </w:rPr>
        <w:lastRenderedPageBreak/>
        <w:t>Statistika vyřazování projektů</w:t>
      </w:r>
    </w:p>
    <w:p w:rsidR="00A75862" w:rsidRDefault="00DA09C6" w:rsidP="00DA45CD">
      <w:pPr>
        <w:spacing w:after="120"/>
        <w:rPr>
          <w:sz w:val="22"/>
          <w:szCs w:val="22"/>
        </w:rPr>
      </w:pPr>
      <w:r w:rsidRPr="00555962">
        <w:rPr>
          <w:b/>
          <w:sz w:val="22"/>
          <w:szCs w:val="22"/>
        </w:rPr>
        <w:t>V oblasti intervence 6.1</w:t>
      </w:r>
      <w:r w:rsidRPr="00555962">
        <w:rPr>
          <w:sz w:val="22"/>
          <w:szCs w:val="22"/>
        </w:rPr>
        <w:t xml:space="preserve"> v roce 201</w:t>
      </w:r>
      <w:r>
        <w:rPr>
          <w:sz w:val="22"/>
          <w:szCs w:val="22"/>
        </w:rPr>
        <w:t>4</w:t>
      </w:r>
      <w:r w:rsidRPr="00555962">
        <w:rPr>
          <w:sz w:val="22"/>
          <w:szCs w:val="22"/>
        </w:rPr>
        <w:t xml:space="preserve"> nebyl stažen nebo vyřazen jediný projekt. </w:t>
      </w:r>
    </w:p>
    <w:p w:rsidR="00635B5D" w:rsidRDefault="00635B5D" w:rsidP="00635B5D">
      <w:pPr>
        <w:jc w:val="both"/>
        <w:rPr>
          <w:sz w:val="22"/>
          <w:szCs w:val="22"/>
          <w:u w:val="single"/>
        </w:rPr>
      </w:pPr>
    </w:p>
    <w:p w:rsidR="00635B5D" w:rsidRDefault="00635B5D" w:rsidP="008263BA">
      <w:pPr>
        <w:pStyle w:val="Tabulkanzev"/>
      </w:pPr>
      <w:bookmarkStart w:id="250" w:name="_Toc416431869"/>
      <w:r w:rsidRPr="005656F9">
        <w:t>Tabulka vyřazování projektů</w:t>
      </w:r>
      <w:r w:rsidR="00C03216">
        <w:t xml:space="preserve"> v oblasti intervence 6.1</w:t>
      </w:r>
      <w:bookmarkEnd w:id="250"/>
    </w:p>
    <w:tbl>
      <w:tblPr>
        <w:tblW w:w="9085"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982"/>
        <w:gridCol w:w="1276"/>
        <w:gridCol w:w="1276"/>
        <w:gridCol w:w="1559"/>
        <w:gridCol w:w="992"/>
      </w:tblGrid>
      <w:tr w:rsidR="00DA09C6" w:rsidRPr="00257754" w:rsidTr="00DA09C6">
        <w:trPr>
          <w:trHeight w:val="300"/>
        </w:trPr>
        <w:tc>
          <w:tcPr>
            <w:tcW w:w="9085" w:type="dxa"/>
            <w:gridSpan w:val="5"/>
            <w:shd w:val="clear" w:color="auto" w:fill="C2D69B" w:themeFill="accent3" w:themeFillTint="99"/>
            <w:noWrap/>
            <w:vAlign w:val="center"/>
            <w:hideMark/>
          </w:tcPr>
          <w:p w:rsidR="00DA09C6" w:rsidRPr="00EE47FF" w:rsidRDefault="00DA09C6" w:rsidP="009D2783">
            <w:pPr>
              <w:jc w:val="center"/>
              <w:rPr>
                <w:b/>
                <w:bCs/>
              </w:rPr>
            </w:pPr>
            <w:r w:rsidRPr="00EE47FF">
              <w:rPr>
                <w:b/>
                <w:bCs/>
              </w:rPr>
              <w:t>Oblast podpory 6.1</w:t>
            </w:r>
          </w:p>
        </w:tc>
      </w:tr>
      <w:tr w:rsidR="00DA09C6" w:rsidRPr="00257754" w:rsidTr="00DA09C6">
        <w:trPr>
          <w:trHeight w:val="760"/>
        </w:trPr>
        <w:tc>
          <w:tcPr>
            <w:tcW w:w="3982" w:type="dxa"/>
            <w:shd w:val="clear" w:color="auto" w:fill="C2D69B" w:themeFill="accent3" w:themeFillTint="99"/>
            <w:noWrap/>
            <w:vAlign w:val="center"/>
          </w:tcPr>
          <w:p w:rsidR="00DA09C6" w:rsidRPr="00257754" w:rsidRDefault="00DA09C6" w:rsidP="009D2783">
            <w:pPr>
              <w:jc w:val="center"/>
              <w:rPr>
                <w:b/>
                <w:bCs/>
                <w:sz w:val="16"/>
                <w:szCs w:val="16"/>
              </w:rPr>
            </w:pPr>
            <w:r w:rsidRPr="00257754">
              <w:rPr>
                <w:b/>
                <w:bCs/>
                <w:sz w:val="16"/>
                <w:szCs w:val="16"/>
              </w:rPr>
              <w:t>Stav projektů</w:t>
            </w:r>
          </w:p>
        </w:tc>
        <w:tc>
          <w:tcPr>
            <w:tcW w:w="1276"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Počet projektů vyřazených za oblast podpory</w:t>
            </w:r>
          </w:p>
        </w:tc>
        <w:tc>
          <w:tcPr>
            <w:tcW w:w="1276"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Podíl vyřazených projektů za oblast podpory</w:t>
            </w:r>
          </w:p>
        </w:tc>
        <w:tc>
          <w:tcPr>
            <w:tcW w:w="1559"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Srovnávací hodnota podílu vyřazených projektů za celý program</w:t>
            </w:r>
          </w:p>
        </w:tc>
        <w:tc>
          <w:tcPr>
            <w:tcW w:w="992"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Počet</w:t>
            </w:r>
            <w:r>
              <w:rPr>
                <w:b/>
                <w:bCs/>
                <w:sz w:val="16"/>
                <w:szCs w:val="16"/>
              </w:rPr>
              <w:t xml:space="preserve"> vyřazených projektů za rok 2014</w:t>
            </w:r>
          </w:p>
        </w:tc>
      </w:tr>
      <w:tr w:rsidR="00DA09C6" w:rsidRPr="00257754" w:rsidTr="009D2783">
        <w:trPr>
          <w:trHeight w:val="416"/>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N1.1 Projektová žádost nesplnila alespoň jedno kritérium přijatelnosti</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1,59%</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267"/>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N1.2 Projektová žádost nesplnila formální náležitosti</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0,75%</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270"/>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N2.1 Projekt nesplnil podmínky hodnocení</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3,07%</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403"/>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N2.2 Odeslán dopis o vyřazení projektové žádosti na základě ex-ante kontroly</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0,30%</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280"/>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N2.3 Projekt nedoporučen k financování výběrovou komisí</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0,47%</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412"/>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N4.1 Vydání rozhodnutí o poskytnutí dotace/stanovení výdajů zamítnuto</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0,03%</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263"/>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N5 Projektová žádost stažena žadatelem</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3,43%</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266"/>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N7 Projekt nedokončen/stažen</w:t>
            </w:r>
          </w:p>
        </w:tc>
        <w:tc>
          <w:tcPr>
            <w:tcW w:w="1276" w:type="dxa"/>
            <w:shd w:val="clear" w:color="000000" w:fill="auto"/>
            <w:noWrap/>
            <w:vAlign w:val="center"/>
          </w:tcPr>
          <w:p w:rsidR="00DA09C6" w:rsidRPr="00EE47FF" w:rsidRDefault="00DA09C6" w:rsidP="00EE47FF">
            <w:pPr>
              <w:jc w:val="center"/>
              <w:rPr>
                <w:bCs/>
              </w:rPr>
            </w:pPr>
            <w:r w:rsidRPr="00EE47FF">
              <w:rPr>
                <w:bCs/>
              </w:rPr>
              <w:t>2</w:t>
            </w:r>
          </w:p>
        </w:tc>
        <w:tc>
          <w:tcPr>
            <w:tcW w:w="1276" w:type="dxa"/>
            <w:shd w:val="clear" w:color="000000" w:fill="auto"/>
            <w:noWrap/>
            <w:vAlign w:val="center"/>
          </w:tcPr>
          <w:p w:rsidR="00DA09C6" w:rsidRPr="00EE47FF" w:rsidRDefault="00DA09C6" w:rsidP="00EE47FF">
            <w:pPr>
              <w:jc w:val="center"/>
              <w:rPr>
                <w:bCs/>
              </w:rPr>
            </w:pPr>
            <w:r w:rsidRPr="00EE47FF">
              <w:rPr>
                <w:bCs/>
              </w:rPr>
              <w:t>4,17%</w:t>
            </w:r>
          </w:p>
        </w:tc>
        <w:tc>
          <w:tcPr>
            <w:tcW w:w="1559" w:type="dxa"/>
            <w:shd w:val="clear" w:color="000000" w:fill="auto"/>
            <w:noWrap/>
            <w:vAlign w:val="center"/>
          </w:tcPr>
          <w:p w:rsidR="00DA09C6" w:rsidRPr="00EE47FF" w:rsidRDefault="00DA09C6" w:rsidP="00EE47FF">
            <w:pPr>
              <w:jc w:val="center"/>
              <w:rPr>
                <w:bCs/>
              </w:rPr>
            </w:pPr>
            <w:r w:rsidRPr="00EE47FF">
              <w:rPr>
                <w:bCs/>
              </w:rPr>
              <w:t>1,92%</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9D2783">
        <w:trPr>
          <w:trHeight w:val="271"/>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N8 Smlouva ukončena ze strany ŘO/ZS</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0,07%</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257754" w:rsidTr="00DA09C6">
        <w:trPr>
          <w:trHeight w:val="274"/>
        </w:trPr>
        <w:tc>
          <w:tcPr>
            <w:tcW w:w="3982" w:type="dxa"/>
            <w:shd w:val="clear" w:color="auto" w:fill="C2D69B" w:themeFill="accent3" w:themeFillTint="99"/>
            <w:vAlign w:val="center"/>
          </w:tcPr>
          <w:p w:rsidR="00DA09C6" w:rsidRPr="00555962" w:rsidRDefault="00DA09C6" w:rsidP="009D2783">
            <w:pPr>
              <w:rPr>
                <w:b/>
                <w:bCs/>
                <w:i/>
                <w:iCs/>
                <w:sz w:val="16"/>
                <w:szCs w:val="16"/>
              </w:rPr>
            </w:pPr>
          </w:p>
        </w:tc>
        <w:tc>
          <w:tcPr>
            <w:tcW w:w="1276" w:type="dxa"/>
            <w:shd w:val="clear" w:color="auto" w:fill="C2D69B" w:themeFill="accent3" w:themeFillTint="99"/>
            <w:noWrap/>
            <w:vAlign w:val="center"/>
          </w:tcPr>
          <w:p w:rsidR="00DA09C6" w:rsidRPr="00EE47FF" w:rsidRDefault="00DA09C6" w:rsidP="00EE47FF">
            <w:pPr>
              <w:jc w:val="center"/>
              <w:rPr>
                <w:b/>
                <w:bCs/>
              </w:rPr>
            </w:pPr>
            <w:r w:rsidRPr="00EE47FF">
              <w:rPr>
                <w:b/>
                <w:bCs/>
              </w:rPr>
              <w:t>2</w:t>
            </w:r>
          </w:p>
        </w:tc>
        <w:tc>
          <w:tcPr>
            <w:tcW w:w="1276" w:type="dxa"/>
            <w:shd w:val="clear" w:color="auto" w:fill="C2D69B" w:themeFill="accent3" w:themeFillTint="99"/>
            <w:noWrap/>
            <w:vAlign w:val="center"/>
          </w:tcPr>
          <w:p w:rsidR="00DA09C6" w:rsidRPr="00EE47FF" w:rsidRDefault="00DA09C6" w:rsidP="00EE47FF">
            <w:pPr>
              <w:jc w:val="center"/>
              <w:rPr>
                <w:b/>
                <w:bCs/>
              </w:rPr>
            </w:pPr>
            <w:r w:rsidRPr="00EE47FF">
              <w:rPr>
                <w:b/>
                <w:bCs/>
              </w:rPr>
              <w:t>4,17%</w:t>
            </w:r>
          </w:p>
        </w:tc>
        <w:tc>
          <w:tcPr>
            <w:tcW w:w="1559" w:type="dxa"/>
            <w:shd w:val="clear" w:color="auto" w:fill="C2D69B" w:themeFill="accent3" w:themeFillTint="99"/>
            <w:noWrap/>
            <w:vAlign w:val="center"/>
          </w:tcPr>
          <w:p w:rsidR="00DA09C6" w:rsidRPr="00EE47FF" w:rsidRDefault="00DA09C6" w:rsidP="00EE47FF">
            <w:pPr>
              <w:jc w:val="center"/>
              <w:rPr>
                <w:b/>
                <w:bCs/>
              </w:rPr>
            </w:pPr>
            <w:r w:rsidRPr="00EE47FF">
              <w:rPr>
                <w:b/>
                <w:bCs/>
              </w:rPr>
              <w:t>11,63%</w:t>
            </w:r>
          </w:p>
        </w:tc>
        <w:tc>
          <w:tcPr>
            <w:tcW w:w="992" w:type="dxa"/>
            <w:shd w:val="clear" w:color="auto" w:fill="C2D69B" w:themeFill="accent3" w:themeFillTint="99"/>
            <w:noWrap/>
            <w:vAlign w:val="center"/>
          </w:tcPr>
          <w:p w:rsidR="00DA09C6" w:rsidRPr="00EE47FF" w:rsidRDefault="00DA09C6" w:rsidP="00EE47FF">
            <w:pPr>
              <w:jc w:val="center"/>
              <w:rPr>
                <w:b/>
                <w:bCs/>
              </w:rPr>
            </w:pPr>
            <w:r w:rsidRPr="00EE47FF">
              <w:rPr>
                <w:b/>
                <w:bCs/>
              </w:rPr>
              <w:t>0</w:t>
            </w:r>
          </w:p>
        </w:tc>
      </w:tr>
    </w:tbl>
    <w:p w:rsidR="00635B5D" w:rsidRDefault="00DA09C6" w:rsidP="00DA09C6">
      <w:pPr>
        <w:jc w:val="both"/>
        <w:rPr>
          <w:rFonts w:eastAsia="Arial Unicode MS"/>
          <w:i/>
          <w:color w:val="000000"/>
          <w:sz w:val="18"/>
          <w:szCs w:val="18"/>
        </w:rPr>
      </w:pPr>
      <w:r>
        <w:rPr>
          <w:rFonts w:eastAsia="Arial Unicode MS"/>
          <w:i/>
          <w:color w:val="000000"/>
          <w:sz w:val="18"/>
          <w:szCs w:val="18"/>
        </w:rPr>
        <w:t xml:space="preserve">Zdroj: IS Monit7+ IOP k </w:t>
      </w:r>
      <w:r w:rsidR="0005371D">
        <w:rPr>
          <w:rFonts w:eastAsia="Arial Unicode MS"/>
          <w:i/>
          <w:color w:val="000000"/>
          <w:sz w:val="18"/>
          <w:szCs w:val="18"/>
        </w:rPr>
        <w:t>2. 1. 2015</w:t>
      </w:r>
    </w:p>
    <w:p w:rsidR="00635B5D" w:rsidRPr="00767469" w:rsidRDefault="00635B5D" w:rsidP="00635B5D">
      <w:pPr>
        <w:ind w:left="426" w:hanging="426"/>
        <w:jc w:val="both"/>
        <w:rPr>
          <w:sz w:val="22"/>
          <w:szCs w:val="22"/>
          <w:u w:val="single"/>
        </w:rPr>
      </w:pPr>
    </w:p>
    <w:p w:rsidR="0039119F" w:rsidRDefault="0039119F" w:rsidP="00184E0A">
      <w:pPr>
        <w:jc w:val="both"/>
        <w:rPr>
          <w:sz w:val="24"/>
          <w:szCs w:val="24"/>
          <w:u w:val="single"/>
        </w:rPr>
      </w:pPr>
    </w:p>
    <w:p w:rsidR="00DA09C6" w:rsidRDefault="00DA09C6" w:rsidP="00DA09C6">
      <w:pPr>
        <w:rPr>
          <w:sz w:val="22"/>
          <w:szCs w:val="22"/>
        </w:rPr>
      </w:pPr>
      <w:r w:rsidRPr="00555962">
        <w:rPr>
          <w:b/>
          <w:sz w:val="22"/>
          <w:szCs w:val="22"/>
        </w:rPr>
        <w:t>V oblasti intervence 6.</w:t>
      </w:r>
      <w:r w:rsidRPr="00E617F7">
        <w:rPr>
          <w:b/>
          <w:sz w:val="22"/>
          <w:szCs w:val="22"/>
        </w:rPr>
        <w:t>2</w:t>
      </w:r>
      <w:r w:rsidRPr="00E617F7">
        <w:rPr>
          <w:sz w:val="22"/>
          <w:szCs w:val="22"/>
        </w:rPr>
        <w:t xml:space="preserve"> </w:t>
      </w:r>
      <w:r>
        <w:rPr>
          <w:sz w:val="22"/>
          <w:szCs w:val="22"/>
        </w:rPr>
        <w:t>v roce 2014</w:t>
      </w:r>
      <w:r w:rsidRPr="00E617F7">
        <w:rPr>
          <w:sz w:val="22"/>
          <w:szCs w:val="22"/>
        </w:rPr>
        <w:t xml:space="preserve"> nebyla stažena nebo nedokončena jediná projektová žádost.</w:t>
      </w:r>
      <w:r w:rsidRPr="00E617F7" w:rsidDel="00CD6839">
        <w:rPr>
          <w:sz w:val="22"/>
          <w:szCs w:val="22"/>
        </w:rPr>
        <w:t xml:space="preserve"> </w:t>
      </w:r>
    </w:p>
    <w:p w:rsidR="00635B5D" w:rsidRDefault="00635B5D" w:rsidP="00635B5D">
      <w:pPr>
        <w:jc w:val="both"/>
      </w:pPr>
    </w:p>
    <w:p w:rsidR="00635B5D" w:rsidRPr="009026D3" w:rsidRDefault="00635B5D" w:rsidP="008263BA">
      <w:pPr>
        <w:pStyle w:val="Tabulkanzev"/>
      </w:pPr>
      <w:bookmarkStart w:id="251" w:name="_Toc416431870"/>
      <w:r w:rsidRPr="00B470B0">
        <w:t>Tabulka vyřazování projektů</w:t>
      </w:r>
      <w:r w:rsidR="00C03216">
        <w:t xml:space="preserve"> v oblasti intervence 6.2</w:t>
      </w:r>
      <w:bookmarkEnd w:id="251"/>
    </w:p>
    <w:tbl>
      <w:tblPr>
        <w:tblW w:w="9085"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982"/>
        <w:gridCol w:w="1276"/>
        <w:gridCol w:w="1276"/>
        <w:gridCol w:w="1559"/>
        <w:gridCol w:w="992"/>
      </w:tblGrid>
      <w:tr w:rsidR="00DA09C6" w:rsidRPr="00364632" w:rsidTr="00DA09C6">
        <w:trPr>
          <w:trHeight w:val="300"/>
        </w:trPr>
        <w:tc>
          <w:tcPr>
            <w:tcW w:w="9085" w:type="dxa"/>
            <w:gridSpan w:val="5"/>
            <w:shd w:val="clear" w:color="auto" w:fill="C2D69B" w:themeFill="accent3" w:themeFillTint="99"/>
            <w:noWrap/>
            <w:vAlign w:val="center"/>
            <w:hideMark/>
          </w:tcPr>
          <w:p w:rsidR="00DA09C6" w:rsidRPr="00EE47FF" w:rsidRDefault="00DA09C6" w:rsidP="009D2783">
            <w:pPr>
              <w:jc w:val="center"/>
              <w:rPr>
                <w:b/>
                <w:bCs/>
              </w:rPr>
            </w:pPr>
            <w:r w:rsidRPr="00EE47FF">
              <w:rPr>
                <w:b/>
                <w:bCs/>
              </w:rPr>
              <w:t>Oblast podpory 6.2</w:t>
            </w:r>
          </w:p>
        </w:tc>
      </w:tr>
      <w:tr w:rsidR="00DA09C6" w:rsidRPr="00257754" w:rsidTr="00DA09C6">
        <w:trPr>
          <w:trHeight w:val="760"/>
        </w:trPr>
        <w:tc>
          <w:tcPr>
            <w:tcW w:w="3982" w:type="dxa"/>
            <w:shd w:val="clear" w:color="auto" w:fill="C2D69B" w:themeFill="accent3" w:themeFillTint="99"/>
            <w:noWrap/>
            <w:vAlign w:val="center"/>
          </w:tcPr>
          <w:p w:rsidR="00DA09C6" w:rsidRPr="00257754" w:rsidRDefault="00DA09C6" w:rsidP="009D2783">
            <w:pPr>
              <w:jc w:val="center"/>
              <w:rPr>
                <w:b/>
                <w:bCs/>
                <w:sz w:val="16"/>
                <w:szCs w:val="16"/>
              </w:rPr>
            </w:pPr>
            <w:r w:rsidRPr="00257754">
              <w:rPr>
                <w:b/>
                <w:bCs/>
                <w:sz w:val="16"/>
                <w:szCs w:val="16"/>
              </w:rPr>
              <w:t>Stav projektů</w:t>
            </w:r>
          </w:p>
        </w:tc>
        <w:tc>
          <w:tcPr>
            <w:tcW w:w="1276"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Počet projektů vyřazených za oblast podpory</w:t>
            </w:r>
          </w:p>
        </w:tc>
        <w:tc>
          <w:tcPr>
            <w:tcW w:w="1276"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Podíl vyřazených projektů za oblast podpory</w:t>
            </w:r>
          </w:p>
        </w:tc>
        <w:tc>
          <w:tcPr>
            <w:tcW w:w="1559"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Srovnávací hodnota podílu vyřazených projektů za celý program</w:t>
            </w:r>
          </w:p>
        </w:tc>
        <w:tc>
          <w:tcPr>
            <w:tcW w:w="992" w:type="dxa"/>
            <w:shd w:val="clear" w:color="auto" w:fill="C2D69B" w:themeFill="accent3" w:themeFillTint="99"/>
            <w:vAlign w:val="center"/>
          </w:tcPr>
          <w:p w:rsidR="00DA09C6" w:rsidRPr="00257754" w:rsidRDefault="00DA09C6" w:rsidP="009D2783">
            <w:pPr>
              <w:jc w:val="center"/>
              <w:rPr>
                <w:b/>
                <w:bCs/>
                <w:sz w:val="16"/>
                <w:szCs w:val="16"/>
              </w:rPr>
            </w:pPr>
            <w:r w:rsidRPr="00257754">
              <w:rPr>
                <w:b/>
                <w:bCs/>
                <w:sz w:val="16"/>
                <w:szCs w:val="16"/>
              </w:rPr>
              <w:t>Počet</w:t>
            </w:r>
            <w:r>
              <w:rPr>
                <w:b/>
                <w:bCs/>
                <w:sz w:val="16"/>
                <w:szCs w:val="16"/>
              </w:rPr>
              <w:t xml:space="preserve"> vyřazených projektů za rok 2013</w:t>
            </w:r>
          </w:p>
        </w:tc>
      </w:tr>
      <w:tr w:rsidR="00DA09C6" w:rsidRPr="00555962" w:rsidTr="009D2783">
        <w:trPr>
          <w:trHeight w:val="416"/>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N1.1 Projektová žádost nesplnila alespoň jedno kritérium přijatelnosti</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1,59%</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267"/>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N1.2 Projektová žádost nesplnila formální náležitosti</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0,75%</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270"/>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N2.1 Projekt nesplnil podmínky hodnocení</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3,07%</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403"/>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N2.2 Odeslán dopis o vyřazení projektové žádosti na základě ex-ante kontroly</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0,30%</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280"/>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N2.3 Projekt nedoporučen k financování výběrovou komisí</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0,47%</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412"/>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N4.1 Vydání rozhodnutí o poskytnutí dotace/stanovení výdajů zamítnuto</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0,03%</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263"/>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N5 Projektová žádost stažena žadatelem</w:t>
            </w:r>
          </w:p>
        </w:tc>
        <w:tc>
          <w:tcPr>
            <w:tcW w:w="1276" w:type="dxa"/>
            <w:shd w:val="clear" w:color="000000" w:fill="auto"/>
            <w:noWrap/>
            <w:vAlign w:val="center"/>
          </w:tcPr>
          <w:p w:rsidR="00DA09C6" w:rsidRPr="00EE47FF" w:rsidRDefault="00DA09C6" w:rsidP="00EE47FF">
            <w:pPr>
              <w:jc w:val="center"/>
              <w:rPr>
                <w:bCs/>
              </w:rPr>
            </w:pPr>
            <w:r w:rsidRPr="00EE47FF">
              <w:rPr>
                <w:bCs/>
              </w:rPr>
              <w:t>2</w:t>
            </w:r>
          </w:p>
        </w:tc>
        <w:tc>
          <w:tcPr>
            <w:tcW w:w="1276" w:type="dxa"/>
            <w:shd w:val="clear" w:color="000000" w:fill="auto"/>
            <w:noWrap/>
            <w:vAlign w:val="center"/>
          </w:tcPr>
          <w:p w:rsidR="00DA09C6" w:rsidRPr="00EE47FF" w:rsidRDefault="00DA09C6" w:rsidP="00EE47FF">
            <w:pPr>
              <w:jc w:val="center"/>
              <w:rPr>
                <w:bCs/>
              </w:rPr>
            </w:pPr>
            <w:r w:rsidRPr="00EE47FF">
              <w:rPr>
                <w:bCs/>
              </w:rPr>
              <w:t>2,67%</w:t>
            </w:r>
          </w:p>
        </w:tc>
        <w:tc>
          <w:tcPr>
            <w:tcW w:w="1559" w:type="dxa"/>
            <w:shd w:val="clear" w:color="000000" w:fill="auto"/>
            <w:noWrap/>
            <w:vAlign w:val="center"/>
          </w:tcPr>
          <w:p w:rsidR="00DA09C6" w:rsidRPr="00EE47FF" w:rsidRDefault="00DA09C6" w:rsidP="00EE47FF">
            <w:pPr>
              <w:jc w:val="center"/>
              <w:rPr>
                <w:bCs/>
              </w:rPr>
            </w:pPr>
            <w:r w:rsidRPr="00EE47FF">
              <w:rPr>
                <w:bCs/>
              </w:rPr>
              <w:t>3,43%</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266"/>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N7 Projekt nedokončen/stažen</w:t>
            </w:r>
          </w:p>
        </w:tc>
        <w:tc>
          <w:tcPr>
            <w:tcW w:w="1276" w:type="dxa"/>
            <w:shd w:val="clear" w:color="000000" w:fill="auto"/>
            <w:noWrap/>
            <w:vAlign w:val="center"/>
          </w:tcPr>
          <w:p w:rsidR="00DA09C6" w:rsidRPr="00EE47FF" w:rsidRDefault="00DA09C6" w:rsidP="00EE47FF">
            <w:pPr>
              <w:jc w:val="center"/>
              <w:rPr>
                <w:bCs/>
              </w:rPr>
            </w:pPr>
            <w:r w:rsidRPr="00EE47FF">
              <w:rPr>
                <w:bCs/>
              </w:rPr>
              <w:t>4</w:t>
            </w:r>
          </w:p>
        </w:tc>
        <w:tc>
          <w:tcPr>
            <w:tcW w:w="1276" w:type="dxa"/>
            <w:shd w:val="clear" w:color="000000" w:fill="auto"/>
            <w:noWrap/>
            <w:vAlign w:val="center"/>
          </w:tcPr>
          <w:p w:rsidR="00DA09C6" w:rsidRPr="00EE47FF" w:rsidRDefault="00DA09C6" w:rsidP="00EE47FF">
            <w:pPr>
              <w:jc w:val="center"/>
              <w:rPr>
                <w:bCs/>
              </w:rPr>
            </w:pPr>
            <w:r w:rsidRPr="00EE47FF">
              <w:rPr>
                <w:bCs/>
              </w:rPr>
              <w:t>5,33%</w:t>
            </w:r>
          </w:p>
        </w:tc>
        <w:tc>
          <w:tcPr>
            <w:tcW w:w="1559" w:type="dxa"/>
            <w:shd w:val="clear" w:color="000000" w:fill="auto"/>
            <w:noWrap/>
            <w:vAlign w:val="center"/>
          </w:tcPr>
          <w:p w:rsidR="00DA09C6" w:rsidRPr="00EE47FF" w:rsidRDefault="00DA09C6" w:rsidP="00EE47FF">
            <w:pPr>
              <w:jc w:val="center"/>
              <w:rPr>
                <w:bCs/>
              </w:rPr>
            </w:pPr>
            <w:r w:rsidRPr="00EE47FF">
              <w:rPr>
                <w:bCs/>
              </w:rPr>
              <w:t>1,92%</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9D2783">
        <w:trPr>
          <w:trHeight w:val="271"/>
        </w:trPr>
        <w:tc>
          <w:tcPr>
            <w:tcW w:w="3982" w:type="dxa"/>
            <w:shd w:val="clear" w:color="000000" w:fill="auto"/>
            <w:vAlign w:val="center"/>
          </w:tcPr>
          <w:p w:rsidR="00DA09C6" w:rsidRPr="00555962" w:rsidRDefault="00DA09C6" w:rsidP="009D2783">
            <w:pPr>
              <w:rPr>
                <w:i/>
                <w:iCs/>
                <w:sz w:val="16"/>
                <w:szCs w:val="16"/>
              </w:rPr>
            </w:pPr>
            <w:r w:rsidRPr="00555962">
              <w:rPr>
                <w:i/>
                <w:iCs/>
                <w:sz w:val="16"/>
                <w:szCs w:val="16"/>
              </w:rPr>
              <w:t>N8 Smlouva ukončena ze strany ŘO/ZS</w:t>
            </w:r>
          </w:p>
        </w:tc>
        <w:tc>
          <w:tcPr>
            <w:tcW w:w="1276" w:type="dxa"/>
            <w:shd w:val="clear" w:color="000000" w:fill="auto"/>
            <w:noWrap/>
            <w:vAlign w:val="center"/>
          </w:tcPr>
          <w:p w:rsidR="00DA09C6" w:rsidRPr="00EE47FF" w:rsidRDefault="00DA09C6" w:rsidP="00EE47FF">
            <w:pPr>
              <w:jc w:val="center"/>
              <w:rPr>
                <w:bCs/>
              </w:rPr>
            </w:pPr>
            <w:r w:rsidRPr="00EE47FF">
              <w:rPr>
                <w:bCs/>
              </w:rPr>
              <w:t>0</w:t>
            </w:r>
          </w:p>
        </w:tc>
        <w:tc>
          <w:tcPr>
            <w:tcW w:w="1276" w:type="dxa"/>
            <w:shd w:val="clear" w:color="000000" w:fill="auto"/>
            <w:noWrap/>
            <w:vAlign w:val="center"/>
          </w:tcPr>
          <w:p w:rsidR="00DA09C6" w:rsidRPr="00EE47FF" w:rsidRDefault="00DA09C6" w:rsidP="00EE47FF">
            <w:pPr>
              <w:jc w:val="center"/>
              <w:rPr>
                <w:bCs/>
              </w:rPr>
            </w:pPr>
            <w:r w:rsidRPr="00EE47FF">
              <w:rPr>
                <w:bCs/>
              </w:rPr>
              <w:t>0,00%</w:t>
            </w:r>
          </w:p>
        </w:tc>
        <w:tc>
          <w:tcPr>
            <w:tcW w:w="1559" w:type="dxa"/>
            <w:shd w:val="clear" w:color="000000" w:fill="auto"/>
            <w:noWrap/>
            <w:vAlign w:val="center"/>
          </w:tcPr>
          <w:p w:rsidR="00DA09C6" w:rsidRPr="00EE47FF" w:rsidRDefault="00DA09C6" w:rsidP="00EE47FF">
            <w:pPr>
              <w:jc w:val="center"/>
              <w:rPr>
                <w:bCs/>
              </w:rPr>
            </w:pPr>
            <w:r w:rsidRPr="00EE47FF">
              <w:rPr>
                <w:bCs/>
              </w:rPr>
              <w:t>0,07%</w:t>
            </w:r>
          </w:p>
        </w:tc>
        <w:tc>
          <w:tcPr>
            <w:tcW w:w="992" w:type="dxa"/>
            <w:shd w:val="clear" w:color="000000" w:fill="auto"/>
            <w:noWrap/>
            <w:vAlign w:val="center"/>
          </w:tcPr>
          <w:p w:rsidR="00DA09C6" w:rsidRPr="00EE47FF" w:rsidRDefault="00DA09C6" w:rsidP="00EE47FF">
            <w:pPr>
              <w:jc w:val="center"/>
              <w:rPr>
                <w:bCs/>
              </w:rPr>
            </w:pPr>
            <w:r w:rsidRPr="00EE47FF">
              <w:rPr>
                <w:bCs/>
              </w:rPr>
              <w:t>0</w:t>
            </w:r>
          </w:p>
        </w:tc>
      </w:tr>
      <w:tr w:rsidR="00DA09C6" w:rsidRPr="00555962" w:rsidTr="00DA09C6">
        <w:trPr>
          <w:trHeight w:val="274"/>
        </w:trPr>
        <w:tc>
          <w:tcPr>
            <w:tcW w:w="3982" w:type="dxa"/>
            <w:shd w:val="clear" w:color="auto" w:fill="C2D69B" w:themeFill="accent3" w:themeFillTint="99"/>
            <w:vAlign w:val="center"/>
          </w:tcPr>
          <w:p w:rsidR="00DA09C6" w:rsidRPr="00555962" w:rsidRDefault="00DA09C6" w:rsidP="009D2783">
            <w:pPr>
              <w:rPr>
                <w:b/>
                <w:bCs/>
                <w:i/>
                <w:iCs/>
                <w:sz w:val="16"/>
                <w:szCs w:val="16"/>
              </w:rPr>
            </w:pPr>
          </w:p>
        </w:tc>
        <w:tc>
          <w:tcPr>
            <w:tcW w:w="1276" w:type="dxa"/>
            <w:shd w:val="clear" w:color="auto" w:fill="C2D69B" w:themeFill="accent3" w:themeFillTint="99"/>
            <w:noWrap/>
            <w:vAlign w:val="center"/>
          </w:tcPr>
          <w:p w:rsidR="00DA09C6" w:rsidRPr="00EE47FF" w:rsidRDefault="00DA09C6" w:rsidP="00EE47FF">
            <w:pPr>
              <w:jc w:val="center"/>
              <w:rPr>
                <w:b/>
                <w:bCs/>
              </w:rPr>
            </w:pPr>
            <w:r w:rsidRPr="00EE47FF">
              <w:rPr>
                <w:b/>
                <w:bCs/>
              </w:rPr>
              <w:t>6</w:t>
            </w:r>
          </w:p>
        </w:tc>
        <w:tc>
          <w:tcPr>
            <w:tcW w:w="1276" w:type="dxa"/>
            <w:shd w:val="clear" w:color="auto" w:fill="C2D69B" w:themeFill="accent3" w:themeFillTint="99"/>
            <w:noWrap/>
            <w:vAlign w:val="center"/>
          </w:tcPr>
          <w:p w:rsidR="00DA09C6" w:rsidRPr="00EE47FF" w:rsidRDefault="00DA09C6" w:rsidP="00EE47FF">
            <w:pPr>
              <w:jc w:val="center"/>
              <w:rPr>
                <w:b/>
                <w:bCs/>
              </w:rPr>
            </w:pPr>
            <w:r w:rsidRPr="00EE47FF">
              <w:rPr>
                <w:b/>
                <w:bCs/>
              </w:rPr>
              <w:t>8,00%</w:t>
            </w:r>
          </w:p>
        </w:tc>
        <w:tc>
          <w:tcPr>
            <w:tcW w:w="1559" w:type="dxa"/>
            <w:shd w:val="clear" w:color="auto" w:fill="C2D69B" w:themeFill="accent3" w:themeFillTint="99"/>
            <w:noWrap/>
            <w:vAlign w:val="center"/>
          </w:tcPr>
          <w:p w:rsidR="00DA09C6" w:rsidRPr="00EE47FF" w:rsidRDefault="00DA09C6" w:rsidP="00EE47FF">
            <w:pPr>
              <w:jc w:val="center"/>
              <w:rPr>
                <w:b/>
                <w:bCs/>
              </w:rPr>
            </w:pPr>
            <w:r w:rsidRPr="00EE47FF">
              <w:rPr>
                <w:b/>
                <w:bCs/>
              </w:rPr>
              <w:t>11,63%</w:t>
            </w:r>
          </w:p>
        </w:tc>
        <w:tc>
          <w:tcPr>
            <w:tcW w:w="992" w:type="dxa"/>
            <w:shd w:val="clear" w:color="auto" w:fill="C2D69B" w:themeFill="accent3" w:themeFillTint="99"/>
            <w:noWrap/>
            <w:vAlign w:val="center"/>
          </w:tcPr>
          <w:p w:rsidR="00DA09C6" w:rsidRPr="00EE47FF" w:rsidRDefault="00DA09C6" w:rsidP="00EE47FF">
            <w:pPr>
              <w:jc w:val="center"/>
              <w:rPr>
                <w:b/>
                <w:bCs/>
              </w:rPr>
            </w:pPr>
            <w:r w:rsidRPr="00EE47FF">
              <w:rPr>
                <w:b/>
                <w:bCs/>
              </w:rPr>
              <w:t>0</w:t>
            </w:r>
          </w:p>
        </w:tc>
      </w:tr>
    </w:tbl>
    <w:p w:rsidR="00635B5D" w:rsidRDefault="00635B5D" w:rsidP="00DA09C6">
      <w:pPr>
        <w:jc w:val="both"/>
        <w:rPr>
          <w:sz w:val="24"/>
          <w:szCs w:val="24"/>
          <w:u w:val="single"/>
        </w:rPr>
      </w:pPr>
      <w:r w:rsidRPr="00555962">
        <w:rPr>
          <w:i/>
          <w:color w:val="000000"/>
          <w:sz w:val="18"/>
          <w:szCs w:val="18"/>
        </w:rPr>
        <w:t xml:space="preserve">Zdroj: IS Monit7+ IOP k </w:t>
      </w:r>
      <w:r w:rsidR="0005371D" w:rsidRPr="00555962">
        <w:rPr>
          <w:i/>
          <w:color w:val="000000"/>
          <w:sz w:val="18"/>
          <w:szCs w:val="18"/>
        </w:rPr>
        <w:t>2. 1. 2014</w:t>
      </w:r>
    </w:p>
    <w:p w:rsidR="00635B5D" w:rsidRDefault="00635B5D" w:rsidP="00635B5D">
      <w:pPr>
        <w:ind w:left="426" w:hanging="426"/>
        <w:jc w:val="both"/>
        <w:rPr>
          <w:sz w:val="24"/>
          <w:szCs w:val="24"/>
          <w:u w:val="single"/>
        </w:rPr>
      </w:pPr>
    </w:p>
    <w:p w:rsidR="00187DA5" w:rsidRDefault="00187DA5" w:rsidP="00F4148F">
      <w:pPr>
        <w:jc w:val="both"/>
        <w:rPr>
          <w:b/>
          <w:sz w:val="22"/>
          <w:szCs w:val="22"/>
        </w:rPr>
      </w:pPr>
    </w:p>
    <w:p w:rsidR="00FC3458" w:rsidRDefault="00FC3458" w:rsidP="00F4148F">
      <w:pPr>
        <w:jc w:val="both"/>
        <w:rPr>
          <w:b/>
          <w:sz w:val="22"/>
          <w:szCs w:val="22"/>
        </w:rPr>
      </w:pPr>
    </w:p>
    <w:p w:rsidR="00FC3458" w:rsidRDefault="00FC3458" w:rsidP="00F4148F">
      <w:pPr>
        <w:jc w:val="both"/>
        <w:rPr>
          <w:b/>
          <w:sz w:val="22"/>
          <w:szCs w:val="22"/>
        </w:rPr>
      </w:pPr>
    </w:p>
    <w:p w:rsidR="00FC3458" w:rsidRDefault="00FC3458" w:rsidP="00F4148F">
      <w:pPr>
        <w:jc w:val="both"/>
        <w:rPr>
          <w:b/>
          <w:sz w:val="22"/>
          <w:szCs w:val="22"/>
        </w:rPr>
      </w:pPr>
    </w:p>
    <w:p w:rsidR="00FC3458" w:rsidRDefault="00FC3458" w:rsidP="00F4148F">
      <w:pPr>
        <w:jc w:val="both"/>
        <w:rPr>
          <w:b/>
          <w:sz w:val="22"/>
          <w:szCs w:val="22"/>
        </w:rPr>
      </w:pPr>
    </w:p>
    <w:p w:rsidR="00FC3458" w:rsidRDefault="00FC3458" w:rsidP="00F4148F">
      <w:pPr>
        <w:jc w:val="both"/>
        <w:rPr>
          <w:b/>
          <w:sz w:val="22"/>
          <w:szCs w:val="22"/>
        </w:rPr>
      </w:pPr>
    </w:p>
    <w:p w:rsidR="00FC3458" w:rsidRDefault="00FC3458" w:rsidP="00F4148F">
      <w:pPr>
        <w:jc w:val="both"/>
        <w:rPr>
          <w:b/>
          <w:sz w:val="22"/>
          <w:szCs w:val="22"/>
        </w:rPr>
      </w:pPr>
    </w:p>
    <w:p w:rsidR="00FC3458" w:rsidRDefault="00FC3458" w:rsidP="00F4148F">
      <w:pPr>
        <w:jc w:val="both"/>
        <w:rPr>
          <w:b/>
          <w:sz w:val="22"/>
          <w:szCs w:val="22"/>
        </w:rPr>
      </w:pPr>
    </w:p>
    <w:p w:rsidR="00A75862" w:rsidRPr="002422B3" w:rsidRDefault="00A75862" w:rsidP="00F4148F">
      <w:pPr>
        <w:jc w:val="both"/>
        <w:rPr>
          <w:b/>
          <w:sz w:val="22"/>
          <w:szCs w:val="22"/>
        </w:rPr>
      </w:pPr>
      <w:r w:rsidRPr="00BD1C23">
        <w:rPr>
          <w:b/>
          <w:sz w:val="22"/>
          <w:szCs w:val="22"/>
        </w:rPr>
        <w:lastRenderedPageBreak/>
        <w:t>Naplňování horizontálních témat</w:t>
      </w:r>
    </w:p>
    <w:p w:rsidR="00A75862" w:rsidRDefault="00A75862" w:rsidP="00F4148F">
      <w:pPr>
        <w:jc w:val="both"/>
        <w:rPr>
          <w:sz w:val="22"/>
          <w:szCs w:val="22"/>
        </w:rPr>
      </w:pPr>
    </w:p>
    <w:p w:rsidR="00A75862" w:rsidRDefault="00A75862" w:rsidP="00F4148F">
      <w:pPr>
        <w:jc w:val="both"/>
        <w:rPr>
          <w:sz w:val="22"/>
          <w:szCs w:val="22"/>
          <w:u w:val="single"/>
        </w:rPr>
      </w:pPr>
      <w:r w:rsidRPr="002422B3">
        <w:rPr>
          <w:sz w:val="22"/>
          <w:szCs w:val="22"/>
          <w:u w:val="single"/>
        </w:rPr>
        <w:t>Rovné příležitosti</w:t>
      </w:r>
    </w:p>
    <w:p w:rsidR="00BB7F40" w:rsidRPr="00BB7F40" w:rsidRDefault="00BB7F40" w:rsidP="00BB7F40">
      <w:pPr>
        <w:rPr>
          <w:sz w:val="22"/>
          <w:szCs w:val="22"/>
        </w:rPr>
      </w:pPr>
      <w:r w:rsidRPr="00BB7F40">
        <w:rPr>
          <w:sz w:val="22"/>
          <w:szCs w:val="22"/>
        </w:rPr>
        <w:t>Všech 115 projektů schválených v prioritních osách 6a a 6b má neutrální vliv na rovné příležitosti</w:t>
      </w:r>
    </w:p>
    <w:p w:rsidR="00BB7F40" w:rsidRDefault="00BB7F40" w:rsidP="00BB7F40">
      <w:pPr>
        <w:pStyle w:val="tabulka"/>
        <w:rPr>
          <w:sz w:val="22"/>
          <w:szCs w:val="22"/>
        </w:rPr>
      </w:pPr>
    </w:p>
    <w:p w:rsidR="00187DA5" w:rsidRPr="00D107D5" w:rsidRDefault="00187DA5" w:rsidP="00D107D5"/>
    <w:p w:rsidR="00A75862" w:rsidRPr="00550214" w:rsidRDefault="00A75862" w:rsidP="008263BA">
      <w:pPr>
        <w:pStyle w:val="Tabulkanzev"/>
      </w:pPr>
      <w:bookmarkStart w:id="252" w:name="_Toc411422684"/>
      <w:bookmarkStart w:id="253" w:name="_Toc411427693"/>
      <w:bookmarkStart w:id="254" w:name="_Toc411945392"/>
      <w:bookmarkStart w:id="255" w:name="_Toc416431871"/>
      <w:r w:rsidRPr="009026D3">
        <w:t>Rovné příležitosti</w:t>
      </w:r>
      <w:bookmarkEnd w:id="252"/>
      <w:bookmarkEnd w:id="253"/>
      <w:bookmarkEnd w:id="254"/>
      <w:r w:rsidR="00FF5255">
        <w:t xml:space="preserve"> v oblasti intervence 6.2</w:t>
      </w:r>
      <w:bookmarkEnd w:id="255"/>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2A4014" w:rsidTr="00A22D42">
        <w:trPr>
          <w:trHeight w:val="270"/>
        </w:trPr>
        <w:tc>
          <w:tcPr>
            <w:tcW w:w="5260" w:type="dxa"/>
            <w:shd w:val="clear" w:color="auto" w:fill="C2D69B" w:themeFill="accent3" w:themeFillTint="99"/>
            <w:vAlign w:val="center"/>
          </w:tcPr>
          <w:p w:rsidR="00A75862" w:rsidRPr="002A4014" w:rsidRDefault="00A75862" w:rsidP="006307F4">
            <w:pPr>
              <w:jc w:val="center"/>
              <w:rPr>
                <w:b/>
                <w:bCs/>
                <w:sz w:val="18"/>
                <w:szCs w:val="18"/>
              </w:rPr>
            </w:pPr>
            <w:r w:rsidRPr="002A4014">
              <w:rPr>
                <w:b/>
                <w:bCs/>
                <w:sz w:val="18"/>
                <w:szCs w:val="18"/>
              </w:rPr>
              <w:t>Sledování horizontálních témat</w:t>
            </w:r>
          </w:p>
        </w:tc>
        <w:tc>
          <w:tcPr>
            <w:tcW w:w="1920" w:type="dxa"/>
            <w:shd w:val="clear" w:color="auto" w:fill="C2D69B" w:themeFill="accent3" w:themeFillTint="99"/>
            <w:vAlign w:val="center"/>
          </w:tcPr>
          <w:p w:rsidR="00A75862" w:rsidRPr="002A4014" w:rsidRDefault="00A75862" w:rsidP="006307F4">
            <w:pPr>
              <w:jc w:val="center"/>
              <w:rPr>
                <w:b/>
                <w:bCs/>
                <w:sz w:val="18"/>
                <w:szCs w:val="18"/>
              </w:rPr>
            </w:pPr>
            <w:r w:rsidRPr="002A4014">
              <w:rPr>
                <w:b/>
                <w:bCs/>
                <w:sz w:val="18"/>
                <w:szCs w:val="18"/>
              </w:rPr>
              <w:t>Měrná jednotka</w:t>
            </w:r>
          </w:p>
        </w:tc>
        <w:tc>
          <w:tcPr>
            <w:tcW w:w="1860" w:type="dxa"/>
            <w:shd w:val="clear" w:color="auto" w:fill="C2D69B" w:themeFill="accent3" w:themeFillTint="99"/>
            <w:vAlign w:val="center"/>
          </w:tcPr>
          <w:p w:rsidR="00A75862" w:rsidRPr="002A4014" w:rsidRDefault="00A75862" w:rsidP="006307F4">
            <w:pPr>
              <w:jc w:val="center"/>
              <w:rPr>
                <w:b/>
                <w:bCs/>
                <w:sz w:val="18"/>
                <w:szCs w:val="18"/>
              </w:rPr>
            </w:pPr>
            <w:r w:rsidRPr="002A4014">
              <w:rPr>
                <w:b/>
                <w:bCs/>
                <w:sz w:val="18"/>
                <w:szCs w:val="18"/>
              </w:rPr>
              <w:t>Počet projektů</w:t>
            </w:r>
          </w:p>
        </w:tc>
      </w:tr>
      <w:tr w:rsidR="003B1FDB" w:rsidRPr="002A4014" w:rsidTr="00642923">
        <w:trPr>
          <w:trHeight w:val="255"/>
        </w:trPr>
        <w:tc>
          <w:tcPr>
            <w:tcW w:w="5260" w:type="dxa"/>
            <w:noWrap/>
            <w:vAlign w:val="center"/>
          </w:tcPr>
          <w:p w:rsidR="003B1FDB" w:rsidRPr="002A4014" w:rsidRDefault="003B1FDB" w:rsidP="00DB307F">
            <w:pPr>
              <w:rPr>
                <w:sz w:val="18"/>
                <w:szCs w:val="18"/>
              </w:rPr>
            </w:pPr>
            <w:r w:rsidRPr="002A4014">
              <w:rPr>
                <w:sz w:val="18"/>
                <w:szCs w:val="18"/>
              </w:rPr>
              <w:t xml:space="preserve">Počet projektů </w:t>
            </w:r>
            <w:r w:rsidRPr="002A4014">
              <w:rPr>
                <w:b/>
                <w:sz w:val="18"/>
                <w:szCs w:val="18"/>
              </w:rPr>
              <w:t>cíleně zaměřených na rovné příležitosti</w:t>
            </w:r>
          </w:p>
        </w:tc>
        <w:tc>
          <w:tcPr>
            <w:tcW w:w="1920" w:type="dxa"/>
            <w:noWrap/>
            <w:vAlign w:val="center"/>
          </w:tcPr>
          <w:p w:rsidR="003B1FDB" w:rsidRPr="002A4014" w:rsidRDefault="003B1FDB" w:rsidP="00692535">
            <w:pPr>
              <w:jc w:val="center"/>
              <w:rPr>
                <w:sz w:val="18"/>
                <w:szCs w:val="18"/>
              </w:rPr>
            </w:pPr>
            <w:r w:rsidRPr="002A4014">
              <w:rPr>
                <w:sz w:val="18"/>
                <w:szCs w:val="18"/>
              </w:rPr>
              <w:t>Počet projektů</w:t>
            </w:r>
          </w:p>
        </w:tc>
        <w:tc>
          <w:tcPr>
            <w:tcW w:w="1860" w:type="dxa"/>
            <w:noWrap/>
            <w:vAlign w:val="center"/>
          </w:tcPr>
          <w:p w:rsidR="003B1FDB" w:rsidRPr="002A4014" w:rsidRDefault="003B1FDB" w:rsidP="00692535">
            <w:pPr>
              <w:jc w:val="center"/>
              <w:rPr>
                <w:sz w:val="18"/>
                <w:szCs w:val="18"/>
              </w:rPr>
            </w:pPr>
            <w:r w:rsidRPr="002A4014">
              <w:rPr>
                <w:sz w:val="18"/>
                <w:szCs w:val="18"/>
              </w:rPr>
              <w:t>0</w:t>
            </w:r>
          </w:p>
        </w:tc>
      </w:tr>
      <w:tr w:rsidR="003B1FDB" w:rsidRPr="002A4014" w:rsidTr="00642923">
        <w:trPr>
          <w:trHeight w:val="255"/>
        </w:trPr>
        <w:tc>
          <w:tcPr>
            <w:tcW w:w="5260" w:type="dxa"/>
            <w:noWrap/>
            <w:vAlign w:val="center"/>
          </w:tcPr>
          <w:p w:rsidR="003B1FDB" w:rsidRPr="002A4014" w:rsidRDefault="003B1FDB" w:rsidP="00DB307F">
            <w:pPr>
              <w:rPr>
                <w:sz w:val="18"/>
                <w:szCs w:val="18"/>
              </w:rPr>
            </w:pPr>
            <w:r w:rsidRPr="002A4014">
              <w:rPr>
                <w:sz w:val="18"/>
                <w:szCs w:val="18"/>
              </w:rPr>
              <w:t>Počet projektů</w:t>
            </w:r>
            <w:r w:rsidRPr="002A4014">
              <w:rPr>
                <w:b/>
                <w:sz w:val="18"/>
                <w:szCs w:val="18"/>
              </w:rPr>
              <w:t xml:space="preserve"> s pozitivním vlivem na rovné příležitosti</w:t>
            </w:r>
          </w:p>
        </w:tc>
        <w:tc>
          <w:tcPr>
            <w:tcW w:w="1920" w:type="dxa"/>
            <w:noWrap/>
            <w:vAlign w:val="center"/>
          </w:tcPr>
          <w:p w:rsidR="003B1FDB" w:rsidRPr="002A4014" w:rsidRDefault="003B1FDB" w:rsidP="00692535">
            <w:pPr>
              <w:jc w:val="center"/>
              <w:rPr>
                <w:sz w:val="18"/>
                <w:szCs w:val="18"/>
              </w:rPr>
            </w:pPr>
            <w:r w:rsidRPr="002A4014">
              <w:rPr>
                <w:sz w:val="18"/>
                <w:szCs w:val="18"/>
              </w:rPr>
              <w:t>Počet projektů</w:t>
            </w:r>
          </w:p>
        </w:tc>
        <w:tc>
          <w:tcPr>
            <w:tcW w:w="1860" w:type="dxa"/>
            <w:noWrap/>
            <w:vAlign w:val="center"/>
          </w:tcPr>
          <w:p w:rsidR="003B1FDB" w:rsidRPr="002A4014" w:rsidRDefault="003B1FDB" w:rsidP="00692535">
            <w:pPr>
              <w:jc w:val="center"/>
              <w:rPr>
                <w:sz w:val="18"/>
                <w:szCs w:val="18"/>
              </w:rPr>
            </w:pPr>
            <w:r w:rsidRPr="002A4014">
              <w:rPr>
                <w:sz w:val="18"/>
                <w:szCs w:val="18"/>
              </w:rPr>
              <w:t>0</w:t>
            </w:r>
          </w:p>
        </w:tc>
      </w:tr>
      <w:tr w:rsidR="003B1FDB" w:rsidRPr="002A4014" w:rsidTr="00642923">
        <w:trPr>
          <w:trHeight w:val="270"/>
        </w:trPr>
        <w:tc>
          <w:tcPr>
            <w:tcW w:w="5260" w:type="dxa"/>
            <w:noWrap/>
            <w:vAlign w:val="center"/>
          </w:tcPr>
          <w:p w:rsidR="003B1FDB" w:rsidRPr="002A4014" w:rsidRDefault="003B1FDB" w:rsidP="00DB307F">
            <w:pPr>
              <w:rPr>
                <w:sz w:val="18"/>
                <w:szCs w:val="18"/>
              </w:rPr>
            </w:pPr>
            <w:r w:rsidRPr="002A4014">
              <w:rPr>
                <w:sz w:val="18"/>
                <w:szCs w:val="18"/>
              </w:rPr>
              <w:t xml:space="preserve">Počet projektů </w:t>
            </w:r>
            <w:r w:rsidRPr="002A4014">
              <w:rPr>
                <w:b/>
                <w:sz w:val="18"/>
                <w:szCs w:val="18"/>
              </w:rPr>
              <w:t>s neutrálním vlivem na rovné příležitosti</w:t>
            </w:r>
          </w:p>
        </w:tc>
        <w:tc>
          <w:tcPr>
            <w:tcW w:w="1920" w:type="dxa"/>
            <w:noWrap/>
            <w:vAlign w:val="center"/>
          </w:tcPr>
          <w:p w:rsidR="003B1FDB" w:rsidRPr="002A4014" w:rsidRDefault="003B1FDB" w:rsidP="00692535">
            <w:pPr>
              <w:jc w:val="center"/>
              <w:rPr>
                <w:sz w:val="18"/>
                <w:szCs w:val="18"/>
              </w:rPr>
            </w:pPr>
            <w:r w:rsidRPr="002A4014">
              <w:rPr>
                <w:sz w:val="18"/>
                <w:szCs w:val="18"/>
              </w:rPr>
              <w:t>Počet projektů</w:t>
            </w:r>
          </w:p>
        </w:tc>
        <w:tc>
          <w:tcPr>
            <w:tcW w:w="1860" w:type="dxa"/>
            <w:noWrap/>
            <w:vAlign w:val="center"/>
          </w:tcPr>
          <w:p w:rsidR="003B1FDB" w:rsidRPr="002A4014" w:rsidRDefault="00A22D42" w:rsidP="00692535">
            <w:pPr>
              <w:jc w:val="center"/>
              <w:rPr>
                <w:sz w:val="18"/>
                <w:szCs w:val="18"/>
              </w:rPr>
            </w:pPr>
            <w:r w:rsidRPr="002A4014">
              <w:rPr>
                <w:sz w:val="18"/>
                <w:szCs w:val="18"/>
              </w:rPr>
              <w:t>11</w:t>
            </w:r>
            <w:r w:rsidR="00BB7F40">
              <w:rPr>
                <w:sz w:val="18"/>
                <w:szCs w:val="18"/>
              </w:rPr>
              <w:t>5</w:t>
            </w:r>
          </w:p>
        </w:tc>
      </w:tr>
    </w:tbl>
    <w:p w:rsidR="00A75862" w:rsidRDefault="00A75862" w:rsidP="00F4148F">
      <w:pPr>
        <w:jc w:val="both"/>
        <w:rPr>
          <w:sz w:val="22"/>
          <w:szCs w:val="22"/>
          <w:u w:val="single"/>
        </w:rPr>
      </w:pPr>
      <w:r w:rsidRPr="0001374B">
        <w:rPr>
          <w:i/>
          <w:color w:val="000000"/>
          <w:sz w:val="18"/>
          <w:szCs w:val="18"/>
        </w:rPr>
        <w:t xml:space="preserve">Zdroj: IS Monit7+ IOP k </w:t>
      </w:r>
      <w:r w:rsidR="0005371D" w:rsidRPr="0001374B">
        <w:rPr>
          <w:i/>
          <w:color w:val="000000"/>
          <w:sz w:val="18"/>
          <w:szCs w:val="18"/>
        </w:rPr>
        <w:t>2. 1. 2015</w:t>
      </w:r>
    </w:p>
    <w:p w:rsidR="00A75862" w:rsidRDefault="00A75862" w:rsidP="00F4148F">
      <w:pPr>
        <w:jc w:val="both"/>
      </w:pPr>
    </w:p>
    <w:p w:rsidR="009352A8" w:rsidRDefault="009352A8" w:rsidP="00F4148F">
      <w:pPr>
        <w:rPr>
          <w:sz w:val="22"/>
          <w:szCs w:val="22"/>
          <w:u w:val="single"/>
        </w:rPr>
      </w:pPr>
    </w:p>
    <w:p w:rsidR="00A75862" w:rsidRDefault="00A75862" w:rsidP="00F4148F">
      <w:pPr>
        <w:rPr>
          <w:sz w:val="22"/>
          <w:szCs w:val="22"/>
          <w:u w:val="single"/>
        </w:rPr>
      </w:pPr>
      <w:r w:rsidRPr="002422B3">
        <w:rPr>
          <w:sz w:val="22"/>
          <w:szCs w:val="22"/>
          <w:u w:val="single"/>
        </w:rPr>
        <w:t>Udržitelný rozvoj</w:t>
      </w:r>
    </w:p>
    <w:p w:rsidR="00A75862" w:rsidRDefault="003C791A" w:rsidP="001209BC">
      <w:pPr>
        <w:spacing w:after="120"/>
        <w:jc w:val="both"/>
        <w:rPr>
          <w:sz w:val="22"/>
          <w:szCs w:val="22"/>
        </w:rPr>
      </w:pPr>
      <w:r w:rsidRPr="00F1193E">
        <w:rPr>
          <w:sz w:val="22"/>
          <w:szCs w:val="22"/>
        </w:rPr>
        <w:t xml:space="preserve">Příjemci podpory se u schválených </w:t>
      </w:r>
      <w:r w:rsidR="00CF0E9A" w:rsidRPr="00F1193E">
        <w:rPr>
          <w:sz w:val="22"/>
          <w:szCs w:val="22"/>
        </w:rPr>
        <w:t>1</w:t>
      </w:r>
      <w:r w:rsidR="00BB7F40">
        <w:rPr>
          <w:sz w:val="22"/>
          <w:szCs w:val="22"/>
        </w:rPr>
        <w:t>15</w:t>
      </w:r>
      <w:r w:rsidR="00A75862" w:rsidRPr="00F1193E">
        <w:rPr>
          <w:sz w:val="22"/>
          <w:szCs w:val="22"/>
        </w:rPr>
        <w:t xml:space="preserve"> projektů v prioritních osách 6a a 6b </w:t>
      </w:r>
      <w:r w:rsidRPr="00F1193E">
        <w:rPr>
          <w:sz w:val="22"/>
          <w:szCs w:val="22"/>
        </w:rPr>
        <w:t>zavázali, že realizovaný projekt bude</w:t>
      </w:r>
      <w:r w:rsidR="00A75862" w:rsidRPr="00F1193E">
        <w:rPr>
          <w:sz w:val="22"/>
          <w:szCs w:val="22"/>
        </w:rPr>
        <w:t xml:space="preserve"> ekologicky neutrální.</w:t>
      </w:r>
      <w:r w:rsidR="00A75862">
        <w:rPr>
          <w:sz w:val="22"/>
          <w:szCs w:val="22"/>
        </w:rPr>
        <w:t xml:space="preserve"> </w:t>
      </w:r>
    </w:p>
    <w:p w:rsidR="00A75862" w:rsidRPr="00550214" w:rsidRDefault="00FF5255" w:rsidP="008263BA">
      <w:pPr>
        <w:pStyle w:val="Tabulkanzev"/>
      </w:pPr>
      <w:bookmarkStart w:id="256" w:name="_Toc416431872"/>
      <w:r>
        <w:t>Udržitelný rozvoj v oblasti intervence 6.2</w:t>
      </w:r>
      <w:bookmarkEnd w:id="256"/>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307F4" w:rsidTr="00CF0E9A">
        <w:trPr>
          <w:trHeight w:val="270"/>
        </w:trPr>
        <w:tc>
          <w:tcPr>
            <w:tcW w:w="5260" w:type="dxa"/>
            <w:shd w:val="clear" w:color="auto" w:fill="C2D69B" w:themeFill="accent3" w:themeFillTint="99"/>
            <w:vAlign w:val="center"/>
          </w:tcPr>
          <w:p w:rsidR="00A75862" w:rsidRPr="00CF0E9A" w:rsidRDefault="00A75862" w:rsidP="00DB307F">
            <w:pPr>
              <w:jc w:val="center"/>
              <w:rPr>
                <w:b/>
                <w:bCs/>
                <w:sz w:val="18"/>
                <w:szCs w:val="18"/>
              </w:rPr>
            </w:pPr>
            <w:r w:rsidRPr="00CF0E9A">
              <w:rPr>
                <w:b/>
                <w:bCs/>
                <w:sz w:val="18"/>
                <w:szCs w:val="18"/>
              </w:rPr>
              <w:t>Sledování horizontálních témat</w:t>
            </w:r>
          </w:p>
        </w:tc>
        <w:tc>
          <w:tcPr>
            <w:tcW w:w="1920" w:type="dxa"/>
            <w:shd w:val="clear" w:color="auto" w:fill="C2D69B" w:themeFill="accent3" w:themeFillTint="99"/>
            <w:vAlign w:val="center"/>
          </w:tcPr>
          <w:p w:rsidR="00A75862" w:rsidRPr="00CF0E9A" w:rsidRDefault="00A75862">
            <w:pPr>
              <w:jc w:val="center"/>
              <w:rPr>
                <w:b/>
                <w:bCs/>
                <w:sz w:val="18"/>
                <w:szCs w:val="18"/>
              </w:rPr>
            </w:pPr>
            <w:r w:rsidRPr="00CF0E9A">
              <w:rPr>
                <w:b/>
                <w:bCs/>
                <w:sz w:val="18"/>
                <w:szCs w:val="18"/>
              </w:rPr>
              <w:t>Měrná jednotka</w:t>
            </w:r>
          </w:p>
        </w:tc>
        <w:tc>
          <w:tcPr>
            <w:tcW w:w="1860" w:type="dxa"/>
            <w:shd w:val="clear" w:color="auto" w:fill="C2D69B" w:themeFill="accent3" w:themeFillTint="99"/>
            <w:vAlign w:val="center"/>
          </w:tcPr>
          <w:p w:rsidR="00A75862" w:rsidRPr="00CF0E9A" w:rsidRDefault="00A75862">
            <w:pPr>
              <w:jc w:val="center"/>
              <w:rPr>
                <w:b/>
                <w:bCs/>
                <w:sz w:val="18"/>
                <w:szCs w:val="18"/>
              </w:rPr>
            </w:pPr>
            <w:r w:rsidRPr="00CF0E9A">
              <w:rPr>
                <w:b/>
                <w:bCs/>
                <w:sz w:val="18"/>
                <w:szCs w:val="18"/>
              </w:rPr>
              <w:t>Počet projektů</w:t>
            </w:r>
          </w:p>
        </w:tc>
      </w:tr>
      <w:tr w:rsidR="003B1FDB" w:rsidRPr="006307F4" w:rsidTr="00642923">
        <w:trPr>
          <w:trHeight w:val="255"/>
        </w:trPr>
        <w:tc>
          <w:tcPr>
            <w:tcW w:w="5260" w:type="dxa"/>
            <w:noWrap/>
            <w:vAlign w:val="center"/>
          </w:tcPr>
          <w:p w:rsidR="003B1FDB" w:rsidRPr="00CF0E9A" w:rsidRDefault="003B1FDB" w:rsidP="00DB307F">
            <w:pPr>
              <w:rPr>
                <w:sz w:val="18"/>
                <w:szCs w:val="18"/>
              </w:rPr>
            </w:pPr>
            <w:r w:rsidRPr="00CF0E9A">
              <w:rPr>
                <w:sz w:val="18"/>
                <w:szCs w:val="18"/>
              </w:rPr>
              <w:t>Projekt je soustředěn hlavně</w:t>
            </w:r>
            <w:r w:rsidRPr="00CF0E9A">
              <w:rPr>
                <w:b/>
                <w:sz w:val="18"/>
                <w:szCs w:val="18"/>
              </w:rPr>
              <w:t xml:space="preserve"> na životní prostředí</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r w:rsidR="003B1FDB" w:rsidRPr="006307F4" w:rsidTr="00642923">
        <w:trPr>
          <w:trHeight w:val="255"/>
        </w:trPr>
        <w:tc>
          <w:tcPr>
            <w:tcW w:w="5260" w:type="dxa"/>
            <w:noWrap/>
            <w:vAlign w:val="center"/>
          </w:tcPr>
          <w:p w:rsidR="003B1FDB" w:rsidRPr="00CF0E9A" w:rsidRDefault="003B1FDB" w:rsidP="00DB307F">
            <w:pPr>
              <w:rPr>
                <w:sz w:val="18"/>
                <w:szCs w:val="18"/>
              </w:rPr>
            </w:pPr>
            <w:r w:rsidRPr="00CF0E9A">
              <w:rPr>
                <w:sz w:val="18"/>
                <w:szCs w:val="18"/>
              </w:rPr>
              <w:t xml:space="preserve">Projekt </w:t>
            </w:r>
            <w:r w:rsidRPr="00CF0E9A">
              <w:rPr>
                <w:b/>
                <w:sz w:val="18"/>
                <w:szCs w:val="18"/>
              </w:rPr>
              <w:t xml:space="preserve">má pozitivní dopad </w:t>
            </w:r>
            <w:r w:rsidRPr="00CF0E9A">
              <w:rPr>
                <w:sz w:val="18"/>
                <w:szCs w:val="18"/>
              </w:rPr>
              <w:t>na životní prostředí</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r w:rsidR="003B1FDB" w:rsidRPr="006307F4" w:rsidTr="00642923">
        <w:trPr>
          <w:trHeight w:val="255"/>
        </w:trPr>
        <w:tc>
          <w:tcPr>
            <w:tcW w:w="5260" w:type="dxa"/>
            <w:noWrap/>
            <w:vAlign w:val="center"/>
          </w:tcPr>
          <w:p w:rsidR="003B1FDB" w:rsidRPr="00CF0E9A" w:rsidRDefault="003B1FDB" w:rsidP="00DB307F">
            <w:pPr>
              <w:rPr>
                <w:sz w:val="18"/>
                <w:szCs w:val="18"/>
              </w:rPr>
            </w:pPr>
            <w:r w:rsidRPr="00CF0E9A">
              <w:rPr>
                <w:sz w:val="18"/>
                <w:szCs w:val="18"/>
              </w:rPr>
              <w:t xml:space="preserve">Projekt je ekologicky </w:t>
            </w:r>
            <w:r w:rsidRPr="00CF0E9A">
              <w:rPr>
                <w:b/>
                <w:sz w:val="18"/>
                <w:szCs w:val="18"/>
              </w:rPr>
              <w:t>neutrální</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4904F0" w:rsidP="00692535">
            <w:pPr>
              <w:jc w:val="center"/>
              <w:rPr>
                <w:sz w:val="18"/>
                <w:szCs w:val="18"/>
              </w:rPr>
            </w:pPr>
            <w:r w:rsidRPr="00CF0E9A">
              <w:rPr>
                <w:sz w:val="18"/>
                <w:szCs w:val="18"/>
              </w:rPr>
              <w:t>1</w:t>
            </w:r>
            <w:r w:rsidR="00BB7F40">
              <w:rPr>
                <w:sz w:val="18"/>
                <w:szCs w:val="18"/>
              </w:rPr>
              <w:t>15</w:t>
            </w:r>
          </w:p>
        </w:tc>
      </w:tr>
      <w:tr w:rsidR="003B1FDB" w:rsidRPr="006307F4" w:rsidTr="00642923">
        <w:trPr>
          <w:trHeight w:val="255"/>
        </w:trPr>
        <w:tc>
          <w:tcPr>
            <w:tcW w:w="5260" w:type="dxa"/>
            <w:noWrap/>
            <w:vAlign w:val="center"/>
          </w:tcPr>
          <w:p w:rsidR="003B1FDB" w:rsidRPr="00CF0E9A" w:rsidRDefault="003B1FDB" w:rsidP="00DB307F">
            <w:pPr>
              <w:rPr>
                <w:sz w:val="18"/>
                <w:szCs w:val="18"/>
              </w:rPr>
            </w:pPr>
            <w:r w:rsidRPr="00CF0E9A">
              <w:rPr>
                <w:sz w:val="18"/>
                <w:szCs w:val="18"/>
              </w:rPr>
              <w:t xml:space="preserve">Projekt vyžaduje </w:t>
            </w:r>
            <w:r w:rsidRPr="00CF0E9A">
              <w:rPr>
                <w:b/>
                <w:sz w:val="18"/>
                <w:szCs w:val="18"/>
              </w:rPr>
              <w:t>posouzení vlivu na životní prostředí</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r w:rsidR="003B1FDB" w:rsidRPr="006307F4" w:rsidTr="00642923">
        <w:trPr>
          <w:trHeight w:val="255"/>
        </w:trPr>
        <w:tc>
          <w:tcPr>
            <w:tcW w:w="5260" w:type="dxa"/>
            <w:noWrap/>
            <w:vAlign w:val="center"/>
          </w:tcPr>
          <w:p w:rsidR="003B1FDB" w:rsidRPr="00CF0E9A" w:rsidRDefault="003B1FDB" w:rsidP="00692535">
            <w:pPr>
              <w:rPr>
                <w:sz w:val="18"/>
                <w:szCs w:val="18"/>
              </w:rPr>
            </w:pPr>
            <w:r w:rsidRPr="00CF0E9A">
              <w:rPr>
                <w:sz w:val="18"/>
                <w:szCs w:val="18"/>
              </w:rPr>
              <w:t xml:space="preserve">Projekt přispěje </w:t>
            </w:r>
            <w:r w:rsidRPr="00CF0E9A">
              <w:rPr>
                <w:b/>
                <w:sz w:val="18"/>
                <w:szCs w:val="18"/>
              </w:rPr>
              <w:t>ke zlepšení ovzduší</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r w:rsidR="003B1FDB" w:rsidRPr="006307F4" w:rsidTr="00642923">
        <w:trPr>
          <w:trHeight w:val="255"/>
        </w:trPr>
        <w:tc>
          <w:tcPr>
            <w:tcW w:w="5260" w:type="dxa"/>
            <w:noWrap/>
            <w:vAlign w:val="center"/>
          </w:tcPr>
          <w:p w:rsidR="003B1FDB" w:rsidRPr="00CF0E9A" w:rsidRDefault="003B1FDB" w:rsidP="00DB307F">
            <w:pPr>
              <w:rPr>
                <w:sz w:val="18"/>
                <w:szCs w:val="18"/>
              </w:rPr>
            </w:pPr>
            <w:r w:rsidRPr="00CF0E9A">
              <w:rPr>
                <w:sz w:val="18"/>
                <w:szCs w:val="18"/>
              </w:rPr>
              <w:t xml:space="preserve">Projekt přispěje </w:t>
            </w:r>
            <w:r w:rsidRPr="00CF0E9A">
              <w:rPr>
                <w:b/>
                <w:sz w:val="18"/>
                <w:szCs w:val="18"/>
              </w:rPr>
              <w:t>ke zlepšení kvality vod</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r w:rsidR="003B1FDB" w:rsidRPr="006307F4" w:rsidTr="00642923">
        <w:trPr>
          <w:trHeight w:val="255"/>
        </w:trPr>
        <w:tc>
          <w:tcPr>
            <w:tcW w:w="5260" w:type="dxa"/>
            <w:noWrap/>
            <w:vAlign w:val="center"/>
          </w:tcPr>
          <w:p w:rsidR="003B1FDB" w:rsidRPr="00CF0E9A" w:rsidRDefault="003B1FDB" w:rsidP="00DB307F">
            <w:pPr>
              <w:rPr>
                <w:sz w:val="18"/>
                <w:szCs w:val="18"/>
              </w:rPr>
            </w:pPr>
            <w:r w:rsidRPr="00CF0E9A">
              <w:rPr>
                <w:sz w:val="18"/>
                <w:szCs w:val="18"/>
              </w:rPr>
              <w:t xml:space="preserve">Projekt využije </w:t>
            </w:r>
            <w:r w:rsidRPr="00CF0E9A">
              <w:rPr>
                <w:b/>
                <w:sz w:val="18"/>
                <w:szCs w:val="18"/>
              </w:rPr>
              <w:t>alternativní zdroje</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r w:rsidR="003B1FDB" w:rsidRPr="006307F4" w:rsidTr="00642923">
        <w:trPr>
          <w:trHeight w:val="255"/>
        </w:trPr>
        <w:tc>
          <w:tcPr>
            <w:tcW w:w="5260" w:type="dxa"/>
            <w:noWrap/>
            <w:vAlign w:val="center"/>
          </w:tcPr>
          <w:p w:rsidR="003B1FDB" w:rsidRPr="00CF0E9A" w:rsidRDefault="003B1FDB" w:rsidP="00DB307F">
            <w:pPr>
              <w:rPr>
                <w:sz w:val="18"/>
                <w:szCs w:val="18"/>
              </w:rPr>
            </w:pPr>
            <w:r w:rsidRPr="00CF0E9A">
              <w:rPr>
                <w:sz w:val="18"/>
                <w:szCs w:val="18"/>
              </w:rPr>
              <w:t xml:space="preserve">Projekt zajistí </w:t>
            </w:r>
            <w:r w:rsidRPr="00CF0E9A">
              <w:rPr>
                <w:b/>
                <w:sz w:val="18"/>
                <w:szCs w:val="18"/>
              </w:rPr>
              <w:t>zvýšení rozlohy sídelní vegetace</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r w:rsidR="003B1FDB" w:rsidRPr="006307F4" w:rsidTr="00642923">
        <w:trPr>
          <w:trHeight w:val="270"/>
        </w:trPr>
        <w:tc>
          <w:tcPr>
            <w:tcW w:w="5260" w:type="dxa"/>
            <w:noWrap/>
            <w:vAlign w:val="center"/>
          </w:tcPr>
          <w:p w:rsidR="003B1FDB" w:rsidRPr="00CF0E9A" w:rsidRDefault="003B1FDB" w:rsidP="00DB307F">
            <w:pPr>
              <w:rPr>
                <w:sz w:val="18"/>
                <w:szCs w:val="18"/>
              </w:rPr>
            </w:pPr>
            <w:r w:rsidRPr="00CF0E9A">
              <w:rPr>
                <w:sz w:val="18"/>
                <w:szCs w:val="18"/>
              </w:rPr>
              <w:t xml:space="preserve">Projekt zlepší </w:t>
            </w:r>
            <w:r w:rsidRPr="00CF0E9A">
              <w:rPr>
                <w:b/>
                <w:sz w:val="18"/>
                <w:szCs w:val="18"/>
              </w:rPr>
              <w:t>informovanost obyvatel o ochraně životního prostředí</w:t>
            </w:r>
          </w:p>
        </w:tc>
        <w:tc>
          <w:tcPr>
            <w:tcW w:w="1920" w:type="dxa"/>
            <w:noWrap/>
            <w:vAlign w:val="center"/>
          </w:tcPr>
          <w:p w:rsidR="003B1FDB" w:rsidRPr="00CF0E9A" w:rsidRDefault="003B1FDB" w:rsidP="00692535">
            <w:pPr>
              <w:jc w:val="center"/>
              <w:rPr>
                <w:sz w:val="18"/>
                <w:szCs w:val="18"/>
              </w:rPr>
            </w:pPr>
            <w:r w:rsidRPr="00CF0E9A">
              <w:rPr>
                <w:sz w:val="18"/>
                <w:szCs w:val="18"/>
              </w:rPr>
              <w:t>Počet projektů</w:t>
            </w:r>
          </w:p>
        </w:tc>
        <w:tc>
          <w:tcPr>
            <w:tcW w:w="1860" w:type="dxa"/>
            <w:noWrap/>
            <w:vAlign w:val="center"/>
          </w:tcPr>
          <w:p w:rsidR="003B1FDB" w:rsidRPr="00CF0E9A" w:rsidRDefault="003B1FDB" w:rsidP="00692535">
            <w:pPr>
              <w:jc w:val="center"/>
              <w:rPr>
                <w:sz w:val="18"/>
                <w:szCs w:val="18"/>
              </w:rPr>
            </w:pPr>
            <w:r w:rsidRPr="00CF0E9A">
              <w:rPr>
                <w:sz w:val="18"/>
                <w:szCs w:val="18"/>
              </w:rPr>
              <w:t>0</w:t>
            </w:r>
          </w:p>
        </w:tc>
      </w:tr>
    </w:tbl>
    <w:p w:rsidR="00A75862" w:rsidRDefault="00A75862" w:rsidP="00184E0A">
      <w:pPr>
        <w:jc w:val="both"/>
      </w:pPr>
      <w:r w:rsidRPr="0001374B">
        <w:rPr>
          <w:i/>
          <w:color w:val="000000"/>
          <w:sz w:val="18"/>
          <w:szCs w:val="18"/>
        </w:rPr>
        <w:t xml:space="preserve">Zdroj: IS Monit7+ IOP k </w:t>
      </w:r>
      <w:r w:rsidR="0005371D" w:rsidRPr="0001374B">
        <w:rPr>
          <w:i/>
          <w:color w:val="000000"/>
          <w:sz w:val="18"/>
          <w:szCs w:val="18"/>
        </w:rPr>
        <w:t>2. 1. 2015</w:t>
      </w:r>
    </w:p>
    <w:p w:rsidR="00847948" w:rsidRDefault="00847948" w:rsidP="00491950">
      <w:pPr>
        <w:pStyle w:val="TextNOK"/>
        <w:spacing w:line="240" w:lineRule="auto"/>
        <w:rPr>
          <w:b/>
          <w:bCs/>
        </w:rPr>
      </w:pPr>
    </w:p>
    <w:p w:rsidR="00847948" w:rsidRDefault="00847948" w:rsidP="00491950">
      <w:pPr>
        <w:pStyle w:val="TextNOK"/>
        <w:spacing w:line="240" w:lineRule="auto"/>
        <w:rPr>
          <w:b/>
          <w:bCs/>
        </w:rPr>
      </w:pPr>
    </w:p>
    <w:p w:rsidR="000A52D2" w:rsidRPr="00F06C9E" w:rsidRDefault="00847948" w:rsidP="00F06C9E">
      <w:pPr>
        <w:pStyle w:val="Nadpis3"/>
      </w:pPr>
      <w:bookmarkStart w:id="257" w:name="_Toc351629197"/>
      <w:bookmarkStart w:id="258" w:name="_Toc382407718"/>
      <w:bookmarkStart w:id="259" w:name="_Toc383084720"/>
      <w:bookmarkStart w:id="260" w:name="_Toc417024891"/>
      <w:r w:rsidRPr="009026D3">
        <w:t>3.6.2 Závažné problémy, které se objevily, a přijatá opatření k jejich odstranění</w:t>
      </w:r>
      <w:bookmarkEnd w:id="257"/>
      <w:bookmarkEnd w:id="258"/>
      <w:bookmarkEnd w:id="259"/>
      <w:bookmarkEnd w:id="260"/>
    </w:p>
    <w:p w:rsidR="000A52D2" w:rsidRPr="002D17C3" w:rsidRDefault="000A52D2" w:rsidP="00F06C9E">
      <w:pPr>
        <w:pStyle w:val="TextNOK"/>
        <w:spacing w:line="240" w:lineRule="auto"/>
        <w:rPr>
          <w:b/>
        </w:rPr>
      </w:pPr>
      <w:r w:rsidRPr="002D17C3">
        <w:rPr>
          <w:b/>
        </w:rPr>
        <w:t>Financování administrativních kapacit do konce programovacího období</w:t>
      </w:r>
    </w:p>
    <w:p w:rsidR="000A52D2" w:rsidRPr="002D17C3" w:rsidRDefault="000A52D2" w:rsidP="00F06C9E">
      <w:pPr>
        <w:pStyle w:val="TextNOK"/>
        <w:spacing w:line="240" w:lineRule="auto"/>
      </w:pPr>
      <w:r w:rsidRPr="002D17C3">
        <w:t>Hlavním problémem byla potřeba v předstihu rozhodnout o financování administrativních kapacit do konce roku 2015, zajistit administrativní kapacity pro sledování udržitelnosti projektů od roku 2016 a</w:t>
      </w:r>
      <w:r>
        <w:t> </w:t>
      </w:r>
      <w:r w:rsidRPr="002D17C3">
        <w:t>zajistit administrativní kapacity pro úspěšné uzavírání IOP. V souladu s UV č.</w:t>
      </w:r>
      <w:r>
        <w:t xml:space="preserve"> </w:t>
      </w:r>
      <w:r w:rsidRPr="002D17C3">
        <w:t>144/2014 ŘO IOP předal analýzu administrativních kapacit na NOK</w:t>
      </w:r>
      <w:r>
        <w:t>.</w:t>
      </w:r>
    </w:p>
    <w:p w:rsidR="000A52D2" w:rsidRPr="002D17C3" w:rsidRDefault="000A52D2" w:rsidP="000A52D2">
      <w:pPr>
        <w:pStyle w:val="TextNOK"/>
        <w:spacing w:line="240" w:lineRule="auto"/>
      </w:pPr>
    </w:p>
    <w:p w:rsidR="000A52D2" w:rsidRPr="00F06C9E" w:rsidRDefault="000A52D2" w:rsidP="000A52D2">
      <w:pPr>
        <w:pStyle w:val="TextNOK"/>
        <w:spacing w:line="240" w:lineRule="auto"/>
        <w:rPr>
          <w:b/>
          <w:szCs w:val="22"/>
        </w:rPr>
      </w:pPr>
      <w:r w:rsidRPr="00F06C9E">
        <w:rPr>
          <w:b/>
          <w:szCs w:val="22"/>
        </w:rPr>
        <w:t>Přijatá opatření</w:t>
      </w:r>
    </w:p>
    <w:p w:rsidR="000A52D2" w:rsidRPr="002D17C3" w:rsidRDefault="000A52D2" w:rsidP="000A52D2">
      <w:pPr>
        <w:pStyle w:val="TextNOK"/>
        <w:spacing w:line="240" w:lineRule="auto"/>
        <w:rPr>
          <w:szCs w:val="22"/>
        </w:rPr>
      </w:pPr>
      <w:r w:rsidRPr="002D17C3">
        <w:rPr>
          <w:szCs w:val="22"/>
        </w:rPr>
        <w:t>K zajištění financování výdajů provedl ŘO IOP změnu výzev MMR č. 2 a 10, prodloužil způsobilost výdajů do 31. 12. 2015 a ukončení realizace projektů do 30. 11. 2015.</w:t>
      </w:r>
    </w:p>
    <w:p w:rsidR="000A52D2" w:rsidRPr="002D17C3" w:rsidRDefault="000A52D2" w:rsidP="000A52D2">
      <w:pPr>
        <w:pStyle w:val="TextNOK"/>
        <w:spacing w:line="240" w:lineRule="auto"/>
        <w:rPr>
          <w:szCs w:val="22"/>
        </w:rPr>
      </w:pPr>
      <w:r w:rsidRPr="002D17C3">
        <w:rPr>
          <w:szCs w:val="22"/>
        </w:rPr>
        <w:t>Současně k 22. srpnu 2014 provedl revizi Příručky pro žadatele a příjemce, do které zapracoval Metodický pokyn k rozvoji lidských zdrojů v programovém období 2014-2020 a v programovém období 2007-2013, schválen</w:t>
      </w:r>
      <w:r>
        <w:rPr>
          <w:szCs w:val="22"/>
        </w:rPr>
        <w:t>ý UV č. 444/2014 (dále jen MP).</w:t>
      </w:r>
    </w:p>
    <w:p w:rsidR="000A52D2" w:rsidRPr="002D17C3" w:rsidRDefault="000A52D2" w:rsidP="000A52D2">
      <w:pPr>
        <w:pStyle w:val="TextNOK"/>
        <w:spacing w:line="240" w:lineRule="auto"/>
        <w:rPr>
          <w:szCs w:val="22"/>
        </w:rPr>
      </w:pPr>
      <w:r w:rsidRPr="002D17C3">
        <w:rPr>
          <w:szCs w:val="22"/>
        </w:rPr>
        <w:t>Cílem MP je nastavení jednotných minimálních požadavků na kvalitní zajištění administrativní kapacity. Stanoví pravidla pro zajištění kvalitní, stabilní a kompetentní administrativní kapacity v období ukončování programového období 2007-2013. MP obsahuje procesy systému řízení a</w:t>
      </w:r>
      <w:r>
        <w:rPr>
          <w:szCs w:val="22"/>
        </w:rPr>
        <w:t> </w:t>
      </w:r>
      <w:r w:rsidRPr="002D17C3">
        <w:rPr>
          <w:szCs w:val="22"/>
        </w:rPr>
        <w:t>rozvoje lidských zdrojů, od personálního plánování, přes získávání</w:t>
      </w:r>
      <w:r>
        <w:rPr>
          <w:szCs w:val="22"/>
        </w:rPr>
        <w:t>,</w:t>
      </w:r>
      <w:r w:rsidRPr="002D17C3">
        <w:rPr>
          <w:szCs w:val="22"/>
        </w:rPr>
        <w:t xml:space="preserve"> výběr a adaptaci zaměstnanců, řízení a hodnocení zaměstnanců, až po systém vzdělávání a uvolňování zaměstnanců.</w:t>
      </w:r>
    </w:p>
    <w:p w:rsidR="000A52D2" w:rsidRDefault="000A52D2" w:rsidP="000A52D2">
      <w:pPr>
        <w:pStyle w:val="TextNOK"/>
        <w:spacing w:line="240" w:lineRule="auto"/>
        <w:rPr>
          <w:szCs w:val="22"/>
        </w:rPr>
      </w:pPr>
      <w:r>
        <w:rPr>
          <w:szCs w:val="22"/>
        </w:rPr>
        <w:t>Dále byl na základě Analýzy administrativní kapacity IOP a IROP k 31. 10. 2014 stanoven odhady potřebného počtu pracovníků pro ukončování programu IOP.</w:t>
      </w:r>
    </w:p>
    <w:p w:rsidR="000A52D2" w:rsidRPr="002D17C3" w:rsidRDefault="000A52D2" w:rsidP="000A52D2">
      <w:pPr>
        <w:pStyle w:val="TextNOK"/>
        <w:spacing w:line="240" w:lineRule="auto"/>
        <w:rPr>
          <w:szCs w:val="22"/>
        </w:rPr>
      </w:pPr>
    </w:p>
    <w:p w:rsidR="000A52D2" w:rsidRPr="00F06C9E" w:rsidRDefault="00F06C9E" w:rsidP="000A52D2">
      <w:pPr>
        <w:jc w:val="both"/>
        <w:rPr>
          <w:b/>
          <w:bCs/>
          <w:sz w:val="22"/>
          <w:szCs w:val="22"/>
        </w:rPr>
      </w:pPr>
      <w:r w:rsidRPr="00F06C9E">
        <w:rPr>
          <w:b/>
          <w:bCs/>
          <w:sz w:val="22"/>
          <w:szCs w:val="22"/>
        </w:rPr>
        <w:lastRenderedPageBreak/>
        <w:t>Velké množství veřejných zakázek</w:t>
      </w:r>
    </w:p>
    <w:p w:rsidR="000A52D2" w:rsidRPr="002D17C3" w:rsidRDefault="000A52D2" w:rsidP="000A52D2">
      <w:pPr>
        <w:pStyle w:val="TextNOK"/>
        <w:spacing w:line="240" w:lineRule="auto"/>
        <w:rPr>
          <w:szCs w:val="22"/>
        </w:rPr>
      </w:pPr>
      <w:r w:rsidRPr="002D17C3">
        <w:rPr>
          <w:szCs w:val="22"/>
        </w:rPr>
        <w:t>Velké množství veřejných zakázek, společných pro několik projektů, problémy příjemců s dokladováním převážně mzdových výdajů, přiřazování výdajů k odpovídající zakázce, popř.</w:t>
      </w:r>
      <w:r>
        <w:rPr>
          <w:szCs w:val="22"/>
        </w:rPr>
        <w:t> </w:t>
      </w:r>
      <w:r w:rsidRPr="002D17C3">
        <w:rPr>
          <w:szCs w:val="22"/>
        </w:rPr>
        <w:t>projektu.</w:t>
      </w:r>
    </w:p>
    <w:p w:rsidR="00F06C9E" w:rsidRDefault="00F06C9E" w:rsidP="000A52D2">
      <w:pPr>
        <w:pStyle w:val="TextNOK"/>
        <w:spacing w:line="240" w:lineRule="auto"/>
        <w:rPr>
          <w:b/>
          <w:i/>
          <w:szCs w:val="22"/>
        </w:rPr>
      </w:pPr>
    </w:p>
    <w:p w:rsidR="000A52D2" w:rsidRPr="00F06C9E" w:rsidRDefault="000A52D2" w:rsidP="000A52D2">
      <w:pPr>
        <w:pStyle w:val="TextNOK"/>
        <w:spacing w:line="240" w:lineRule="auto"/>
        <w:rPr>
          <w:b/>
          <w:szCs w:val="22"/>
        </w:rPr>
      </w:pPr>
      <w:r w:rsidRPr="00F06C9E">
        <w:rPr>
          <w:b/>
          <w:szCs w:val="22"/>
        </w:rPr>
        <w:t>Přijaté opatření</w:t>
      </w:r>
    </w:p>
    <w:p w:rsidR="000A52D2" w:rsidRPr="00F06C9E" w:rsidRDefault="000A52D2" w:rsidP="00F06C9E">
      <w:pPr>
        <w:pStyle w:val="TextNOK"/>
        <w:spacing w:line="240" w:lineRule="auto"/>
        <w:rPr>
          <w:szCs w:val="22"/>
        </w:rPr>
      </w:pPr>
      <w:r w:rsidRPr="00F45C71">
        <w:rPr>
          <w:szCs w:val="22"/>
        </w:rPr>
        <w:t>Konzultace na P-CRR ČR, která projekty TP IO</w:t>
      </w:r>
      <w:r>
        <w:rPr>
          <w:szCs w:val="22"/>
        </w:rPr>
        <w:t>P</w:t>
      </w:r>
      <w:r w:rsidRPr="00F45C71">
        <w:rPr>
          <w:szCs w:val="22"/>
        </w:rPr>
        <w:t xml:space="preserve"> </w:t>
      </w:r>
      <w:r w:rsidR="00F06C9E" w:rsidRPr="00F45C71">
        <w:rPr>
          <w:szCs w:val="22"/>
        </w:rPr>
        <w:t>administruje.</w:t>
      </w:r>
      <w:r w:rsidR="00F06C9E" w:rsidRPr="00F06C9E">
        <w:rPr>
          <w:szCs w:val="22"/>
        </w:rPr>
        <w:t xml:space="preserve"> Ve</w:t>
      </w:r>
      <w:r w:rsidRPr="00F06C9E">
        <w:rPr>
          <w:szCs w:val="22"/>
        </w:rPr>
        <w:t xml:space="preserve"> spolupráci s ŘO IOP a na základě zkušeností provedená aktualizace náležitostí dokladování způsobilých výdajů s cílem zjednodušit dokladování.</w:t>
      </w:r>
    </w:p>
    <w:p w:rsidR="00690083" w:rsidRDefault="00690083" w:rsidP="00491950">
      <w:pPr>
        <w:jc w:val="both"/>
        <w:rPr>
          <w:sz w:val="22"/>
          <w:szCs w:val="22"/>
        </w:rPr>
      </w:pPr>
    </w:p>
    <w:p w:rsidR="00A75862" w:rsidRPr="00C54F4C" w:rsidRDefault="00A75862" w:rsidP="00C54F4C">
      <w:pPr>
        <w:pStyle w:val="Nadpis1"/>
        <w:rPr>
          <w:rFonts w:ascii="Times New Roman" w:hAnsi="Times New Roman"/>
          <w:color w:val="76923C"/>
        </w:rPr>
      </w:pPr>
      <w:bookmarkStart w:id="261" w:name="_Toc417024892"/>
      <w:r w:rsidRPr="009026D3">
        <w:rPr>
          <w:rFonts w:ascii="Times New Roman" w:hAnsi="Times New Roman"/>
          <w:color w:val="76923C"/>
        </w:rPr>
        <w:t>4 PROGRAMY ERDF/FOND</w:t>
      </w:r>
      <w:r w:rsidR="00AB5EAA" w:rsidRPr="00AB5EAA">
        <w:rPr>
          <w:rFonts w:ascii="Times New Roman" w:hAnsi="Times New Roman"/>
          <w:color w:val="76923C"/>
        </w:rPr>
        <w:t xml:space="preserve"> </w:t>
      </w:r>
      <w:r w:rsidR="00AB5EAA" w:rsidRPr="002D0D38">
        <w:rPr>
          <w:rFonts w:ascii="Times New Roman" w:hAnsi="Times New Roman"/>
          <w:color w:val="76923C"/>
        </w:rPr>
        <w:t>SOUDRŽNOSTI</w:t>
      </w:r>
      <w:bookmarkEnd w:id="261"/>
    </w:p>
    <w:p w:rsidR="00741741" w:rsidRPr="00C54F4C" w:rsidRDefault="00741741" w:rsidP="009026D3">
      <w:pPr>
        <w:rPr>
          <w:sz w:val="22"/>
          <w:szCs w:val="22"/>
        </w:rPr>
      </w:pPr>
      <w:r w:rsidRPr="00C54F4C">
        <w:rPr>
          <w:sz w:val="22"/>
          <w:szCs w:val="22"/>
        </w:rPr>
        <w:t xml:space="preserve">V rámci Integrovaného operačního programu jsou předloženy dva velké projekty v oblasti intervence 3.4. </w:t>
      </w:r>
    </w:p>
    <w:p w:rsidR="00777601" w:rsidRDefault="00777601" w:rsidP="00777601">
      <w:pPr>
        <w:jc w:val="both"/>
      </w:pPr>
    </w:p>
    <w:p w:rsidR="00777601" w:rsidRPr="00777601" w:rsidRDefault="00777601" w:rsidP="00777601">
      <w:pPr>
        <w:jc w:val="both"/>
        <w:rPr>
          <w:sz w:val="22"/>
          <w:szCs w:val="22"/>
        </w:rPr>
      </w:pPr>
      <w:r w:rsidRPr="00777601">
        <w:rPr>
          <w:sz w:val="22"/>
          <w:szCs w:val="22"/>
        </w:rPr>
        <w:t xml:space="preserve">ŘO IOP ve dnech  </w:t>
      </w:r>
      <w:r w:rsidR="0005371D" w:rsidRPr="00777601">
        <w:rPr>
          <w:sz w:val="22"/>
          <w:szCs w:val="22"/>
        </w:rPr>
        <w:t>31. 10</w:t>
      </w:r>
      <w:r w:rsidRPr="00777601">
        <w:rPr>
          <w:sz w:val="22"/>
          <w:szCs w:val="22"/>
        </w:rPr>
        <w:t xml:space="preserve">. a </w:t>
      </w:r>
      <w:r w:rsidR="0005371D" w:rsidRPr="00777601">
        <w:rPr>
          <w:sz w:val="22"/>
          <w:szCs w:val="22"/>
        </w:rPr>
        <w:t>1. 11. 2013</w:t>
      </w:r>
      <w:r w:rsidRPr="00777601">
        <w:rPr>
          <w:sz w:val="22"/>
          <w:szCs w:val="22"/>
        </w:rPr>
        <w:t xml:space="preserve"> předložil EK žádosti o schválení projektů „Připravenost Hasičského záchranného sboru České republiky k řešení povodní“ CCI 2013CZ161PR007 a „Zvýšení akceschopnosti Policie ČR k záchraně lidských životů a ochraně majetku při povodních“ CCI 2013CZ161PR006. </w:t>
      </w:r>
    </w:p>
    <w:p w:rsidR="00777601" w:rsidRPr="00777601" w:rsidRDefault="00777601" w:rsidP="00777601">
      <w:pPr>
        <w:jc w:val="both"/>
        <w:rPr>
          <w:sz w:val="22"/>
          <w:szCs w:val="22"/>
        </w:rPr>
      </w:pPr>
    </w:p>
    <w:p w:rsidR="00777601" w:rsidRPr="00777601" w:rsidRDefault="00777601" w:rsidP="00777601">
      <w:pPr>
        <w:jc w:val="both"/>
        <w:rPr>
          <w:sz w:val="22"/>
          <w:szCs w:val="22"/>
        </w:rPr>
      </w:pPr>
      <w:r w:rsidRPr="00777601">
        <w:rPr>
          <w:sz w:val="22"/>
          <w:szCs w:val="22"/>
        </w:rPr>
        <w:t xml:space="preserve">Projekt „Zvýšení akceschopnosti Policie ČR k záchraně lidských životů a ochraně majetku při povodních“ - CCI 2013CZ161PR006 má celkové způsobilé výdaje 1,35 mld. Kč, předmětem projektu je posílení efektivity zásahu Policie ČR při živelních pohromách, zejména rozsáhlých povodních. </w:t>
      </w:r>
      <w:r>
        <w:rPr>
          <w:sz w:val="22"/>
          <w:szCs w:val="22"/>
        </w:rPr>
        <w:br/>
      </w:r>
      <w:r w:rsidRPr="00777601">
        <w:rPr>
          <w:sz w:val="22"/>
          <w:szCs w:val="22"/>
        </w:rPr>
        <w:t xml:space="preserve">U projektu Policejního prezídia ČR probíhalo doplňování požadovaných informací a projekt není schválený. Jako náhradní variantu pro případ, že projekt nebude schválen příjemce ve spolupráci s ŘO IOP připravil dva standardní projekty, které </w:t>
      </w:r>
      <w:r>
        <w:rPr>
          <w:sz w:val="22"/>
          <w:szCs w:val="22"/>
        </w:rPr>
        <w:t>mají s velkým projektem společné</w:t>
      </w:r>
      <w:r w:rsidRPr="00777601">
        <w:rPr>
          <w:sz w:val="22"/>
          <w:szCs w:val="22"/>
        </w:rPr>
        <w:t xml:space="preserve"> někter</w:t>
      </w:r>
      <w:r>
        <w:rPr>
          <w:sz w:val="22"/>
          <w:szCs w:val="22"/>
        </w:rPr>
        <w:t>é</w:t>
      </w:r>
      <w:r w:rsidRPr="00777601">
        <w:rPr>
          <w:sz w:val="22"/>
          <w:szCs w:val="22"/>
        </w:rPr>
        <w:t xml:space="preserve"> plánované veřejné zakázky. </w:t>
      </w:r>
    </w:p>
    <w:p w:rsidR="00777601" w:rsidRPr="00777601" w:rsidRDefault="00777601" w:rsidP="00777601">
      <w:pPr>
        <w:ind w:left="1800"/>
        <w:jc w:val="both"/>
        <w:rPr>
          <w:sz w:val="22"/>
          <w:szCs w:val="22"/>
        </w:rPr>
      </w:pPr>
    </w:p>
    <w:p w:rsidR="00EF7609" w:rsidRDefault="00777601" w:rsidP="00777601">
      <w:pPr>
        <w:jc w:val="both"/>
        <w:rPr>
          <w:sz w:val="22"/>
          <w:szCs w:val="22"/>
        </w:rPr>
      </w:pPr>
      <w:r w:rsidRPr="00EF7609">
        <w:rPr>
          <w:sz w:val="22"/>
          <w:szCs w:val="22"/>
        </w:rPr>
        <w:t xml:space="preserve">Projekt „Připravenost Hasičského záchranného sboru České republiky k řešení povodní“ - CCI 2013CZ161PR007 má celkové způsobilé výdaje 1,45 mld. Kč, předmětem projektu je posílení efektivity zásahu Hasičského záchranného sboru ČR při živelních pohromách, zejména rozsáhlých povodních. Na základě požadavků EK předložil  ŘO IOP dne 30. 5. 2014 upravenou žádost, kde zpřesnil účel pořizované techniky a rozšířil analýzu potřeb projektu GŘ HZS „Připravenost Hasičského záchranného sboru České republiky k řešení povodní“. Evropská komise projekt dne </w:t>
      </w:r>
      <w:r w:rsidR="006E1038">
        <w:rPr>
          <w:sz w:val="22"/>
          <w:szCs w:val="22"/>
        </w:rPr>
        <w:br/>
      </w:r>
      <w:r w:rsidRPr="00EF7609">
        <w:rPr>
          <w:sz w:val="22"/>
          <w:szCs w:val="22"/>
        </w:rPr>
        <w:t xml:space="preserve">14. 8. 2014 schválila. </w:t>
      </w:r>
    </w:p>
    <w:p w:rsidR="00EF7609" w:rsidRPr="00EF7609" w:rsidRDefault="00EF7609" w:rsidP="00777601">
      <w:pPr>
        <w:jc w:val="both"/>
        <w:rPr>
          <w:sz w:val="22"/>
          <w:szCs w:val="22"/>
        </w:rPr>
      </w:pPr>
    </w:p>
    <w:p w:rsidR="008B55A2" w:rsidRDefault="00C27A5A" w:rsidP="00C27A5A">
      <w:pPr>
        <w:jc w:val="both"/>
        <w:rPr>
          <w:sz w:val="22"/>
          <w:szCs w:val="22"/>
        </w:rPr>
      </w:pPr>
      <w:r w:rsidRPr="00C27A5A">
        <w:rPr>
          <w:sz w:val="22"/>
          <w:szCs w:val="22"/>
        </w:rPr>
        <w:t xml:space="preserve">Realizace projektu probíhá podle schváleného harmonogramu a naplánované veřejné zakázky jsou průběžně realizovány.  U většiny veřejných zakázek však příjemce registruje obstrukční jednání ze strany některých uchazečů. Podané nabídky vykazují nedostatky, u kterých musí hodnotící komise požádat o vysvětlení. </w:t>
      </w:r>
    </w:p>
    <w:p w:rsidR="00C27A5A" w:rsidRPr="00C27A5A" w:rsidRDefault="008B55A2" w:rsidP="00C27A5A">
      <w:pPr>
        <w:jc w:val="both"/>
        <w:rPr>
          <w:color w:val="1F497D"/>
          <w:sz w:val="22"/>
          <w:szCs w:val="22"/>
        </w:rPr>
      </w:pPr>
      <w:r>
        <w:rPr>
          <w:sz w:val="22"/>
          <w:szCs w:val="22"/>
        </w:rPr>
        <w:t>J</w:t>
      </w:r>
      <w:r w:rsidR="00C27A5A" w:rsidRPr="00C27A5A">
        <w:rPr>
          <w:sz w:val="22"/>
          <w:szCs w:val="22"/>
        </w:rPr>
        <w:t>e možně vysledovat, že na přípravě nabídek začnou většinou firmy pracovat tři týdny před podáním nabídek, protože zásadní dotazy, které mají vliv na prodloužení termínu pro podání nabídek, zadavatel dostává ke konci termínu pro podání žádosti o dodatečné informace</w:t>
      </w:r>
      <w:r>
        <w:rPr>
          <w:sz w:val="22"/>
          <w:szCs w:val="22"/>
        </w:rPr>
        <w:t xml:space="preserve">. </w:t>
      </w:r>
    </w:p>
    <w:p w:rsidR="000D714B" w:rsidRDefault="000D714B" w:rsidP="009B20F9">
      <w:pPr>
        <w:pStyle w:val="Odstavecseseznamem1"/>
        <w:spacing w:line="276" w:lineRule="auto"/>
        <w:ind w:left="720"/>
        <w:jc w:val="both"/>
        <w:rPr>
          <w:sz w:val="22"/>
          <w:szCs w:val="22"/>
        </w:rPr>
      </w:pPr>
    </w:p>
    <w:p w:rsidR="00FC3458" w:rsidRDefault="00FC3458" w:rsidP="009B20F9">
      <w:pPr>
        <w:pStyle w:val="Odstavecseseznamem1"/>
        <w:spacing w:line="276" w:lineRule="auto"/>
        <w:ind w:left="720"/>
        <w:jc w:val="both"/>
        <w:rPr>
          <w:sz w:val="22"/>
          <w:szCs w:val="22"/>
        </w:rPr>
      </w:pPr>
    </w:p>
    <w:p w:rsidR="00FC3458" w:rsidRDefault="00FC3458" w:rsidP="009B20F9">
      <w:pPr>
        <w:pStyle w:val="Odstavecseseznamem1"/>
        <w:spacing w:line="276" w:lineRule="auto"/>
        <w:ind w:left="720"/>
        <w:jc w:val="both"/>
        <w:rPr>
          <w:sz w:val="22"/>
          <w:szCs w:val="22"/>
        </w:rPr>
      </w:pPr>
    </w:p>
    <w:p w:rsidR="00FC3458" w:rsidRDefault="00FC3458" w:rsidP="009B20F9">
      <w:pPr>
        <w:pStyle w:val="Odstavecseseznamem1"/>
        <w:spacing w:line="276" w:lineRule="auto"/>
        <w:ind w:left="720"/>
        <w:jc w:val="both"/>
        <w:rPr>
          <w:sz w:val="22"/>
          <w:szCs w:val="22"/>
        </w:rPr>
      </w:pPr>
    </w:p>
    <w:p w:rsidR="00FC3458" w:rsidRDefault="00FC3458" w:rsidP="009B20F9">
      <w:pPr>
        <w:pStyle w:val="Odstavecseseznamem1"/>
        <w:spacing w:line="276" w:lineRule="auto"/>
        <w:ind w:left="720"/>
        <w:jc w:val="both"/>
        <w:rPr>
          <w:sz w:val="22"/>
          <w:szCs w:val="22"/>
        </w:rPr>
      </w:pPr>
    </w:p>
    <w:p w:rsidR="00FC3458" w:rsidRDefault="00FC3458" w:rsidP="009B20F9">
      <w:pPr>
        <w:pStyle w:val="Odstavecseseznamem1"/>
        <w:spacing w:line="276" w:lineRule="auto"/>
        <w:ind w:left="720"/>
        <w:jc w:val="both"/>
        <w:rPr>
          <w:sz w:val="22"/>
          <w:szCs w:val="22"/>
        </w:rPr>
      </w:pPr>
    </w:p>
    <w:p w:rsidR="006B6636" w:rsidRDefault="006B6636" w:rsidP="009B20F9">
      <w:pPr>
        <w:pStyle w:val="Odstavecseseznamem1"/>
        <w:spacing w:line="276" w:lineRule="auto"/>
        <w:ind w:left="720"/>
        <w:jc w:val="both"/>
        <w:rPr>
          <w:sz w:val="22"/>
          <w:szCs w:val="22"/>
        </w:rPr>
      </w:pPr>
    </w:p>
    <w:p w:rsidR="00FC3458" w:rsidRPr="00C54F4C" w:rsidRDefault="00FC3458" w:rsidP="009B20F9">
      <w:pPr>
        <w:pStyle w:val="Odstavecseseznamem1"/>
        <w:spacing w:line="276" w:lineRule="auto"/>
        <w:ind w:left="720"/>
        <w:jc w:val="both"/>
        <w:rPr>
          <w:sz w:val="22"/>
          <w:szCs w:val="22"/>
        </w:rPr>
      </w:pPr>
    </w:p>
    <w:p w:rsidR="00A75862" w:rsidRPr="002D12EC" w:rsidRDefault="00A75862" w:rsidP="002D12EC">
      <w:pPr>
        <w:pStyle w:val="Nadpis1"/>
        <w:rPr>
          <w:rFonts w:ascii="Times New Roman" w:hAnsi="Times New Roman"/>
          <w:color w:val="76923C"/>
        </w:rPr>
      </w:pPr>
      <w:bookmarkStart w:id="262" w:name="_Toc417024893"/>
      <w:r w:rsidRPr="009026D3">
        <w:rPr>
          <w:rFonts w:ascii="Times New Roman" w:hAnsi="Times New Roman"/>
          <w:color w:val="76923C"/>
        </w:rPr>
        <w:lastRenderedPageBreak/>
        <w:t>5 TECHNICKÁ POMOC</w:t>
      </w:r>
      <w:bookmarkEnd w:id="262"/>
    </w:p>
    <w:p w:rsidR="00A75862" w:rsidRDefault="00A75862" w:rsidP="002D12EC">
      <w:pPr>
        <w:rPr>
          <w:b/>
          <w:color w:val="FF0000"/>
          <w:sz w:val="22"/>
          <w:szCs w:val="22"/>
        </w:rPr>
      </w:pPr>
    </w:p>
    <w:p w:rsidR="00A75862" w:rsidRPr="001D3CDA" w:rsidRDefault="00A75862" w:rsidP="002D12EC">
      <w:pPr>
        <w:rPr>
          <w:b/>
          <w:sz w:val="24"/>
          <w:szCs w:val="24"/>
        </w:rPr>
      </w:pPr>
      <w:r w:rsidRPr="001D3CDA">
        <w:rPr>
          <w:b/>
          <w:sz w:val="24"/>
          <w:szCs w:val="24"/>
        </w:rPr>
        <w:t>Prioritní osy 6a a 6b – Technická pomoc</w:t>
      </w:r>
    </w:p>
    <w:p w:rsidR="00A75862" w:rsidRPr="005A01A9" w:rsidRDefault="00A75862" w:rsidP="00EB4EBC">
      <w:pPr>
        <w:jc w:val="both"/>
        <w:rPr>
          <w:sz w:val="22"/>
          <w:szCs w:val="22"/>
        </w:rPr>
      </w:pPr>
      <w:r w:rsidRPr="005A01A9">
        <w:rPr>
          <w:sz w:val="22"/>
          <w:szCs w:val="22"/>
        </w:rPr>
        <w:t>Prioritní osy 6a a 6b se zaměřují na podporu efektivního řízení I</w:t>
      </w:r>
      <w:r>
        <w:rPr>
          <w:sz w:val="22"/>
          <w:szCs w:val="22"/>
        </w:rPr>
        <w:t xml:space="preserve">ntegrovaného operačního </w:t>
      </w:r>
      <w:r w:rsidRPr="005A01A9">
        <w:rPr>
          <w:sz w:val="22"/>
          <w:szCs w:val="22"/>
        </w:rPr>
        <w:t xml:space="preserve">programu pro </w:t>
      </w:r>
      <w:r w:rsidRPr="00426FD7">
        <w:rPr>
          <w:sz w:val="22"/>
          <w:szCs w:val="22"/>
        </w:rPr>
        <w:t xml:space="preserve">celé </w:t>
      </w:r>
      <w:r w:rsidR="005A1F0B" w:rsidRPr="008C4750">
        <w:rPr>
          <w:sz w:val="22"/>
          <w:szCs w:val="22"/>
        </w:rPr>
        <w:t>programovací</w:t>
      </w:r>
      <w:r w:rsidRPr="005A01A9">
        <w:rPr>
          <w:sz w:val="22"/>
          <w:szCs w:val="22"/>
        </w:rPr>
        <w:t xml:space="preserve"> </w:t>
      </w:r>
      <w:r w:rsidR="00F71E17">
        <w:rPr>
          <w:sz w:val="22"/>
          <w:szCs w:val="22"/>
        </w:rPr>
        <w:t xml:space="preserve">období </w:t>
      </w:r>
      <w:r w:rsidRPr="005A01A9">
        <w:rPr>
          <w:sz w:val="22"/>
          <w:szCs w:val="22"/>
        </w:rPr>
        <w:t>2007-2013. Jedná se o průřezové prioritní osy, které se týkají všech ostatních prioritních os a oblastí intervence IOP.</w:t>
      </w:r>
      <w:r>
        <w:rPr>
          <w:sz w:val="22"/>
          <w:szCs w:val="22"/>
        </w:rPr>
        <w:t xml:space="preserve"> </w:t>
      </w:r>
      <w:r w:rsidRPr="005A01A9">
        <w:rPr>
          <w:sz w:val="22"/>
          <w:szCs w:val="22"/>
        </w:rPr>
        <w:t xml:space="preserve">V procesu řízení podporují prioritní osy 6a a 6b aktivity, které souvisejí s přípravou, výběrem a hodnocením pomoci a operací. </w:t>
      </w:r>
    </w:p>
    <w:p w:rsidR="00A75862" w:rsidRPr="005A01A9" w:rsidRDefault="00A75862" w:rsidP="00EB4EBC">
      <w:pPr>
        <w:jc w:val="both"/>
        <w:rPr>
          <w:sz w:val="22"/>
          <w:szCs w:val="22"/>
        </w:rPr>
      </w:pPr>
    </w:p>
    <w:p w:rsidR="00A75862" w:rsidRPr="005A01A9" w:rsidRDefault="00A75862" w:rsidP="00EB4EBC">
      <w:pPr>
        <w:jc w:val="both"/>
        <w:rPr>
          <w:sz w:val="22"/>
          <w:szCs w:val="22"/>
        </w:rPr>
      </w:pPr>
      <w:r w:rsidRPr="005A01A9">
        <w:rPr>
          <w:sz w:val="22"/>
          <w:szCs w:val="22"/>
        </w:rPr>
        <w:t>Oblasti intervence prioritních os 6a a 6b :</w:t>
      </w:r>
    </w:p>
    <w:p w:rsidR="00A75862" w:rsidRPr="005A01A9" w:rsidRDefault="00A75862" w:rsidP="002E608B">
      <w:pPr>
        <w:numPr>
          <w:ilvl w:val="0"/>
          <w:numId w:val="11"/>
        </w:numPr>
        <w:jc w:val="both"/>
        <w:rPr>
          <w:sz w:val="22"/>
          <w:szCs w:val="22"/>
        </w:rPr>
      </w:pPr>
      <w:r w:rsidRPr="005A01A9">
        <w:rPr>
          <w:sz w:val="22"/>
          <w:szCs w:val="22"/>
        </w:rPr>
        <w:t>6.1a/6.1b – Aktivity spojené s řízením IOP</w:t>
      </w:r>
      <w:r>
        <w:rPr>
          <w:sz w:val="22"/>
          <w:szCs w:val="22"/>
        </w:rPr>
        <w:t>,</w:t>
      </w:r>
    </w:p>
    <w:p w:rsidR="00A75862" w:rsidRPr="005A01A9" w:rsidRDefault="00A75862" w:rsidP="002E608B">
      <w:pPr>
        <w:numPr>
          <w:ilvl w:val="0"/>
          <w:numId w:val="11"/>
        </w:numPr>
        <w:jc w:val="both"/>
        <w:rPr>
          <w:sz w:val="22"/>
          <w:szCs w:val="22"/>
        </w:rPr>
      </w:pPr>
      <w:r>
        <w:rPr>
          <w:sz w:val="22"/>
          <w:szCs w:val="22"/>
        </w:rPr>
        <w:t>6.2a/6.2b – O</w:t>
      </w:r>
      <w:r w:rsidRPr="005A01A9">
        <w:rPr>
          <w:sz w:val="22"/>
          <w:szCs w:val="22"/>
        </w:rPr>
        <w:t>statní aktivity technické pomoci IOP</w:t>
      </w:r>
      <w:r>
        <w:rPr>
          <w:sz w:val="22"/>
          <w:szCs w:val="22"/>
        </w:rPr>
        <w:t>.</w:t>
      </w:r>
    </w:p>
    <w:p w:rsidR="00A75862" w:rsidRDefault="00A75862" w:rsidP="00EB4EBC">
      <w:pPr>
        <w:jc w:val="both"/>
        <w:rPr>
          <w:sz w:val="22"/>
          <w:szCs w:val="22"/>
        </w:rPr>
      </w:pPr>
    </w:p>
    <w:p w:rsidR="00A75862" w:rsidRDefault="00A75862" w:rsidP="00EB4EBC">
      <w:pPr>
        <w:jc w:val="both"/>
        <w:rPr>
          <w:bCs/>
          <w:sz w:val="22"/>
          <w:szCs w:val="22"/>
        </w:rPr>
      </w:pPr>
      <w:r w:rsidRPr="005A01A9">
        <w:rPr>
          <w:bCs/>
          <w:sz w:val="22"/>
          <w:szCs w:val="22"/>
        </w:rPr>
        <w:t>Příjemci TP IOP jsou Ministerstvo pro místní rozvoj ČR, Ministerstvo kultury ČR, Ministerstvo práce a sociálních věcí ČR, Ministerstvo vnitra ČR, Ministerstvo zdravotnictví ČR a Centrum pro regionální rozvoj ČR</w:t>
      </w:r>
      <w:r>
        <w:rPr>
          <w:bCs/>
          <w:sz w:val="22"/>
          <w:szCs w:val="22"/>
        </w:rPr>
        <w:t>.</w:t>
      </w:r>
    </w:p>
    <w:p w:rsidR="00A75862" w:rsidRDefault="00A75862" w:rsidP="00EB4EBC">
      <w:pPr>
        <w:jc w:val="both"/>
        <w:rPr>
          <w:sz w:val="22"/>
          <w:szCs w:val="22"/>
        </w:rPr>
      </w:pPr>
    </w:p>
    <w:p w:rsidR="00CF4CC8" w:rsidRPr="005A01A9" w:rsidRDefault="00CF4CC8" w:rsidP="00EB4EBC">
      <w:pPr>
        <w:jc w:val="both"/>
        <w:rPr>
          <w:sz w:val="22"/>
          <w:szCs w:val="22"/>
        </w:rPr>
      </w:pPr>
    </w:p>
    <w:p w:rsidR="00A75862" w:rsidRPr="001D3CDA" w:rsidRDefault="00A75862" w:rsidP="00EB4EBC">
      <w:pPr>
        <w:jc w:val="both"/>
        <w:rPr>
          <w:b/>
          <w:sz w:val="22"/>
          <w:szCs w:val="22"/>
        </w:rPr>
      </w:pPr>
      <w:r>
        <w:rPr>
          <w:b/>
          <w:sz w:val="22"/>
          <w:szCs w:val="22"/>
        </w:rPr>
        <w:t xml:space="preserve">1) </w:t>
      </w:r>
      <w:r w:rsidRPr="001D3CDA">
        <w:rPr>
          <w:b/>
          <w:sz w:val="22"/>
          <w:szCs w:val="22"/>
        </w:rPr>
        <w:t>Podíl finanční alokace přidělený na TP IOP</w:t>
      </w:r>
      <w:r>
        <w:rPr>
          <w:b/>
          <w:sz w:val="22"/>
          <w:szCs w:val="22"/>
        </w:rPr>
        <w:t xml:space="preserve"> (finanční využití TP IOP)</w:t>
      </w:r>
    </w:p>
    <w:p w:rsidR="00A75862" w:rsidRPr="005A01A9" w:rsidRDefault="00A75862" w:rsidP="00EB4EBC">
      <w:pPr>
        <w:jc w:val="both"/>
        <w:rPr>
          <w:sz w:val="22"/>
          <w:szCs w:val="22"/>
        </w:rPr>
      </w:pPr>
      <w:r w:rsidRPr="005A01A9">
        <w:rPr>
          <w:sz w:val="22"/>
          <w:szCs w:val="22"/>
        </w:rPr>
        <w:t>Podíl prioritních os 6a a 6b tvoří 2,9</w:t>
      </w:r>
      <w:r>
        <w:rPr>
          <w:sz w:val="22"/>
          <w:szCs w:val="22"/>
        </w:rPr>
        <w:t xml:space="preserve"> </w:t>
      </w:r>
      <w:r w:rsidRPr="005A01A9">
        <w:rPr>
          <w:sz w:val="22"/>
          <w:szCs w:val="22"/>
        </w:rPr>
        <w:t>% celkové alokace operačního programu. 2,85</w:t>
      </w:r>
      <w:r>
        <w:rPr>
          <w:sz w:val="22"/>
          <w:szCs w:val="22"/>
        </w:rPr>
        <w:t xml:space="preserve"> </w:t>
      </w:r>
      <w:r w:rsidRPr="005A01A9">
        <w:rPr>
          <w:sz w:val="22"/>
          <w:szCs w:val="22"/>
        </w:rPr>
        <w:t>% je určeno na cíl Konvergence a 0,05</w:t>
      </w:r>
      <w:r>
        <w:rPr>
          <w:sz w:val="22"/>
          <w:szCs w:val="22"/>
        </w:rPr>
        <w:t xml:space="preserve"> </w:t>
      </w:r>
      <w:r w:rsidRPr="005A01A9">
        <w:rPr>
          <w:sz w:val="22"/>
          <w:szCs w:val="22"/>
        </w:rPr>
        <w:t>% na cíl Regionální konkurenceschopnost a zaměstnanost.</w:t>
      </w:r>
    </w:p>
    <w:p w:rsidR="005F2CDB" w:rsidRPr="005A01A9" w:rsidRDefault="005F2CDB" w:rsidP="005F2CDB">
      <w:pPr>
        <w:jc w:val="both"/>
        <w:rPr>
          <w:sz w:val="22"/>
          <w:szCs w:val="22"/>
        </w:rPr>
      </w:pPr>
    </w:p>
    <w:p w:rsidR="005F2CDB" w:rsidRPr="005A01A9" w:rsidRDefault="005F2CDB" w:rsidP="005F2CDB">
      <w:pPr>
        <w:jc w:val="both"/>
        <w:rPr>
          <w:sz w:val="22"/>
          <w:szCs w:val="22"/>
        </w:rPr>
      </w:pPr>
      <w:r w:rsidRPr="005A01A9">
        <w:rPr>
          <w:sz w:val="22"/>
          <w:szCs w:val="22"/>
        </w:rPr>
        <w:t>Rozdělení alokace technické pomoci mezi subjekty implementa</w:t>
      </w:r>
      <w:r>
        <w:rPr>
          <w:sz w:val="22"/>
          <w:szCs w:val="22"/>
        </w:rPr>
        <w:t>ce</w:t>
      </w:r>
      <w:r w:rsidRPr="005A01A9">
        <w:rPr>
          <w:sz w:val="22"/>
          <w:szCs w:val="22"/>
        </w:rPr>
        <w:t xml:space="preserve"> bylo stanoveno </w:t>
      </w:r>
      <w:r>
        <w:rPr>
          <w:sz w:val="22"/>
          <w:szCs w:val="22"/>
        </w:rPr>
        <w:t>u</w:t>
      </w:r>
      <w:r w:rsidRPr="005A01A9">
        <w:rPr>
          <w:sz w:val="22"/>
          <w:szCs w:val="22"/>
        </w:rPr>
        <w:t xml:space="preserve">snesením </w:t>
      </w:r>
      <w:r>
        <w:rPr>
          <w:sz w:val="22"/>
          <w:szCs w:val="22"/>
        </w:rPr>
        <w:t>Vlády</w:t>
      </w:r>
      <w:r w:rsidRPr="005A01A9">
        <w:rPr>
          <w:sz w:val="22"/>
          <w:szCs w:val="22"/>
        </w:rPr>
        <w:t xml:space="preserve"> ČR č. 537 ze dne 14. května 2008 o zajišťování činností řídícího orgánu a zprostředkujících subjektů při realizaci Integrovaného operačního programu pro období 2007–2013. Řídícímu orgánu bylo přiděleno 21</w:t>
      </w:r>
      <w:r>
        <w:rPr>
          <w:sz w:val="22"/>
          <w:szCs w:val="22"/>
        </w:rPr>
        <w:t xml:space="preserve"> </w:t>
      </w:r>
      <w:r w:rsidRPr="005A01A9">
        <w:rPr>
          <w:sz w:val="22"/>
          <w:szCs w:val="22"/>
        </w:rPr>
        <w:t xml:space="preserve">% celkové alokace prioritní osy a další dělení odpovídá podílu </w:t>
      </w:r>
      <w:r>
        <w:rPr>
          <w:sz w:val="22"/>
          <w:szCs w:val="22"/>
        </w:rPr>
        <w:t xml:space="preserve">delegovaných činností </w:t>
      </w:r>
      <w:r w:rsidRPr="005A01A9">
        <w:rPr>
          <w:sz w:val="22"/>
          <w:szCs w:val="22"/>
        </w:rPr>
        <w:t>jednotliv</w:t>
      </w:r>
      <w:r>
        <w:rPr>
          <w:sz w:val="22"/>
          <w:szCs w:val="22"/>
        </w:rPr>
        <w:t>ých</w:t>
      </w:r>
      <w:r w:rsidRPr="005A01A9">
        <w:rPr>
          <w:sz w:val="22"/>
          <w:szCs w:val="22"/>
        </w:rPr>
        <w:t xml:space="preserve"> zprostředkující</w:t>
      </w:r>
      <w:r>
        <w:rPr>
          <w:sz w:val="22"/>
          <w:szCs w:val="22"/>
        </w:rPr>
        <w:t>ch</w:t>
      </w:r>
      <w:r w:rsidRPr="005A01A9">
        <w:rPr>
          <w:sz w:val="22"/>
          <w:szCs w:val="22"/>
        </w:rPr>
        <w:t xml:space="preserve"> subjekt</w:t>
      </w:r>
      <w:r>
        <w:rPr>
          <w:sz w:val="22"/>
          <w:szCs w:val="22"/>
        </w:rPr>
        <w:t>ů</w:t>
      </w:r>
      <w:r w:rsidRPr="005A01A9">
        <w:rPr>
          <w:sz w:val="22"/>
          <w:szCs w:val="22"/>
        </w:rPr>
        <w:t>.</w:t>
      </w:r>
    </w:p>
    <w:p w:rsidR="00A75862" w:rsidRDefault="00A75862" w:rsidP="00EB4EBC">
      <w:pPr>
        <w:jc w:val="center"/>
        <w:rPr>
          <w:b/>
          <w:bCs/>
        </w:rPr>
      </w:pPr>
    </w:p>
    <w:p w:rsidR="00A75862" w:rsidRPr="00DF342F" w:rsidRDefault="00A75862" w:rsidP="00DF342F">
      <w:pPr>
        <w:pStyle w:val="Graf"/>
      </w:pPr>
      <w:bookmarkStart w:id="263" w:name="_Toc414865575"/>
      <w:r w:rsidRPr="00DF342F">
        <w:t>Rozdělení alokace technické pomoci mezi příjemce po obou realokacích</w:t>
      </w:r>
      <w:bookmarkEnd w:id="263"/>
    </w:p>
    <w:p w:rsidR="00A75862" w:rsidRPr="005A01A9" w:rsidRDefault="005F2CDB" w:rsidP="00EB4EBC">
      <w:pPr>
        <w:keepNext/>
        <w:jc w:val="center"/>
        <w:rPr>
          <w:b/>
          <w:bCs/>
        </w:rPr>
      </w:pPr>
      <w:r w:rsidRPr="004B473A">
        <w:rPr>
          <w:noProof/>
        </w:rPr>
        <w:drawing>
          <wp:inline distT="0" distB="0" distL="0" distR="0" wp14:anchorId="3A6B4887" wp14:editId="40CA3970">
            <wp:extent cx="5514975" cy="2867025"/>
            <wp:effectExtent l="0" t="0" r="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4" cstate="print"/>
                    <a:srcRect/>
                    <a:stretch>
                      <a:fillRect/>
                    </a:stretch>
                  </pic:blipFill>
                  <pic:spPr bwMode="auto">
                    <a:xfrm>
                      <a:off x="0" y="0"/>
                      <a:ext cx="5514975" cy="2867025"/>
                    </a:xfrm>
                    <a:prstGeom prst="rect">
                      <a:avLst/>
                    </a:prstGeom>
                    <a:noFill/>
                    <a:ln w="9525">
                      <a:noFill/>
                      <a:miter lim="800000"/>
                      <a:headEnd/>
                      <a:tailEnd/>
                    </a:ln>
                  </pic:spPr>
                </pic:pic>
              </a:graphicData>
            </a:graphic>
          </wp:inline>
        </w:drawing>
      </w:r>
    </w:p>
    <w:p w:rsidR="00A75862" w:rsidRPr="00BF3D31" w:rsidRDefault="00A75862" w:rsidP="00EB4EBC">
      <w:pPr>
        <w:keepNext/>
        <w:jc w:val="both"/>
        <w:rPr>
          <w:bCs/>
          <w:i/>
          <w:sz w:val="18"/>
          <w:szCs w:val="18"/>
        </w:rPr>
      </w:pPr>
      <w:r w:rsidRPr="00BF3D31">
        <w:rPr>
          <w:bCs/>
          <w:i/>
          <w:sz w:val="18"/>
          <w:szCs w:val="18"/>
        </w:rPr>
        <w:t xml:space="preserve">  Zdroj: </w:t>
      </w:r>
      <w:r w:rsidR="00757EAC">
        <w:rPr>
          <w:bCs/>
          <w:i/>
          <w:sz w:val="18"/>
          <w:szCs w:val="18"/>
        </w:rPr>
        <w:t>ŘO IOP, stav ke dni 31. 12. 2014</w:t>
      </w:r>
    </w:p>
    <w:p w:rsidR="00A75862" w:rsidRDefault="00A75862" w:rsidP="00EB4EBC">
      <w:pPr>
        <w:jc w:val="both"/>
        <w:rPr>
          <w:b/>
          <w:bCs/>
          <w:sz w:val="22"/>
          <w:szCs w:val="22"/>
        </w:rPr>
      </w:pPr>
    </w:p>
    <w:p w:rsidR="002034A5" w:rsidRDefault="002034A5" w:rsidP="00EB4EBC">
      <w:pPr>
        <w:jc w:val="both"/>
        <w:rPr>
          <w:b/>
          <w:bCs/>
          <w:sz w:val="22"/>
          <w:szCs w:val="22"/>
        </w:rPr>
      </w:pPr>
    </w:p>
    <w:p w:rsidR="00A75862" w:rsidRPr="0021379A" w:rsidRDefault="00A75862" w:rsidP="00EB4EBC">
      <w:pPr>
        <w:jc w:val="both"/>
        <w:rPr>
          <w:b/>
          <w:bCs/>
          <w:sz w:val="22"/>
          <w:szCs w:val="22"/>
        </w:rPr>
      </w:pPr>
      <w:r w:rsidRPr="0021379A">
        <w:rPr>
          <w:b/>
          <w:bCs/>
          <w:sz w:val="22"/>
          <w:szCs w:val="22"/>
        </w:rPr>
        <w:t xml:space="preserve">Pokrok v roce </w:t>
      </w:r>
      <w:r w:rsidR="005B1B70">
        <w:rPr>
          <w:b/>
          <w:bCs/>
          <w:sz w:val="22"/>
          <w:szCs w:val="22"/>
        </w:rPr>
        <w:t>2014</w:t>
      </w:r>
    </w:p>
    <w:p w:rsidR="005F2CDB" w:rsidRDefault="005F2CDB" w:rsidP="005F2CDB">
      <w:pPr>
        <w:jc w:val="both"/>
        <w:rPr>
          <w:sz w:val="22"/>
          <w:szCs w:val="22"/>
        </w:rPr>
      </w:pPr>
      <w:r w:rsidRPr="005A01A9">
        <w:rPr>
          <w:sz w:val="22"/>
          <w:szCs w:val="22"/>
        </w:rPr>
        <w:t xml:space="preserve">V průběhu roku </w:t>
      </w:r>
      <w:r>
        <w:rPr>
          <w:sz w:val="22"/>
          <w:szCs w:val="22"/>
        </w:rPr>
        <w:t xml:space="preserve">2014 proběhlo pět </w:t>
      </w:r>
      <w:r w:rsidRPr="005A01A9">
        <w:rPr>
          <w:sz w:val="22"/>
          <w:szCs w:val="22"/>
        </w:rPr>
        <w:t>jednání Výběrové komise pro projekty TP IOP</w:t>
      </w:r>
      <w:r>
        <w:rPr>
          <w:sz w:val="22"/>
          <w:szCs w:val="22"/>
        </w:rPr>
        <w:t xml:space="preserve"> (z toho </w:t>
      </w:r>
      <w:r>
        <w:rPr>
          <w:sz w:val="22"/>
          <w:szCs w:val="22"/>
        </w:rPr>
        <w:br/>
        <w:t>3 procedurou per-</w:t>
      </w:r>
      <w:proofErr w:type="spellStart"/>
      <w:r>
        <w:rPr>
          <w:sz w:val="22"/>
          <w:szCs w:val="22"/>
        </w:rPr>
        <w:t>rollam</w:t>
      </w:r>
      <w:proofErr w:type="spellEnd"/>
      <w:r>
        <w:rPr>
          <w:sz w:val="22"/>
          <w:szCs w:val="22"/>
        </w:rPr>
        <w:t>),</w:t>
      </w:r>
      <w:r w:rsidRPr="005A01A9">
        <w:rPr>
          <w:sz w:val="22"/>
          <w:szCs w:val="22"/>
        </w:rPr>
        <w:t xml:space="preserve"> </w:t>
      </w:r>
      <w:r>
        <w:rPr>
          <w:sz w:val="22"/>
          <w:szCs w:val="22"/>
        </w:rPr>
        <w:t>která</w:t>
      </w:r>
      <w:r w:rsidRPr="005A01A9">
        <w:rPr>
          <w:sz w:val="22"/>
          <w:szCs w:val="22"/>
        </w:rPr>
        <w:t xml:space="preserve"> schvál</w:t>
      </w:r>
      <w:r>
        <w:rPr>
          <w:sz w:val="22"/>
          <w:szCs w:val="22"/>
        </w:rPr>
        <w:t>ila</w:t>
      </w:r>
      <w:r w:rsidRPr="005A01A9">
        <w:rPr>
          <w:sz w:val="22"/>
          <w:szCs w:val="22"/>
        </w:rPr>
        <w:t xml:space="preserve"> </w:t>
      </w:r>
      <w:r>
        <w:rPr>
          <w:sz w:val="22"/>
          <w:szCs w:val="22"/>
        </w:rPr>
        <w:t xml:space="preserve">11 </w:t>
      </w:r>
      <w:r w:rsidRPr="005A01A9">
        <w:rPr>
          <w:sz w:val="22"/>
          <w:szCs w:val="22"/>
        </w:rPr>
        <w:t>projektů v</w:t>
      </w:r>
      <w:r>
        <w:rPr>
          <w:sz w:val="22"/>
          <w:szCs w:val="22"/>
        </w:rPr>
        <w:t>e</w:t>
      </w:r>
      <w:r w:rsidRPr="005A01A9">
        <w:rPr>
          <w:sz w:val="22"/>
          <w:szCs w:val="22"/>
        </w:rPr>
        <w:t> výši</w:t>
      </w:r>
      <w:r>
        <w:rPr>
          <w:sz w:val="22"/>
          <w:szCs w:val="22"/>
        </w:rPr>
        <w:t xml:space="preserve"> 100 826 500,- Kč (3 636 270,20 EUR).</w:t>
      </w:r>
    </w:p>
    <w:p w:rsidR="00A75862" w:rsidRPr="0005371D" w:rsidRDefault="005F2CDB" w:rsidP="0005371D">
      <w:pPr>
        <w:jc w:val="both"/>
        <w:rPr>
          <w:sz w:val="22"/>
          <w:szCs w:val="22"/>
        </w:rPr>
      </w:pPr>
      <w:r>
        <w:rPr>
          <w:sz w:val="22"/>
          <w:szCs w:val="22"/>
        </w:rPr>
        <w:t xml:space="preserve">VK TP IOP byly k projednání předloženy také 3 Informace pro VK TP IOP. Jednalo se o žádosti </w:t>
      </w:r>
      <w:r w:rsidR="0011522B">
        <w:rPr>
          <w:sz w:val="22"/>
          <w:szCs w:val="22"/>
        </w:rPr>
        <w:br/>
      </w:r>
      <w:r>
        <w:rPr>
          <w:sz w:val="22"/>
          <w:szCs w:val="22"/>
        </w:rPr>
        <w:t xml:space="preserve">o navýšení rozpočtu již schválených projektů v souhrnné výši 3 350 942,- Kč (120 850,48 EUR). Všechny předložené Informace byly VK TP IOP schváleny. </w:t>
      </w:r>
    </w:p>
    <w:p w:rsidR="005F2CDB" w:rsidRDefault="00A75862" w:rsidP="008263BA">
      <w:pPr>
        <w:pStyle w:val="Tabulkanzev"/>
      </w:pPr>
      <w:bookmarkStart w:id="264" w:name="_Toc416431873"/>
      <w:r w:rsidRPr="009026D3">
        <w:lastRenderedPageBreak/>
        <w:t>Přehled schválenýc</w:t>
      </w:r>
      <w:r w:rsidR="0011522B">
        <w:t>h projektů VK TP IOP za rok 2014</w:t>
      </w:r>
      <w:bookmarkEnd w:id="264"/>
    </w:p>
    <w:tbl>
      <w:tblPr>
        <w:tblW w:w="894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4756"/>
        <w:gridCol w:w="2126"/>
        <w:gridCol w:w="2059"/>
      </w:tblGrid>
      <w:tr w:rsidR="005F2CDB" w:rsidRPr="0031213C" w:rsidTr="009D2783">
        <w:trPr>
          <w:trHeight w:val="315"/>
          <w:jc w:val="center"/>
        </w:trPr>
        <w:tc>
          <w:tcPr>
            <w:tcW w:w="4756"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5F2CDB" w:rsidRPr="00D24C82" w:rsidRDefault="005F2CDB" w:rsidP="009D2783">
            <w:pPr>
              <w:jc w:val="both"/>
              <w:rPr>
                <w:b/>
                <w:sz w:val="16"/>
                <w:szCs w:val="16"/>
              </w:rPr>
            </w:pPr>
          </w:p>
        </w:tc>
        <w:tc>
          <w:tcPr>
            <w:tcW w:w="2126"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noWrap/>
            <w:vAlign w:val="center"/>
          </w:tcPr>
          <w:p w:rsidR="005F2CDB" w:rsidRPr="009D2783" w:rsidRDefault="005F2CDB" w:rsidP="009D2783">
            <w:pPr>
              <w:jc w:val="center"/>
              <w:rPr>
                <w:b/>
                <w:sz w:val="22"/>
                <w:szCs w:val="22"/>
              </w:rPr>
            </w:pPr>
            <w:r w:rsidRPr="009D2783">
              <w:rPr>
                <w:b/>
                <w:sz w:val="22"/>
                <w:szCs w:val="22"/>
              </w:rPr>
              <w:t>6.1</w:t>
            </w:r>
          </w:p>
        </w:tc>
        <w:tc>
          <w:tcPr>
            <w:tcW w:w="2059"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5F2CDB" w:rsidRPr="009D2783" w:rsidRDefault="005F2CDB" w:rsidP="009D2783">
            <w:pPr>
              <w:jc w:val="center"/>
              <w:rPr>
                <w:b/>
                <w:sz w:val="22"/>
                <w:szCs w:val="22"/>
              </w:rPr>
            </w:pPr>
            <w:r w:rsidRPr="009D2783">
              <w:rPr>
                <w:b/>
                <w:sz w:val="22"/>
                <w:szCs w:val="22"/>
              </w:rPr>
              <w:t>6.2</w:t>
            </w:r>
          </w:p>
        </w:tc>
      </w:tr>
      <w:tr w:rsidR="005F2CDB" w:rsidTr="00B6661C">
        <w:trPr>
          <w:trHeight w:val="315"/>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5C118C" w:rsidRDefault="005F2CDB" w:rsidP="009D2783">
            <w:pPr>
              <w:jc w:val="both"/>
              <w:rPr>
                <w:b/>
              </w:rPr>
            </w:pPr>
            <w:r w:rsidRPr="005C118C">
              <w:rPr>
                <w:b/>
              </w:rPr>
              <w:t>Ministerstvo pro místní rozvoj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5C118C" w:rsidRDefault="005F2CDB" w:rsidP="009D2783">
            <w:pPr>
              <w:jc w:val="center"/>
            </w:pPr>
            <w:r w:rsidRPr="005C118C">
              <w:t>3</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5C118C" w:rsidRDefault="005F2CDB" w:rsidP="009D2783">
            <w:pPr>
              <w:jc w:val="center"/>
            </w:pPr>
            <w:r w:rsidRPr="005C118C">
              <w:t>2</w:t>
            </w:r>
          </w:p>
        </w:tc>
      </w:tr>
      <w:tr w:rsidR="005F2CDB" w:rsidTr="00B6661C">
        <w:trPr>
          <w:trHeight w:val="315"/>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5C118C" w:rsidRDefault="005F2CDB" w:rsidP="009D2783">
            <w:pPr>
              <w:jc w:val="both"/>
              <w:rPr>
                <w:b/>
              </w:rPr>
            </w:pPr>
            <w:r w:rsidRPr="005C118C">
              <w:rPr>
                <w:b/>
              </w:rPr>
              <w:t>Ministerstvo zdravotnictví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5C118C" w:rsidRDefault="005F2CDB" w:rsidP="009D2783">
            <w:pPr>
              <w:jc w:val="center"/>
            </w:pPr>
            <w:r w:rsidRPr="005C118C">
              <w:t>-</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5C118C" w:rsidRDefault="005F2CDB" w:rsidP="009D2783">
            <w:pPr>
              <w:jc w:val="center"/>
            </w:pPr>
            <w:r w:rsidRPr="005C118C">
              <w:t>-</w:t>
            </w:r>
          </w:p>
        </w:tc>
      </w:tr>
      <w:tr w:rsidR="005F2CDB" w:rsidTr="00B6661C">
        <w:trPr>
          <w:trHeight w:val="315"/>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5C118C" w:rsidRDefault="005F2CDB" w:rsidP="009D2783">
            <w:pPr>
              <w:jc w:val="both"/>
              <w:rPr>
                <w:b/>
              </w:rPr>
            </w:pPr>
            <w:r w:rsidRPr="005C118C">
              <w:rPr>
                <w:b/>
              </w:rPr>
              <w:t>Ministerstvo práce a sociálních věcí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5C118C" w:rsidRDefault="005F2CDB" w:rsidP="009D2783">
            <w:pPr>
              <w:jc w:val="center"/>
            </w:pPr>
            <w:r w:rsidRPr="005C118C">
              <w:t>-</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5C118C" w:rsidRDefault="005F2CDB" w:rsidP="009D2783">
            <w:pPr>
              <w:jc w:val="center"/>
            </w:pPr>
            <w:r w:rsidRPr="005C118C">
              <w:t>-</w:t>
            </w:r>
          </w:p>
        </w:tc>
      </w:tr>
      <w:tr w:rsidR="005F2CDB" w:rsidTr="00B6661C">
        <w:trPr>
          <w:trHeight w:val="329"/>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5C118C" w:rsidRDefault="005F2CDB" w:rsidP="009D2783">
            <w:pPr>
              <w:jc w:val="both"/>
              <w:rPr>
                <w:b/>
              </w:rPr>
            </w:pPr>
            <w:r w:rsidRPr="005C118C">
              <w:rPr>
                <w:b/>
              </w:rPr>
              <w:t>Ministerstvo kultury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5C118C" w:rsidRDefault="005F2CDB" w:rsidP="009D2783">
            <w:pPr>
              <w:jc w:val="center"/>
            </w:pPr>
            <w:r w:rsidRPr="005C118C">
              <w:t>-</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5C118C" w:rsidRDefault="005F2CDB" w:rsidP="009D2783">
            <w:pPr>
              <w:jc w:val="center"/>
            </w:pPr>
            <w:r w:rsidRPr="005C118C">
              <w:t>-</w:t>
            </w:r>
          </w:p>
        </w:tc>
      </w:tr>
      <w:tr w:rsidR="005F2CDB" w:rsidTr="00B6661C">
        <w:trPr>
          <w:trHeight w:val="276"/>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5C118C" w:rsidRDefault="005F2CDB" w:rsidP="009D2783">
            <w:pPr>
              <w:jc w:val="both"/>
              <w:rPr>
                <w:b/>
              </w:rPr>
            </w:pPr>
            <w:r w:rsidRPr="005C118C">
              <w:rPr>
                <w:b/>
              </w:rPr>
              <w:t>Ministerstvo vnitra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5C118C" w:rsidRDefault="005F2CDB" w:rsidP="009D2783">
            <w:pPr>
              <w:jc w:val="center"/>
            </w:pPr>
            <w:r w:rsidRPr="005C118C">
              <w:t>2</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5C118C" w:rsidRDefault="005F2CDB" w:rsidP="009D2783">
            <w:pPr>
              <w:jc w:val="center"/>
            </w:pPr>
            <w:r w:rsidRPr="005C118C">
              <w:t>2</w:t>
            </w:r>
          </w:p>
        </w:tc>
      </w:tr>
      <w:tr w:rsidR="005F2CDB" w:rsidTr="00B6661C">
        <w:trPr>
          <w:trHeight w:val="266"/>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5C118C" w:rsidRDefault="005F2CDB" w:rsidP="009D2783">
            <w:pPr>
              <w:jc w:val="both"/>
              <w:rPr>
                <w:b/>
              </w:rPr>
            </w:pPr>
            <w:r w:rsidRPr="005C118C">
              <w:rPr>
                <w:b/>
              </w:rPr>
              <w:t>Centrum pro regionální rozvoj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5C118C" w:rsidRDefault="005F2CDB" w:rsidP="009D2783">
            <w:pPr>
              <w:jc w:val="center"/>
            </w:pPr>
            <w:r w:rsidRPr="005C118C">
              <w:t>-</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5C118C" w:rsidRDefault="005F2CDB" w:rsidP="009D2783">
            <w:pPr>
              <w:jc w:val="center"/>
            </w:pPr>
            <w:r w:rsidRPr="005C118C">
              <w:t>2</w:t>
            </w:r>
          </w:p>
        </w:tc>
      </w:tr>
      <w:tr w:rsidR="005F2CDB" w:rsidTr="009D2783">
        <w:trPr>
          <w:trHeight w:val="257"/>
          <w:jc w:val="center"/>
        </w:trPr>
        <w:tc>
          <w:tcPr>
            <w:tcW w:w="4756" w:type="dxa"/>
            <w:tcBorders>
              <w:top w:val="single" w:sz="6" w:space="0" w:color="4F6228"/>
              <w:left w:val="double" w:sz="4" w:space="0" w:color="4F6228"/>
              <w:bottom w:val="double" w:sz="4" w:space="0" w:color="4F6228"/>
              <w:right w:val="single" w:sz="6" w:space="0" w:color="4F6228"/>
            </w:tcBorders>
            <w:shd w:val="clear" w:color="auto" w:fill="C2D69B" w:themeFill="accent3" w:themeFillTint="99"/>
            <w:vAlign w:val="center"/>
          </w:tcPr>
          <w:p w:rsidR="005F2CDB" w:rsidRPr="009D2783" w:rsidRDefault="005F2CDB" w:rsidP="009D2783">
            <w:pPr>
              <w:jc w:val="both"/>
              <w:rPr>
                <w:b/>
                <w:sz w:val="22"/>
                <w:szCs w:val="22"/>
              </w:rPr>
            </w:pPr>
            <w:r w:rsidRPr="009D2783">
              <w:rPr>
                <w:b/>
                <w:sz w:val="22"/>
                <w:szCs w:val="22"/>
              </w:rPr>
              <w:t>Celkem</w:t>
            </w:r>
          </w:p>
        </w:tc>
        <w:tc>
          <w:tcPr>
            <w:tcW w:w="2126" w:type="dxa"/>
            <w:tcBorders>
              <w:top w:val="single" w:sz="6" w:space="0" w:color="4F6228"/>
              <w:left w:val="single" w:sz="6" w:space="0" w:color="4F6228"/>
              <w:bottom w:val="double" w:sz="4" w:space="0" w:color="4F6228"/>
              <w:right w:val="single" w:sz="6" w:space="0" w:color="4F6228"/>
            </w:tcBorders>
            <w:shd w:val="clear" w:color="auto" w:fill="C2D69B" w:themeFill="accent3" w:themeFillTint="99"/>
            <w:noWrap/>
            <w:vAlign w:val="center"/>
          </w:tcPr>
          <w:p w:rsidR="005F2CDB" w:rsidRPr="009D2783" w:rsidRDefault="005F2CDB" w:rsidP="009D2783">
            <w:pPr>
              <w:jc w:val="center"/>
              <w:rPr>
                <w:b/>
                <w:sz w:val="22"/>
                <w:szCs w:val="22"/>
              </w:rPr>
            </w:pPr>
            <w:r w:rsidRPr="009D2783">
              <w:rPr>
                <w:b/>
                <w:sz w:val="22"/>
                <w:szCs w:val="22"/>
              </w:rPr>
              <w:t>5</w:t>
            </w:r>
          </w:p>
        </w:tc>
        <w:tc>
          <w:tcPr>
            <w:tcW w:w="2059" w:type="dxa"/>
            <w:tcBorders>
              <w:top w:val="single" w:sz="6" w:space="0" w:color="4F6228"/>
              <w:left w:val="single" w:sz="6" w:space="0" w:color="4F6228"/>
              <w:bottom w:val="double" w:sz="4" w:space="0" w:color="4F6228"/>
              <w:right w:val="double" w:sz="4" w:space="0" w:color="4F6228"/>
            </w:tcBorders>
            <w:shd w:val="clear" w:color="auto" w:fill="C2D69B" w:themeFill="accent3" w:themeFillTint="99"/>
            <w:vAlign w:val="center"/>
          </w:tcPr>
          <w:p w:rsidR="005F2CDB" w:rsidRPr="009D2783" w:rsidRDefault="005F2CDB" w:rsidP="009D2783">
            <w:pPr>
              <w:jc w:val="center"/>
              <w:rPr>
                <w:b/>
                <w:sz w:val="22"/>
                <w:szCs w:val="22"/>
              </w:rPr>
            </w:pPr>
            <w:r w:rsidRPr="009D2783">
              <w:rPr>
                <w:b/>
                <w:sz w:val="22"/>
                <w:szCs w:val="22"/>
              </w:rPr>
              <w:t>6</w:t>
            </w:r>
          </w:p>
        </w:tc>
      </w:tr>
    </w:tbl>
    <w:p w:rsidR="00A75862" w:rsidRPr="00BF3D31" w:rsidRDefault="00A75862" w:rsidP="00EB4EBC">
      <w:pPr>
        <w:jc w:val="both"/>
        <w:rPr>
          <w:i/>
          <w:sz w:val="18"/>
          <w:szCs w:val="18"/>
        </w:rPr>
      </w:pPr>
      <w:r>
        <w:rPr>
          <w:i/>
        </w:rPr>
        <w:t xml:space="preserve"> </w:t>
      </w:r>
      <w:r w:rsidRPr="00BF3D31">
        <w:rPr>
          <w:i/>
          <w:sz w:val="18"/>
          <w:szCs w:val="18"/>
        </w:rPr>
        <w:t xml:space="preserve">Zdroj: sekretariát VK TP IOP </w:t>
      </w:r>
    </w:p>
    <w:p w:rsidR="00A75862" w:rsidRDefault="00A75862" w:rsidP="00EB4EBC">
      <w:pPr>
        <w:jc w:val="both"/>
        <w:rPr>
          <w:b/>
          <w:sz w:val="24"/>
          <w:szCs w:val="24"/>
        </w:rPr>
      </w:pPr>
    </w:p>
    <w:p w:rsidR="002034A5" w:rsidRDefault="002034A5" w:rsidP="00EB4EBC">
      <w:pPr>
        <w:rPr>
          <w:b/>
          <w:sz w:val="24"/>
          <w:szCs w:val="24"/>
        </w:rPr>
      </w:pPr>
    </w:p>
    <w:p w:rsidR="00A75862" w:rsidRDefault="00A75862" w:rsidP="00EB4EBC">
      <w:pPr>
        <w:rPr>
          <w:b/>
          <w:sz w:val="24"/>
          <w:szCs w:val="24"/>
        </w:rPr>
      </w:pPr>
      <w:r>
        <w:rPr>
          <w:b/>
          <w:sz w:val="24"/>
          <w:szCs w:val="24"/>
        </w:rPr>
        <w:t>2) Projekty realizované v rámci TP IOP</w:t>
      </w:r>
    </w:p>
    <w:p w:rsidR="00A75862" w:rsidRPr="005855BA" w:rsidRDefault="00A75862" w:rsidP="005855BA">
      <w:pPr>
        <w:pStyle w:val="tabulka"/>
        <w:ind w:left="426"/>
      </w:pPr>
    </w:p>
    <w:p w:rsidR="00A75862" w:rsidRDefault="00A75862" w:rsidP="008263BA">
      <w:pPr>
        <w:pStyle w:val="Tabulkanzev"/>
      </w:pPr>
      <w:bookmarkStart w:id="265" w:name="_Toc416431874"/>
      <w:r w:rsidRPr="009026D3">
        <w:t>Vývoj realizace oblastí intervence 6.1 a 6.2 z </w:t>
      </w:r>
      <w:r w:rsidR="002D7A57">
        <w:t>hlediska projektů k 31. 12. 2014</w:t>
      </w:r>
      <w:bookmarkEnd w:id="265"/>
    </w:p>
    <w:tbl>
      <w:tblPr>
        <w:tblW w:w="8973"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4731"/>
        <w:gridCol w:w="2132"/>
        <w:gridCol w:w="2110"/>
      </w:tblGrid>
      <w:tr w:rsidR="002D7A57" w:rsidRPr="0021379A" w:rsidTr="002D7A57">
        <w:trPr>
          <w:trHeight w:val="315"/>
          <w:jc w:val="center"/>
        </w:trPr>
        <w:tc>
          <w:tcPr>
            <w:tcW w:w="4731"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2D7A57" w:rsidRPr="00D24C82" w:rsidRDefault="002D7A57" w:rsidP="00EC0ADF">
            <w:pPr>
              <w:jc w:val="both"/>
              <w:rPr>
                <w:b/>
                <w:sz w:val="16"/>
                <w:szCs w:val="16"/>
              </w:rPr>
            </w:pPr>
          </w:p>
        </w:tc>
        <w:tc>
          <w:tcPr>
            <w:tcW w:w="2132"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noWrap/>
            <w:vAlign w:val="center"/>
          </w:tcPr>
          <w:p w:rsidR="002D7A57" w:rsidRPr="002D7A57" w:rsidRDefault="002D7A57" w:rsidP="00EC0ADF">
            <w:pPr>
              <w:jc w:val="center"/>
              <w:rPr>
                <w:b/>
                <w:sz w:val="22"/>
                <w:szCs w:val="22"/>
              </w:rPr>
            </w:pPr>
            <w:r w:rsidRPr="002D7A57">
              <w:rPr>
                <w:b/>
                <w:sz w:val="22"/>
                <w:szCs w:val="22"/>
              </w:rPr>
              <w:t>6.1</w:t>
            </w:r>
          </w:p>
        </w:tc>
        <w:tc>
          <w:tcPr>
            <w:tcW w:w="2110"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2D7A57" w:rsidRPr="002D7A57" w:rsidRDefault="002D7A57" w:rsidP="00EC0ADF">
            <w:pPr>
              <w:jc w:val="center"/>
              <w:rPr>
                <w:b/>
                <w:sz w:val="22"/>
                <w:szCs w:val="22"/>
              </w:rPr>
            </w:pPr>
            <w:r w:rsidRPr="002D7A57">
              <w:rPr>
                <w:b/>
                <w:sz w:val="22"/>
                <w:szCs w:val="22"/>
              </w:rPr>
              <w:t>6.2</w:t>
            </w:r>
          </w:p>
        </w:tc>
      </w:tr>
      <w:tr w:rsidR="002D7A57" w:rsidRPr="0021379A" w:rsidTr="00B6661C">
        <w:trPr>
          <w:trHeight w:val="315"/>
          <w:jc w:val="center"/>
        </w:trPr>
        <w:tc>
          <w:tcPr>
            <w:tcW w:w="4731"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2D7A57" w:rsidRPr="005C118C" w:rsidRDefault="002D7A57" w:rsidP="00EC0ADF">
            <w:pPr>
              <w:jc w:val="both"/>
              <w:rPr>
                <w:b/>
              </w:rPr>
            </w:pPr>
            <w:r w:rsidRPr="005C118C">
              <w:rPr>
                <w:b/>
              </w:rPr>
              <w:t>Počet předložených projektů</w:t>
            </w:r>
          </w:p>
        </w:tc>
        <w:tc>
          <w:tcPr>
            <w:tcW w:w="2132" w:type="dxa"/>
            <w:tcBorders>
              <w:top w:val="single" w:sz="6" w:space="0" w:color="4F6228"/>
              <w:left w:val="single" w:sz="6" w:space="0" w:color="4F6228"/>
              <w:bottom w:val="single" w:sz="6" w:space="0" w:color="4F6228"/>
              <w:right w:val="single" w:sz="6" w:space="0" w:color="4F6228"/>
            </w:tcBorders>
            <w:noWrap/>
            <w:vAlign w:val="center"/>
          </w:tcPr>
          <w:p w:rsidR="002D7A57" w:rsidRPr="005C118C" w:rsidRDefault="002D7A57" w:rsidP="00EC0ADF">
            <w:pPr>
              <w:jc w:val="center"/>
            </w:pPr>
            <w:r w:rsidRPr="005C118C">
              <w:t>46</w:t>
            </w:r>
          </w:p>
        </w:tc>
        <w:tc>
          <w:tcPr>
            <w:tcW w:w="2110" w:type="dxa"/>
            <w:tcBorders>
              <w:top w:val="single" w:sz="6" w:space="0" w:color="4F6228"/>
              <w:left w:val="single" w:sz="6" w:space="0" w:color="4F6228"/>
              <w:bottom w:val="single" w:sz="6" w:space="0" w:color="4F6228"/>
              <w:right w:val="double" w:sz="4" w:space="0" w:color="4F6228"/>
            </w:tcBorders>
            <w:vAlign w:val="center"/>
          </w:tcPr>
          <w:p w:rsidR="002D7A57" w:rsidRPr="005C118C" w:rsidRDefault="002D7A57" w:rsidP="00EC0ADF">
            <w:pPr>
              <w:jc w:val="center"/>
            </w:pPr>
            <w:r w:rsidRPr="005C118C">
              <w:t>69</w:t>
            </w:r>
          </w:p>
        </w:tc>
      </w:tr>
      <w:tr w:rsidR="002D7A57" w:rsidRPr="0021379A" w:rsidTr="00B6661C">
        <w:trPr>
          <w:trHeight w:val="315"/>
          <w:jc w:val="center"/>
        </w:trPr>
        <w:tc>
          <w:tcPr>
            <w:tcW w:w="4731"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2D7A57" w:rsidRPr="005C118C" w:rsidRDefault="002D7A57" w:rsidP="00EC0ADF">
            <w:pPr>
              <w:jc w:val="both"/>
              <w:rPr>
                <w:b/>
              </w:rPr>
            </w:pPr>
            <w:r w:rsidRPr="005C118C">
              <w:rPr>
                <w:b/>
              </w:rPr>
              <w:t>Počet schválených projektů</w:t>
            </w:r>
          </w:p>
        </w:tc>
        <w:tc>
          <w:tcPr>
            <w:tcW w:w="2132" w:type="dxa"/>
            <w:tcBorders>
              <w:top w:val="single" w:sz="6" w:space="0" w:color="4F6228"/>
              <w:left w:val="single" w:sz="6" w:space="0" w:color="4F6228"/>
              <w:bottom w:val="single" w:sz="6" w:space="0" w:color="4F6228"/>
              <w:right w:val="single" w:sz="6" w:space="0" w:color="4F6228"/>
            </w:tcBorders>
            <w:noWrap/>
            <w:vAlign w:val="center"/>
          </w:tcPr>
          <w:p w:rsidR="002D7A57" w:rsidRPr="005C118C" w:rsidRDefault="002D7A57" w:rsidP="00EC0ADF">
            <w:pPr>
              <w:jc w:val="center"/>
            </w:pPr>
            <w:r w:rsidRPr="005C118C">
              <w:t>46</w:t>
            </w:r>
          </w:p>
        </w:tc>
        <w:tc>
          <w:tcPr>
            <w:tcW w:w="2110" w:type="dxa"/>
            <w:tcBorders>
              <w:top w:val="single" w:sz="6" w:space="0" w:color="4F6228"/>
              <w:left w:val="single" w:sz="6" w:space="0" w:color="4F6228"/>
              <w:bottom w:val="single" w:sz="6" w:space="0" w:color="4F6228"/>
              <w:right w:val="double" w:sz="4" w:space="0" w:color="4F6228"/>
            </w:tcBorders>
            <w:vAlign w:val="center"/>
          </w:tcPr>
          <w:p w:rsidR="002D7A57" w:rsidRPr="005C118C" w:rsidRDefault="002D7A57" w:rsidP="00EC0ADF">
            <w:pPr>
              <w:jc w:val="center"/>
            </w:pPr>
            <w:r w:rsidRPr="005C118C">
              <w:t>69</w:t>
            </w:r>
          </w:p>
        </w:tc>
      </w:tr>
      <w:tr w:rsidR="002D7A57" w:rsidRPr="0021379A" w:rsidTr="00B6661C">
        <w:trPr>
          <w:trHeight w:val="315"/>
          <w:jc w:val="center"/>
        </w:trPr>
        <w:tc>
          <w:tcPr>
            <w:tcW w:w="4731" w:type="dxa"/>
            <w:tcBorders>
              <w:top w:val="single" w:sz="6" w:space="0" w:color="4F6228"/>
              <w:left w:val="double" w:sz="4" w:space="0" w:color="4F6228"/>
              <w:bottom w:val="double" w:sz="4" w:space="0" w:color="4F6228"/>
              <w:right w:val="single" w:sz="6" w:space="0" w:color="4F6228"/>
            </w:tcBorders>
            <w:shd w:val="clear" w:color="auto" w:fill="FFFFFF" w:themeFill="background1"/>
            <w:vAlign w:val="center"/>
          </w:tcPr>
          <w:p w:rsidR="002D7A57" w:rsidRPr="005C118C" w:rsidRDefault="002D7A57" w:rsidP="00EC0ADF">
            <w:pPr>
              <w:jc w:val="both"/>
              <w:rPr>
                <w:b/>
              </w:rPr>
            </w:pPr>
            <w:r w:rsidRPr="005C118C">
              <w:rPr>
                <w:b/>
              </w:rPr>
              <w:t>Finanční objem předložených projektů SF+SR (25,140 Kč/EUR)</w:t>
            </w:r>
          </w:p>
        </w:tc>
        <w:tc>
          <w:tcPr>
            <w:tcW w:w="2132" w:type="dxa"/>
            <w:tcBorders>
              <w:top w:val="single" w:sz="6" w:space="0" w:color="4F6228"/>
              <w:left w:val="single" w:sz="6" w:space="0" w:color="4F6228"/>
              <w:bottom w:val="double" w:sz="4" w:space="0" w:color="4F6228"/>
              <w:right w:val="single" w:sz="6" w:space="0" w:color="4F6228"/>
            </w:tcBorders>
            <w:noWrap/>
            <w:vAlign w:val="center"/>
          </w:tcPr>
          <w:p w:rsidR="002D7A57" w:rsidRPr="005C118C" w:rsidRDefault="002D7A57" w:rsidP="00EC0ADF">
            <w:pPr>
              <w:jc w:val="center"/>
            </w:pPr>
            <w:r w:rsidRPr="005C118C">
              <w:t>36 254 491,20 EUR</w:t>
            </w:r>
          </w:p>
        </w:tc>
        <w:tc>
          <w:tcPr>
            <w:tcW w:w="2110" w:type="dxa"/>
            <w:tcBorders>
              <w:top w:val="single" w:sz="6" w:space="0" w:color="4F6228"/>
              <w:left w:val="single" w:sz="6" w:space="0" w:color="4F6228"/>
              <w:bottom w:val="double" w:sz="4" w:space="0" w:color="4F6228"/>
              <w:right w:val="double" w:sz="4" w:space="0" w:color="4F6228"/>
            </w:tcBorders>
            <w:vAlign w:val="center"/>
          </w:tcPr>
          <w:p w:rsidR="002D7A57" w:rsidRPr="005C118C" w:rsidRDefault="002D7A57" w:rsidP="00EC0ADF">
            <w:pPr>
              <w:jc w:val="center"/>
            </w:pPr>
            <w:r w:rsidRPr="005C118C">
              <w:t>8 238 392,13 EUR</w:t>
            </w:r>
          </w:p>
        </w:tc>
      </w:tr>
    </w:tbl>
    <w:p w:rsidR="00A75862" w:rsidRPr="00BF3D31" w:rsidRDefault="00A75862" w:rsidP="00EB4EBC">
      <w:pPr>
        <w:jc w:val="both"/>
        <w:rPr>
          <w:i/>
          <w:sz w:val="18"/>
          <w:szCs w:val="18"/>
        </w:rPr>
      </w:pPr>
      <w:r w:rsidRPr="00BF3D31">
        <w:rPr>
          <w:i/>
          <w:sz w:val="18"/>
          <w:szCs w:val="18"/>
        </w:rPr>
        <w:t>Zdroj: IS Monit7+ IOP ze dne 2.</w:t>
      </w:r>
      <w:r>
        <w:rPr>
          <w:i/>
          <w:sz w:val="18"/>
          <w:szCs w:val="18"/>
        </w:rPr>
        <w:t xml:space="preserve"> </w:t>
      </w:r>
      <w:r w:rsidRPr="00BF3D31">
        <w:rPr>
          <w:i/>
          <w:sz w:val="18"/>
          <w:szCs w:val="18"/>
        </w:rPr>
        <w:t>1.</w:t>
      </w:r>
      <w:r>
        <w:rPr>
          <w:i/>
          <w:sz w:val="18"/>
          <w:szCs w:val="18"/>
        </w:rPr>
        <w:t xml:space="preserve"> </w:t>
      </w:r>
      <w:r w:rsidRPr="00BF3D31">
        <w:rPr>
          <w:i/>
          <w:sz w:val="18"/>
          <w:szCs w:val="18"/>
        </w:rPr>
        <w:t>201</w:t>
      </w:r>
      <w:r w:rsidR="002D7A57">
        <w:rPr>
          <w:i/>
          <w:sz w:val="18"/>
          <w:szCs w:val="18"/>
        </w:rPr>
        <w:t>5</w:t>
      </w:r>
      <w:r w:rsidRPr="00BF3D31">
        <w:rPr>
          <w:i/>
          <w:sz w:val="18"/>
          <w:szCs w:val="18"/>
        </w:rPr>
        <w:t xml:space="preserve"> </w:t>
      </w:r>
    </w:p>
    <w:p w:rsidR="00A75862" w:rsidRDefault="00A75862" w:rsidP="00EB4EBC">
      <w:pPr>
        <w:jc w:val="both"/>
        <w:rPr>
          <w:sz w:val="22"/>
          <w:szCs w:val="22"/>
        </w:rPr>
      </w:pPr>
    </w:p>
    <w:p w:rsidR="00A75862" w:rsidRDefault="00A75862" w:rsidP="00EB4EBC">
      <w:pPr>
        <w:jc w:val="both"/>
        <w:rPr>
          <w:sz w:val="22"/>
          <w:szCs w:val="22"/>
        </w:rPr>
      </w:pPr>
    </w:p>
    <w:p w:rsidR="00A75862" w:rsidRPr="00C853DA" w:rsidRDefault="00A75862" w:rsidP="00EB4EBC">
      <w:pPr>
        <w:jc w:val="both"/>
        <w:rPr>
          <w:b/>
          <w:sz w:val="24"/>
          <w:szCs w:val="24"/>
        </w:rPr>
      </w:pPr>
      <w:r w:rsidRPr="00C853DA">
        <w:rPr>
          <w:b/>
          <w:sz w:val="24"/>
          <w:szCs w:val="24"/>
        </w:rPr>
        <w:t>Hlavní obl</w:t>
      </w:r>
      <w:r>
        <w:rPr>
          <w:b/>
          <w:sz w:val="24"/>
          <w:szCs w:val="24"/>
        </w:rPr>
        <w:t>asti čerpání prostředků TP IOP</w:t>
      </w:r>
    </w:p>
    <w:p w:rsidR="00A75862" w:rsidRPr="005A01A9" w:rsidRDefault="00A75862" w:rsidP="00EB4EBC">
      <w:pPr>
        <w:jc w:val="both"/>
        <w:rPr>
          <w:sz w:val="22"/>
          <w:szCs w:val="22"/>
        </w:rPr>
      </w:pPr>
    </w:p>
    <w:p w:rsidR="00A75862" w:rsidRPr="00C853DA" w:rsidRDefault="00A75862" w:rsidP="00EB4EBC">
      <w:pPr>
        <w:jc w:val="both"/>
        <w:rPr>
          <w:b/>
          <w:sz w:val="22"/>
          <w:szCs w:val="22"/>
        </w:rPr>
      </w:pPr>
      <w:r>
        <w:rPr>
          <w:b/>
          <w:sz w:val="22"/>
          <w:szCs w:val="22"/>
        </w:rPr>
        <w:t xml:space="preserve">1. </w:t>
      </w:r>
      <w:r w:rsidRPr="00C853DA">
        <w:rPr>
          <w:b/>
          <w:sz w:val="22"/>
          <w:szCs w:val="22"/>
        </w:rPr>
        <w:t>Posilování administrativní kapacity</w:t>
      </w:r>
      <w:r>
        <w:rPr>
          <w:b/>
          <w:sz w:val="22"/>
          <w:szCs w:val="22"/>
        </w:rPr>
        <w:t xml:space="preserve"> </w:t>
      </w:r>
    </w:p>
    <w:p w:rsidR="00BA5F3B" w:rsidRPr="005A01A9" w:rsidRDefault="00BA5F3B" w:rsidP="00BA5F3B">
      <w:pPr>
        <w:jc w:val="both"/>
        <w:rPr>
          <w:sz w:val="22"/>
          <w:szCs w:val="22"/>
        </w:rPr>
      </w:pPr>
      <w:r w:rsidRPr="002E478B">
        <w:rPr>
          <w:sz w:val="22"/>
          <w:szCs w:val="22"/>
        </w:rPr>
        <w:t>Všechny subjekty zapojené do implementace programu využívají prostředky technické pomoci na zajištění administrativních kapacit v souladu s </w:t>
      </w:r>
      <w:r w:rsidRPr="00576D66">
        <w:rPr>
          <w:sz w:val="22"/>
          <w:szCs w:val="22"/>
        </w:rPr>
        <w:t>usnesením vlády ČR č. 444 ze dne 16. června 2014</w:t>
      </w:r>
      <w:r w:rsidRPr="002E478B">
        <w:rPr>
          <w:sz w:val="22"/>
          <w:szCs w:val="22"/>
        </w:rPr>
        <w:t xml:space="preserve">, kterým byl schválen </w:t>
      </w:r>
      <w:r>
        <w:rPr>
          <w:sz w:val="22"/>
          <w:szCs w:val="22"/>
        </w:rPr>
        <w:t>Metodický pokyn k rozvoji lidských zdrojů v programovém období 2014 – 2020 a v programovém období 2007 – 2013 s účinností od 1. září 2014</w:t>
      </w:r>
      <w:r w:rsidRPr="002E478B">
        <w:rPr>
          <w:sz w:val="22"/>
          <w:szCs w:val="22"/>
        </w:rPr>
        <w:t>.</w:t>
      </w:r>
      <w:r w:rsidRPr="005A01A9">
        <w:rPr>
          <w:sz w:val="22"/>
          <w:szCs w:val="22"/>
        </w:rPr>
        <w:t xml:space="preserve"> </w:t>
      </w:r>
      <w:r>
        <w:rPr>
          <w:sz w:val="22"/>
          <w:szCs w:val="22"/>
        </w:rPr>
        <w:t>Do té doby bylo v platnosti usnesení vlády ČR č. 1332/2009, kterým byl schválen postup a řešení administrativní kapacity čerpání zdrojů strukturálních fondů na období 2007 – 2013.</w:t>
      </w:r>
    </w:p>
    <w:p w:rsidR="00BA5F3B" w:rsidRPr="005A01A9" w:rsidRDefault="00BA5F3B" w:rsidP="00BA5F3B">
      <w:pPr>
        <w:jc w:val="both"/>
        <w:rPr>
          <w:sz w:val="22"/>
          <w:szCs w:val="22"/>
        </w:rPr>
      </w:pPr>
    </w:p>
    <w:p w:rsidR="002034A5" w:rsidRDefault="00BA5F3B" w:rsidP="00BA5F3B">
      <w:pPr>
        <w:jc w:val="both"/>
        <w:rPr>
          <w:sz w:val="22"/>
          <w:szCs w:val="22"/>
        </w:rPr>
      </w:pPr>
      <w:r w:rsidRPr="005A01A9">
        <w:rPr>
          <w:sz w:val="22"/>
          <w:szCs w:val="22"/>
        </w:rPr>
        <w:t>V roce 20</w:t>
      </w:r>
      <w:r>
        <w:rPr>
          <w:sz w:val="22"/>
          <w:szCs w:val="22"/>
        </w:rPr>
        <w:t>14</w:t>
      </w:r>
      <w:r w:rsidRPr="005A01A9">
        <w:rPr>
          <w:sz w:val="22"/>
          <w:szCs w:val="22"/>
        </w:rPr>
        <w:t xml:space="preserve"> bylo z TP IOP hrazeno </w:t>
      </w:r>
      <w:r>
        <w:rPr>
          <w:sz w:val="22"/>
          <w:szCs w:val="22"/>
        </w:rPr>
        <w:t>18</w:t>
      </w:r>
      <w:r w:rsidR="00605BFC">
        <w:rPr>
          <w:sz w:val="22"/>
          <w:szCs w:val="22"/>
        </w:rPr>
        <w:t>9</w:t>
      </w:r>
      <w:r>
        <w:rPr>
          <w:sz w:val="22"/>
          <w:szCs w:val="22"/>
        </w:rPr>
        <w:t>,</w:t>
      </w:r>
      <w:r w:rsidR="00605BFC">
        <w:rPr>
          <w:sz w:val="22"/>
          <w:szCs w:val="22"/>
        </w:rPr>
        <w:t>09</w:t>
      </w:r>
      <w:r>
        <w:rPr>
          <w:sz w:val="22"/>
          <w:szCs w:val="22"/>
        </w:rPr>
        <w:t xml:space="preserve"> pracovníků ve </w:t>
      </w:r>
      <w:r w:rsidRPr="005A01A9">
        <w:rPr>
          <w:sz w:val="22"/>
          <w:szCs w:val="22"/>
        </w:rPr>
        <w:t>členění</w:t>
      </w:r>
      <w:r>
        <w:rPr>
          <w:sz w:val="22"/>
          <w:szCs w:val="22"/>
        </w:rPr>
        <w:t xml:space="preserve"> uvedeném v následující tabulce</w:t>
      </w:r>
    </w:p>
    <w:p w:rsidR="00A75862" w:rsidRDefault="00A75862" w:rsidP="00EB4EBC">
      <w:pPr>
        <w:jc w:val="both"/>
        <w:rPr>
          <w:sz w:val="22"/>
          <w:szCs w:val="22"/>
        </w:rPr>
      </w:pPr>
    </w:p>
    <w:p w:rsidR="00BA5F3B" w:rsidRPr="009E15B4" w:rsidRDefault="00A75862" w:rsidP="008263BA">
      <w:pPr>
        <w:pStyle w:val="Tabulkanzev"/>
      </w:pPr>
      <w:bookmarkStart w:id="266" w:name="_Toc416431875"/>
      <w:r w:rsidRPr="009E15B4">
        <w:t>Admi</w:t>
      </w:r>
      <w:r w:rsidR="00BA5F3B" w:rsidRPr="009E15B4">
        <w:t>nistrativní kapacita v roce 2014</w:t>
      </w:r>
      <w:bookmarkEnd w:id="266"/>
    </w:p>
    <w:tbl>
      <w:tblPr>
        <w:tblW w:w="9006"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CellMar>
          <w:left w:w="70" w:type="dxa"/>
          <w:right w:w="70" w:type="dxa"/>
        </w:tblCellMar>
        <w:tblLook w:val="0000" w:firstRow="0" w:lastRow="0" w:firstColumn="0" w:lastColumn="0" w:noHBand="0" w:noVBand="0"/>
      </w:tblPr>
      <w:tblGrid>
        <w:gridCol w:w="3749"/>
        <w:gridCol w:w="5257"/>
      </w:tblGrid>
      <w:tr w:rsidR="00BA5F3B" w:rsidRPr="005A01A9" w:rsidTr="003B1F9C">
        <w:trPr>
          <w:trHeight w:val="351"/>
          <w:jc w:val="center"/>
        </w:trPr>
        <w:tc>
          <w:tcPr>
            <w:tcW w:w="3749"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BA5F3B" w:rsidRPr="003B1F9C" w:rsidRDefault="00BA5F3B" w:rsidP="00EC0ADF">
            <w:pPr>
              <w:jc w:val="center"/>
              <w:rPr>
                <w:b/>
              </w:rPr>
            </w:pPr>
            <w:r w:rsidRPr="003B1F9C">
              <w:rPr>
                <w:b/>
              </w:rPr>
              <w:t>Subjekt</w:t>
            </w:r>
          </w:p>
        </w:tc>
        <w:tc>
          <w:tcPr>
            <w:tcW w:w="5257"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BA5F3B" w:rsidRPr="003B1F9C" w:rsidRDefault="00BA5F3B" w:rsidP="00EC0ADF">
            <w:pPr>
              <w:jc w:val="center"/>
              <w:rPr>
                <w:b/>
              </w:rPr>
            </w:pPr>
            <w:r w:rsidRPr="003B1F9C">
              <w:rPr>
                <w:b/>
              </w:rPr>
              <w:t>Skutečný přepočtený stav pracovníků dle AK za rok 2014</w:t>
            </w:r>
          </w:p>
        </w:tc>
      </w:tr>
      <w:tr w:rsidR="00BA5F3B" w:rsidRPr="005A01A9" w:rsidTr="00EC0ADF">
        <w:trPr>
          <w:trHeight w:val="314"/>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3B1F9C" w:rsidRDefault="00BA5F3B" w:rsidP="00EC0ADF">
            <w:pPr>
              <w:jc w:val="both"/>
            </w:pPr>
            <w:r w:rsidRPr="003B1F9C">
              <w:t>Řídící orgán IOP</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3B1F9C" w:rsidRDefault="00BA5F3B" w:rsidP="00EC0ADF">
            <w:pPr>
              <w:jc w:val="center"/>
            </w:pPr>
            <w:r w:rsidRPr="003B1F9C">
              <w:t>69,21</w:t>
            </w:r>
          </w:p>
        </w:tc>
      </w:tr>
      <w:tr w:rsidR="00BA5F3B" w:rsidRPr="005A01A9" w:rsidTr="00EC0ADF">
        <w:trPr>
          <w:trHeight w:val="266"/>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3B1F9C" w:rsidRDefault="00BA5F3B" w:rsidP="00EC0ADF">
            <w:pPr>
              <w:jc w:val="both"/>
            </w:pPr>
            <w:r w:rsidRPr="003B1F9C">
              <w:t>Centrum pro regionální rozvoj ČR</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3B1F9C" w:rsidRDefault="00BA5F3B" w:rsidP="00EC0ADF">
            <w:pPr>
              <w:jc w:val="center"/>
            </w:pPr>
            <w:r w:rsidRPr="003B1F9C">
              <w:t>54,55</w:t>
            </w:r>
          </w:p>
        </w:tc>
      </w:tr>
      <w:tr w:rsidR="00BA5F3B" w:rsidRPr="005A01A9" w:rsidTr="00EC0ADF">
        <w:trPr>
          <w:trHeight w:val="314"/>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3B1F9C" w:rsidRDefault="00BA5F3B" w:rsidP="00EC0ADF">
            <w:pPr>
              <w:jc w:val="both"/>
            </w:pPr>
            <w:r w:rsidRPr="003B1F9C">
              <w:t>Ministerstvo vnitra ČR</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3B1F9C" w:rsidRDefault="00BA5F3B" w:rsidP="00E81E18">
            <w:pPr>
              <w:jc w:val="center"/>
            </w:pPr>
            <w:r w:rsidRPr="003B1F9C">
              <w:t>2</w:t>
            </w:r>
            <w:r w:rsidR="00E81E18">
              <w:t>2</w:t>
            </w:r>
            <w:r w:rsidRPr="003B1F9C">
              <w:t>,</w:t>
            </w:r>
            <w:r w:rsidR="00E81E18">
              <w:t>17</w:t>
            </w:r>
          </w:p>
        </w:tc>
      </w:tr>
      <w:tr w:rsidR="00BA5F3B" w:rsidRPr="005A01A9" w:rsidTr="00EC0ADF">
        <w:trPr>
          <w:trHeight w:val="314"/>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3B1F9C" w:rsidRDefault="00BA5F3B" w:rsidP="00EC0ADF">
            <w:pPr>
              <w:jc w:val="both"/>
            </w:pPr>
            <w:r w:rsidRPr="003B1F9C">
              <w:t>Ministerstvo práce a sociálních věcí ČR</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3B1F9C" w:rsidRDefault="00BA5F3B" w:rsidP="00EC0ADF">
            <w:pPr>
              <w:jc w:val="center"/>
            </w:pPr>
            <w:r w:rsidRPr="003B1F9C">
              <w:t>20,66</w:t>
            </w:r>
          </w:p>
        </w:tc>
      </w:tr>
      <w:tr w:rsidR="00BA5F3B" w:rsidRPr="005A01A9" w:rsidTr="00EC0ADF">
        <w:trPr>
          <w:trHeight w:val="157"/>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3B1F9C" w:rsidRDefault="00BA5F3B" w:rsidP="00EC0ADF">
            <w:pPr>
              <w:jc w:val="both"/>
            </w:pPr>
            <w:r w:rsidRPr="003B1F9C">
              <w:t>Ministerstvo zdravotnictví ČR</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3B1F9C" w:rsidRDefault="00BA5F3B" w:rsidP="00EC0ADF">
            <w:pPr>
              <w:jc w:val="center"/>
            </w:pPr>
            <w:r w:rsidRPr="003B1F9C">
              <w:t>22,5</w:t>
            </w:r>
          </w:p>
        </w:tc>
      </w:tr>
      <w:tr w:rsidR="00BA5F3B" w:rsidRPr="005A01A9" w:rsidTr="003B1F9C">
        <w:trPr>
          <w:trHeight w:val="302"/>
          <w:jc w:val="center"/>
        </w:trPr>
        <w:tc>
          <w:tcPr>
            <w:tcW w:w="3749" w:type="dxa"/>
            <w:tcBorders>
              <w:top w:val="single" w:sz="6" w:space="0" w:color="4F6228"/>
              <w:left w:val="double" w:sz="4" w:space="0" w:color="4F6228"/>
              <w:bottom w:val="double" w:sz="4" w:space="0" w:color="4F6228"/>
              <w:right w:val="single" w:sz="6" w:space="0" w:color="4F6228"/>
            </w:tcBorders>
            <w:shd w:val="clear" w:color="auto" w:fill="C2D69B" w:themeFill="accent3" w:themeFillTint="99"/>
            <w:noWrap/>
            <w:vAlign w:val="center"/>
          </w:tcPr>
          <w:p w:rsidR="00BA5F3B" w:rsidRPr="003B1F9C" w:rsidRDefault="00BA5F3B" w:rsidP="00EC0ADF">
            <w:pPr>
              <w:jc w:val="both"/>
              <w:rPr>
                <w:b/>
              </w:rPr>
            </w:pPr>
            <w:r w:rsidRPr="003B1F9C">
              <w:rPr>
                <w:b/>
              </w:rPr>
              <w:t>CELKEM</w:t>
            </w:r>
          </w:p>
        </w:tc>
        <w:tc>
          <w:tcPr>
            <w:tcW w:w="5257" w:type="dxa"/>
            <w:tcBorders>
              <w:top w:val="single" w:sz="6" w:space="0" w:color="4F6228"/>
              <w:left w:val="single" w:sz="6" w:space="0" w:color="4F6228"/>
              <w:bottom w:val="double" w:sz="4" w:space="0" w:color="4F6228"/>
              <w:right w:val="double" w:sz="4" w:space="0" w:color="4F6228"/>
            </w:tcBorders>
            <w:shd w:val="clear" w:color="auto" w:fill="C2D69B" w:themeFill="accent3" w:themeFillTint="99"/>
            <w:noWrap/>
            <w:vAlign w:val="center"/>
          </w:tcPr>
          <w:p w:rsidR="00BA5F3B" w:rsidRPr="003B1F9C" w:rsidRDefault="00BA5F3B" w:rsidP="00C56F99">
            <w:pPr>
              <w:jc w:val="center"/>
              <w:rPr>
                <w:b/>
              </w:rPr>
            </w:pPr>
            <w:r w:rsidRPr="003B1F9C">
              <w:rPr>
                <w:b/>
              </w:rPr>
              <w:t>18</w:t>
            </w:r>
            <w:r w:rsidR="00C56F99">
              <w:rPr>
                <w:b/>
              </w:rPr>
              <w:t>9</w:t>
            </w:r>
            <w:r w:rsidRPr="003B1F9C">
              <w:rPr>
                <w:b/>
              </w:rPr>
              <w:t>,</w:t>
            </w:r>
            <w:r w:rsidR="00C56F99">
              <w:rPr>
                <w:b/>
              </w:rPr>
              <w:t>09</w:t>
            </w:r>
          </w:p>
        </w:tc>
      </w:tr>
    </w:tbl>
    <w:p w:rsidR="00A75862" w:rsidRPr="00545FF7" w:rsidRDefault="00A75862" w:rsidP="00EB4EBC">
      <w:pPr>
        <w:jc w:val="both"/>
        <w:rPr>
          <w:i/>
          <w:sz w:val="18"/>
          <w:szCs w:val="18"/>
        </w:rPr>
      </w:pPr>
      <w:r>
        <w:rPr>
          <w:i/>
          <w:sz w:val="18"/>
          <w:szCs w:val="18"/>
        </w:rPr>
        <w:t>Zdroj: Zpráva o administ</w:t>
      </w:r>
      <w:r w:rsidR="00784344">
        <w:rPr>
          <w:i/>
          <w:sz w:val="18"/>
          <w:szCs w:val="18"/>
        </w:rPr>
        <w:t>rativní kapacitě IOP za rok 2014</w:t>
      </w:r>
    </w:p>
    <w:p w:rsidR="00A75862" w:rsidRPr="005A01A9" w:rsidRDefault="00A75862" w:rsidP="00EB4EBC">
      <w:pPr>
        <w:jc w:val="both"/>
        <w:rPr>
          <w:b/>
          <w:sz w:val="22"/>
          <w:szCs w:val="22"/>
          <w:u w:val="single"/>
        </w:rPr>
      </w:pPr>
    </w:p>
    <w:p w:rsidR="008A15BF" w:rsidRDefault="008A15BF" w:rsidP="00EB4EBC">
      <w:pPr>
        <w:jc w:val="both"/>
        <w:rPr>
          <w:b/>
          <w:sz w:val="22"/>
          <w:szCs w:val="22"/>
        </w:rPr>
      </w:pPr>
    </w:p>
    <w:p w:rsidR="00784344" w:rsidRPr="00A64813" w:rsidRDefault="00784344" w:rsidP="00784344">
      <w:pPr>
        <w:jc w:val="both"/>
        <w:rPr>
          <w:b/>
          <w:sz w:val="22"/>
          <w:szCs w:val="22"/>
        </w:rPr>
      </w:pPr>
      <w:r>
        <w:rPr>
          <w:b/>
          <w:sz w:val="22"/>
          <w:szCs w:val="22"/>
        </w:rPr>
        <w:t>2. Zajištění profesního vzdělávání</w:t>
      </w:r>
    </w:p>
    <w:p w:rsidR="00784344" w:rsidRDefault="00784344" w:rsidP="00784344">
      <w:pPr>
        <w:jc w:val="both"/>
        <w:rPr>
          <w:sz w:val="22"/>
          <w:szCs w:val="22"/>
        </w:rPr>
      </w:pPr>
      <w:r w:rsidRPr="00E37344">
        <w:rPr>
          <w:sz w:val="22"/>
          <w:szCs w:val="22"/>
        </w:rPr>
        <w:t>Tyto aktivity pravidelně tvoří významnou část vynaložených prostředků TP. Jejich využití je podrobně popsáno v kapitole</w:t>
      </w:r>
      <w:r>
        <w:rPr>
          <w:sz w:val="22"/>
          <w:szCs w:val="22"/>
        </w:rPr>
        <w:t xml:space="preserve"> Vzdělávání pracovníků ŘO IOP a ZS IOP.</w:t>
      </w:r>
    </w:p>
    <w:p w:rsidR="00CF4CC8" w:rsidRPr="005C118C" w:rsidRDefault="00CF4CC8" w:rsidP="00784344">
      <w:pPr>
        <w:jc w:val="both"/>
        <w:rPr>
          <w:sz w:val="22"/>
          <w:szCs w:val="22"/>
        </w:rPr>
      </w:pPr>
    </w:p>
    <w:p w:rsidR="00784344" w:rsidRDefault="00784344" w:rsidP="00784344">
      <w:pPr>
        <w:jc w:val="both"/>
        <w:rPr>
          <w:b/>
          <w:sz w:val="22"/>
          <w:szCs w:val="22"/>
        </w:rPr>
      </w:pPr>
      <w:r>
        <w:rPr>
          <w:b/>
          <w:sz w:val="22"/>
          <w:szCs w:val="22"/>
        </w:rPr>
        <w:lastRenderedPageBreak/>
        <w:t>3. Pořízení</w:t>
      </w:r>
      <w:r w:rsidRPr="00A64813">
        <w:rPr>
          <w:b/>
          <w:sz w:val="22"/>
          <w:szCs w:val="22"/>
        </w:rPr>
        <w:t xml:space="preserve"> a instalace počítačových systémů a informačních technologií</w:t>
      </w:r>
    </w:p>
    <w:p w:rsidR="00784344" w:rsidRDefault="00784344" w:rsidP="00784344">
      <w:pPr>
        <w:jc w:val="both"/>
        <w:rPr>
          <w:sz w:val="22"/>
          <w:szCs w:val="22"/>
        </w:rPr>
      </w:pPr>
      <w:r w:rsidRPr="00002886">
        <w:rPr>
          <w:b/>
          <w:sz w:val="22"/>
          <w:szCs w:val="22"/>
        </w:rPr>
        <w:t>MMR ČR</w:t>
      </w:r>
      <w:r w:rsidRPr="00002886">
        <w:rPr>
          <w:sz w:val="22"/>
          <w:szCs w:val="22"/>
        </w:rPr>
        <w:t xml:space="preserve"> – v roce 2014 pokračovala realizace projektu Specifické úpravy aplikací Monit7+ IOP a webové žádosti Benefit pro IOP – III. část s rozpočtem 12 480 000,- Kč (450 086,56 EUR). Za rok 2014 byly podány žádosti o platbu v souhrnné výši 960 625,64,- Kč (34 644,61 EUR).</w:t>
      </w:r>
    </w:p>
    <w:p w:rsidR="00784344" w:rsidRDefault="00784344" w:rsidP="00784344">
      <w:pPr>
        <w:jc w:val="both"/>
        <w:rPr>
          <w:sz w:val="22"/>
          <w:szCs w:val="22"/>
        </w:rPr>
      </w:pPr>
    </w:p>
    <w:p w:rsidR="00784344" w:rsidRPr="00034611" w:rsidRDefault="00784344" w:rsidP="00784344">
      <w:pPr>
        <w:jc w:val="both"/>
        <w:rPr>
          <w:sz w:val="22"/>
          <w:szCs w:val="22"/>
        </w:rPr>
      </w:pPr>
      <w:r w:rsidRPr="007B7588">
        <w:rPr>
          <w:b/>
          <w:sz w:val="22"/>
          <w:szCs w:val="22"/>
        </w:rPr>
        <w:t>CRR ČR</w:t>
      </w:r>
      <w:r w:rsidRPr="007B7588">
        <w:rPr>
          <w:sz w:val="22"/>
          <w:szCs w:val="22"/>
        </w:rPr>
        <w:t xml:space="preserve"> – v</w:t>
      </w:r>
      <w:r>
        <w:rPr>
          <w:sz w:val="22"/>
          <w:szCs w:val="22"/>
        </w:rPr>
        <w:t xml:space="preserve"> roce 2014 pořizoval výpočetní techniku v rámci projektu IOP CZ.1.6/6.2.00/10.07865 (závěrečná sloučená 6. a 7. etapa projektu od 1. 1. 2014 – 31. 12. 2014) v celkové výši </w:t>
      </w:r>
      <w:r w:rsidRPr="00D120DC">
        <w:rPr>
          <w:sz w:val="22"/>
          <w:szCs w:val="22"/>
        </w:rPr>
        <w:t>591 278,60</w:t>
      </w:r>
      <w:r>
        <w:rPr>
          <w:sz w:val="22"/>
          <w:szCs w:val="22"/>
        </w:rPr>
        <w:t xml:space="preserve"> Kč za dodávku 10ks x PC a 10ks x NB vč. </w:t>
      </w:r>
      <w:r w:rsidRPr="00D120DC">
        <w:rPr>
          <w:sz w:val="22"/>
          <w:szCs w:val="22"/>
        </w:rPr>
        <w:t>příslušenství</w:t>
      </w:r>
      <w:r>
        <w:rPr>
          <w:sz w:val="22"/>
          <w:szCs w:val="22"/>
        </w:rPr>
        <w:t>.</w:t>
      </w:r>
    </w:p>
    <w:p w:rsidR="00784344" w:rsidRDefault="00784344" w:rsidP="00784344">
      <w:pPr>
        <w:jc w:val="both"/>
        <w:rPr>
          <w:b/>
          <w:sz w:val="22"/>
          <w:szCs w:val="22"/>
        </w:rPr>
      </w:pPr>
    </w:p>
    <w:p w:rsidR="00784344" w:rsidRPr="003A4FFF" w:rsidRDefault="00784344" w:rsidP="00784344">
      <w:pPr>
        <w:jc w:val="both"/>
        <w:rPr>
          <w:sz w:val="22"/>
          <w:szCs w:val="22"/>
        </w:rPr>
      </w:pPr>
      <w:r w:rsidRPr="00D57DE8">
        <w:rPr>
          <w:b/>
          <w:sz w:val="22"/>
          <w:szCs w:val="22"/>
        </w:rPr>
        <w:t>MPSV ČR</w:t>
      </w:r>
      <w:r>
        <w:rPr>
          <w:sz w:val="22"/>
          <w:szCs w:val="22"/>
        </w:rPr>
        <w:t xml:space="preserve"> - v</w:t>
      </w:r>
      <w:r w:rsidRPr="003A4FFF">
        <w:rPr>
          <w:sz w:val="22"/>
          <w:szCs w:val="22"/>
        </w:rPr>
        <w:t> roce 2014 byla z projektu TP %7678 – „Projekt technické pomoci MPSV – publicita“ pořízena skartovačka v celkovém objemu 20 997 Kč, a dále multifunkční zařízení v hodnotě 17</w:t>
      </w:r>
      <w:r>
        <w:rPr>
          <w:sz w:val="22"/>
          <w:szCs w:val="22"/>
        </w:rPr>
        <w:t> </w:t>
      </w:r>
      <w:r w:rsidRPr="003A4FFF">
        <w:rPr>
          <w:sz w:val="22"/>
          <w:szCs w:val="22"/>
        </w:rPr>
        <w:t>990</w:t>
      </w:r>
      <w:r>
        <w:rPr>
          <w:sz w:val="22"/>
          <w:szCs w:val="22"/>
        </w:rPr>
        <w:t>,-</w:t>
      </w:r>
      <w:r w:rsidRPr="003A4FFF">
        <w:rPr>
          <w:sz w:val="22"/>
          <w:szCs w:val="22"/>
        </w:rPr>
        <w:t xml:space="preserve"> Kč.</w:t>
      </w:r>
    </w:p>
    <w:p w:rsidR="00784344" w:rsidRPr="00002886" w:rsidRDefault="00784344" w:rsidP="00784344">
      <w:pPr>
        <w:jc w:val="both"/>
        <w:rPr>
          <w:sz w:val="22"/>
          <w:szCs w:val="22"/>
        </w:rPr>
      </w:pPr>
    </w:p>
    <w:p w:rsidR="00784344" w:rsidRPr="00A64813" w:rsidRDefault="00784344" w:rsidP="00784344">
      <w:pPr>
        <w:jc w:val="both"/>
        <w:rPr>
          <w:b/>
          <w:sz w:val="22"/>
          <w:szCs w:val="22"/>
        </w:rPr>
      </w:pPr>
    </w:p>
    <w:p w:rsidR="00784344" w:rsidRDefault="00784344" w:rsidP="00784344">
      <w:pPr>
        <w:jc w:val="both"/>
        <w:rPr>
          <w:b/>
          <w:sz w:val="22"/>
          <w:szCs w:val="22"/>
        </w:rPr>
      </w:pPr>
      <w:r w:rsidRPr="000412F1">
        <w:rPr>
          <w:b/>
          <w:sz w:val="22"/>
          <w:szCs w:val="22"/>
        </w:rPr>
        <w:t>4. Písemné výstupy ŘO IOP a ZS</w:t>
      </w:r>
    </w:p>
    <w:p w:rsidR="00784344" w:rsidRPr="00F36A91" w:rsidRDefault="00784344" w:rsidP="00784344">
      <w:pPr>
        <w:jc w:val="both"/>
        <w:rPr>
          <w:b/>
          <w:sz w:val="22"/>
          <w:szCs w:val="22"/>
        </w:rPr>
      </w:pPr>
      <w:r w:rsidRPr="00434D48">
        <w:rPr>
          <w:sz w:val="22"/>
          <w:szCs w:val="22"/>
        </w:rPr>
        <w:t xml:space="preserve">Níže jsou uvedeny pouze </w:t>
      </w:r>
      <w:r w:rsidRPr="00434D48">
        <w:rPr>
          <w:b/>
          <w:sz w:val="22"/>
          <w:szCs w:val="22"/>
        </w:rPr>
        <w:t>nejdůležitější a finančně nejnáročnější výstupy ŘO IOP</w:t>
      </w:r>
      <w:r>
        <w:rPr>
          <w:sz w:val="22"/>
          <w:szCs w:val="22"/>
        </w:rPr>
        <w:t xml:space="preserve">. </w:t>
      </w:r>
      <w:r w:rsidRPr="007B7588">
        <w:rPr>
          <w:sz w:val="22"/>
          <w:szCs w:val="22"/>
        </w:rPr>
        <w:t>ZS písemné výstupy v roce 2014 nefinancovaly</w:t>
      </w:r>
      <w:r w:rsidRPr="007B7588">
        <w:rPr>
          <w:b/>
        </w:rPr>
        <w:t>.</w:t>
      </w:r>
    </w:p>
    <w:p w:rsidR="00784344" w:rsidRDefault="00784344" w:rsidP="00784344">
      <w:pPr>
        <w:jc w:val="both"/>
        <w:rPr>
          <w:b/>
          <w:sz w:val="22"/>
          <w:szCs w:val="22"/>
        </w:rPr>
      </w:pPr>
    </w:p>
    <w:p w:rsidR="00784344" w:rsidRDefault="00784344" w:rsidP="00784344">
      <w:pPr>
        <w:tabs>
          <w:tab w:val="left" w:pos="2298"/>
          <w:tab w:val="left" w:pos="3526"/>
          <w:tab w:val="left" w:pos="5888"/>
        </w:tabs>
        <w:jc w:val="both"/>
        <w:rPr>
          <w:sz w:val="22"/>
          <w:szCs w:val="22"/>
        </w:rPr>
      </w:pPr>
      <w:r>
        <w:rPr>
          <w:sz w:val="22"/>
          <w:szCs w:val="22"/>
        </w:rPr>
        <w:t>KPMG Česká republika, s.r.o. – zpracování studie Identifikace specifických regionů/oblastí cestovního ruchu s potřebou podpory rozvoje včetně návrhu vhodného směřování investic do konkrétních oblastí, potenciálně návrh cílových projektů. Celkové náklady 235 950,- Kč (8 509,45 EUR).</w:t>
      </w:r>
    </w:p>
    <w:p w:rsidR="00784344" w:rsidRDefault="00784344" w:rsidP="00784344">
      <w:pPr>
        <w:tabs>
          <w:tab w:val="left" w:pos="2298"/>
          <w:tab w:val="left" w:pos="3526"/>
          <w:tab w:val="left" w:pos="5888"/>
        </w:tabs>
        <w:jc w:val="both"/>
        <w:rPr>
          <w:sz w:val="22"/>
          <w:szCs w:val="22"/>
        </w:rPr>
      </w:pPr>
      <w:r>
        <w:rPr>
          <w:sz w:val="22"/>
          <w:szCs w:val="22"/>
        </w:rPr>
        <w:t xml:space="preserve"> </w:t>
      </w:r>
    </w:p>
    <w:p w:rsidR="00784344" w:rsidRDefault="00784344" w:rsidP="00784344">
      <w:pPr>
        <w:tabs>
          <w:tab w:val="left" w:pos="2298"/>
          <w:tab w:val="left" w:pos="3526"/>
          <w:tab w:val="left" w:pos="5888"/>
        </w:tabs>
        <w:jc w:val="both"/>
        <w:rPr>
          <w:sz w:val="22"/>
          <w:szCs w:val="22"/>
        </w:rPr>
      </w:pPr>
      <w:r>
        <w:rPr>
          <w:sz w:val="22"/>
          <w:szCs w:val="22"/>
        </w:rPr>
        <w:t>KPMG Česká republika, s.r.o. – zpracování studie Regionalizace a vyhodnocení potenciálu a potřeb hmotného i nehmotného kulturního odvětví v ČR ve vztahu k rozvoji cestovního ruchu – identifikace území a specifických oblastí kulturního odvětví s potřebou rozvoje, zmapování možných způsobů integrovaného rozvoje. Celkové náklady 235 950,- Kč (8 509,45 EUR).</w:t>
      </w:r>
    </w:p>
    <w:p w:rsidR="00784344" w:rsidRDefault="00784344" w:rsidP="00784344">
      <w:pPr>
        <w:tabs>
          <w:tab w:val="left" w:pos="2298"/>
          <w:tab w:val="left" w:pos="3526"/>
          <w:tab w:val="left" w:pos="5888"/>
        </w:tabs>
        <w:jc w:val="both"/>
        <w:rPr>
          <w:sz w:val="22"/>
          <w:szCs w:val="22"/>
        </w:rPr>
      </w:pPr>
    </w:p>
    <w:p w:rsidR="00784344" w:rsidRDefault="00784344" w:rsidP="00784344">
      <w:pPr>
        <w:tabs>
          <w:tab w:val="left" w:pos="2298"/>
          <w:tab w:val="left" w:pos="3526"/>
          <w:tab w:val="left" w:pos="5888"/>
        </w:tabs>
        <w:jc w:val="both"/>
        <w:rPr>
          <w:sz w:val="22"/>
          <w:szCs w:val="22"/>
        </w:rPr>
      </w:pPr>
      <w:r>
        <w:rPr>
          <w:sz w:val="22"/>
          <w:szCs w:val="22"/>
        </w:rPr>
        <w:t>Regionální rozvojová agentura Plzeňského kraje, o.p.s. – vyčíslení indikátoru nadřazené silniční sítě pro SC 1.1 programového dokumentu IROP ve variantách. Výstupem bylo vyčíslení plochy/počtu obyvatel jako hodnot indikátoru a přehledná mapa ČR s indikativním zobrazením dohodnuté varianty stavu a výhledu. Celkové náklady 18 150,- Kč (654,57 EUR).</w:t>
      </w:r>
    </w:p>
    <w:p w:rsidR="00784344" w:rsidRDefault="00784344" w:rsidP="00784344">
      <w:pPr>
        <w:tabs>
          <w:tab w:val="left" w:pos="2298"/>
          <w:tab w:val="left" w:pos="3526"/>
          <w:tab w:val="left" w:pos="5888"/>
        </w:tabs>
        <w:jc w:val="both"/>
        <w:rPr>
          <w:sz w:val="22"/>
          <w:szCs w:val="22"/>
        </w:rPr>
      </w:pPr>
    </w:p>
    <w:p w:rsidR="00784344" w:rsidRDefault="00784344" w:rsidP="00784344">
      <w:pPr>
        <w:tabs>
          <w:tab w:val="left" w:pos="2298"/>
          <w:tab w:val="left" w:pos="3526"/>
          <w:tab w:val="left" w:pos="5888"/>
        </w:tabs>
        <w:jc w:val="both"/>
        <w:rPr>
          <w:sz w:val="22"/>
          <w:szCs w:val="22"/>
        </w:rPr>
      </w:pPr>
      <w:proofErr w:type="spellStart"/>
      <w:r>
        <w:rPr>
          <w:sz w:val="22"/>
          <w:szCs w:val="22"/>
        </w:rPr>
        <w:t>Integra</w:t>
      </w:r>
      <w:proofErr w:type="spellEnd"/>
      <w:r>
        <w:rPr>
          <w:sz w:val="22"/>
          <w:szCs w:val="22"/>
        </w:rPr>
        <w:t xml:space="preserve"> </w:t>
      </w:r>
      <w:proofErr w:type="spellStart"/>
      <w:r>
        <w:rPr>
          <w:sz w:val="22"/>
          <w:szCs w:val="22"/>
        </w:rPr>
        <w:t>Consulting</w:t>
      </w:r>
      <w:proofErr w:type="spellEnd"/>
      <w:r>
        <w:rPr>
          <w:sz w:val="22"/>
          <w:szCs w:val="22"/>
        </w:rPr>
        <w:t xml:space="preserve"> s.r.o. – provedení posouzení vlivu Integrovaného regionálního operačního programu na životní prostředí (SEA hodnocení). Celkové náklady 363 000,- Kč (13 091,46 EUR).</w:t>
      </w:r>
    </w:p>
    <w:p w:rsidR="00784344" w:rsidRDefault="00784344" w:rsidP="00784344">
      <w:pPr>
        <w:tabs>
          <w:tab w:val="left" w:pos="2298"/>
          <w:tab w:val="left" w:pos="3526"/>
          <w:tab w:val="left" w:pos="5888"/>
        </w:tabs>
        <w:jc w:val="both"/>
        <w:rPr>
          <w:sz w:val="22"/>
          <w:szCs w:val="22"/>
        </w:rPr>
      </w:pPr>
    </w:p>
    <w:p w:rsidR="00784344" w:rsidRDefault="00784344" w:rsidP="00784344">
      <w:pPr>
        <w:tabs>
          <w:tab w:val="left" w:pos="2298"/>
          <w:tab w:val="left" w:pos="3526"/>
          <w:tab w:val="left" w:pos="5888"/>
        </w:tabs>
        <w:jc w:val="both"/>
        <w:rPr>
          <w:sz w:val="22"/>
          <w:szCs w:val="22"/>
        </w:rPr>
      </w:pPr>
      <w:proofErr w:type="spellStart"/>
      <w:r>
        <w:rPr>
          <w:sz w:val="22"/>
          <w:szCs w:val="22"/>
        </w:rPr>
        <w:t>Deloitte</w:t>
      </w:r>
      <w:proofErr w:type="spellEnd"/>
      <w:r>
        <w:rPr>
          <w:sz w:val="22"/>
          <w:szCs w:val="22"/>
        </w:rPr>
        <w:t xml:space="preserve"> </w:t>
      </w:r>
      <w:proofErr w:type="spellStart"/>
      <w:r>
        <w:rPr>
          <w:sz w:val="22"/>
          <w:szCs w:val="22"/>
        </w:rPr>
        <w:t>Advisory</w:t>
      </w:r>
      <w:proofErr w:type="spellEnd"/>
      <w:r>
        <w:rPr>
          <w:sz w:val="22"/>
          <w:szCs w:val="22"/>
        </w:rPr>
        <w:t>, s.r.o. – zpracování předběžného hodnocení Integrovaného regionálního operačního programu pro programové období 2014 – 2020. Celkové náklady 350 900,- Kč (12 655,08 EUR).</w:t>
      </w:r>
    </w:p>
    <w:p w:rsidR="00784344" w:rsidRDefault="00784344" w:rsidP="00784344">
      <w:pPr>
        <w:tabs>
          <w:tab w:val="left" w:pos="2298"/>
          <w:tab w:val="left" w:pos="3526"/>
          <w:tab w:val="left" w:pos="5888"/>
        </w:tabs>
        <w:jc w:val="both"/>
        <w:rPr>
          <w:sz w:val="22"/>
          <w:szCs w:val="22"/>
        </w:rPr>
      </w:pPr>
    </w:p>
    <w:p w:rsidR="00784344" w:rsidRDefault="00784344" w:rsidP="00784344">
      <w:pPr>
        <w:tabs>
          <w:tab w:val="left" w:pos="2298"/>
          <w:tab w:val="left" w:pos="3526"/>
          <w:tab w:val="left" w:pos="5888"/>
        </w:tabs>
        <w:jc w:val="both"/>
        <w:rPr>
          <w:sz w:val="22"/>
          <w:szCs w:val="22"/>
        </w:rPr>
      </w:pPr>
      <w:proofErr w:type="spellStart"/>
      <w:r>
        <w:rPr>
          <w:sz w:val="22"/>
          <w:szCs w:val="22"/>
        </w:rPr>
        <w:t>Deloitte</w:t>
      </w:r>
      <w:proofErr w:type="spellEnd"/>
      <w:r>
        <w:rPr>
          <w:sz w:val="22"/>
          <w:szCs w:val="22"/>
        </w:rPr>
        <w:t xml:space="preserve"> </w:t>
      </w:r>
      <w:proofErr w:type="spellStart"/>
      <w:r>
        <w:rPr>
          <w:sz w:val="22"/>
          <w:szCs w:val="22"/>
        </w:rPr>
        <w:t>Advisory</w:t>
      </w:r>
      <w:proofErr w:type="spellEnd"/>
      <w:r>
        <w:rPr>
          <w:sz w:val="22"/>
          <w:szCs w:val="22"/>
        </w:rPr>
        <w:t xml:space="preserve"> s.r.o. – zpracování aktualizace průběžné a závěrečné zprávy z předběžného hodnocení Integrovaného regionálního operačního programu v návaznosti na připomínky EK a úpravy Dohody o partnerství. Požadavek aktualizace vzešel ze závěru 9. jednání Pracovní skupiny k rozpracování programů a z Koordinačního setkání ex-ante hodnotitelů. Celkové náklady 174 240,- Kč (6 283,90 EUR).</w:t>
      </w:r>
    </w:p>
    <w:p w:rsidR="000D714B" w:rsidRPr="00CB7E32" w:rsidRDefault="000D714B" w:rsidP="00EB4EBC">
      <w:pPr>
        <w:tabs>
          <w:tab w:val="left" w:pos="2298"/>
          <w:tab w:val="left" w:pos="3526"/>
          <w:tab w:val="left" w:pos="5888"/>
        </w:tabs>
        <w:jc w:val="both"/>
        <w:rPr>
          <w:sz w:val="22"/>
          <w:szCs w:val="22"/>
        </w:rPr>
      </w:pPr>
    </w:p>
    <w:p w:rsidR="00A75862" w:rsidRPr="00D76484" w:rsidRDefault="00A75862" w:rsidP="002D12EC">
      <w:pPr>
        <w:pStyle w:val="Nadpis1"/>
        <w:rPr>
          <w:rFonts w:ascii="Times New Roman" w:hAnsi="Times New Roman"/>
          <w:color w:val="76923C"/>
        </w:rPr>
      </w:pPr>
      <w:bookmarkStart w:id="267" w:name="_Toc417024894"/>
      <w:r w:rsidRPr="00D76484">
        <w:rPr>
          <w:rFonts w:ascii="Times New Roman" w:hAnsi="Times New Roman"/>
          <w:color w:val="76923C"/>
        </w:rPr>
        <w:t>6 INFORMOVÁNÍ A PROPAGACE</w:t>
      </w:r>
      <w:bookmarkEnd w:id="267"/>
    </w:p>
    <w:p w:rsidR="000E5B09" w:rsidRDefault="000E5B09" w:rsidP="000E5B09"/>
    <w:p w:rsidR="000E5B09" w:rsidRPr="000E5B09" w:rsidRDefault="000E5B09" w:rsidP="000E5B09">
      <w:pPr>
        <w:jc w:val="both"/>
        <w:rPr>
          <w:rFonts w:ascii="Calibri" w:hAnsi="Calibri"/>
          <w:sz w:val="22"/>
          <w:szCs w:val="22"/>
        </w:rPr>
      </w:pPr>
      <w:r w:rsidRPr="000E5B09">
        <w:rPr>
          <w:sz w:val="22"/>
          <w:szCs w:val="22"/>
        </w:rPr>
        <w:t>ŘO IOP zveřejňuje seznam schválených projektů a příklady uskutečněných projektů v IOP na webových stránkách:</w:t>
      </w:r>
    </w:p>
    <w:p w:rsidR="000E5B09" w:rsidRPr="000E5B09" w:rsidRDefault="000E5B09" w:rsidP="000E5B09">
      <w:pPr>
        <w:rPr>
          <w:b/>
          <w:sz w:val="22"/>
          <w:szCs w:val="22"/>
        </w:rPr>
      </w:pPr>
    </w:p>
    <w:p w:rsidR="000E5B09" w:rsidRPr="000E5B09" w:rsidRDefault="000E5B09" w:rsidP="000E5B09">
      <w:pPr>
        <w:rPr>
          <w:rStyle w:val="Hypertextovodkaz"/>
          <w:rFonts w:ascii="Calibri" w:hAnsi="Calibri"/>
          <w:color w:val="000000"/>
          <w:sz w:val="22"/>
          <w:szCs w:val="22"/>
        </w:rPr>
      </w:pPr>
      <w:r w:rsidRPr="000E5B09">
        <w:rPr>
          <w:b/>
          <w:sz w:val="22"/>
          <w:szCs w:val="22"/>
        </w:rPr>
        <w:t>Příklady uskutečněných projektů</w:t>
      </w:r>
      <w:r w:rsidRPr="000E5B09">
        <w:rPr>
          <w:sz w:val="22"/>
          <w:szCs w:val="22"/>
        </w:rPr>
        <w:t xml:space="preserve"> jsou zveřejněny a aktualizovány </w:t>
      </w:r>
      <w:proofErr w:type="gramStart"/>
      <w:r w:rsidRPr="000E5B09">
        <w:rPr>
          <w:sz w:val="22"/>
          <w:szCs w:val="22"/>
        </w:rPr>
        <w:t>na</w:t>
      </w:r>
      <w:proofErr w:type="gramEnd"/>
      <w:r w:rsidRPr="000E5B09">
        <w:rPr>
          <w:sz w:val="22"/>
          <w:szCs w:val="22"/>
        </w:rPr>
        <w:t xml:space="preserve">: </w:t>
      </w:r>
      <w:hyperlink r:id="rId45" w:history="1">
        <w:r w:rsidRPr="000E5B09">
          <w:rPr>
            <w:rStyle w:val="Hypertextovodkaz"/>
            <w:color w:val="000000"/>
            <w:sz w:val="22"/>
            <w:szCs w:val="22"/>
          </w:rPr>
          <w:t>http://www.kvalitazivota.eu/</w:t>
        </w:r>
      </w:hyperlink>
    </w:p>
    <w:p w:rsidR="000E5B09" w:rsidRPr="000E5B09" w:rsidRDefault="000E5B09" w:rsidP="000E5B09">
      <w:pPr>
        <w:rPr>
          <w:sz w:val="22"/>
          <w:szCs w:val="22"/>
        </w:rPr>
      </w:pPr>
    </w:p>
    <w:p w:rsidR="000E5B09" w:rsidRDefault="000E5B09" w:rsidP="000E5B09">
      <w:pPr>
        <w:rPr>
          <w:rStyle w:val="Hypertextovodkaz"/>
          <w:rFonts w:ascii="Calibri" w:hAnsi="Calibri"/>
          <w:color w:val="000000"/>
        </w:rPr>
      </w:pPr>
      <w:r w:rsidRPr="000E5B09">
        <w:rPr>
          <w:b/>
          <w:sz w:val="22"/>
          <w:szCs w:val="22"/>
        </w:rPr>
        <w:lastRenderedPageBreak/>
        <w:t>Seznam příjemců podpory</w:t>
      </w:r>
      <w:r w:rsidRPr="000E5B09">
        <w:rPr>
          <w:sz w:val="22"/>
          <w:szCs w:val="22"/>
        </w:rPr>
        <w:t xml:space="preserve"> z IOP je zveřejněn a měsíčně aktualizován </w:t>
      </w:r>
      <w:proofErr w:type="gramStart"/>
      <w:r w:rsidRPr="000E5B09">
        <w:rPr>
          <w:sz w:val="22"/>
          <w:szCs w:val="22"/>
        </w:rPr>
        <w:t>na</w:t>
      </w:r>
      <w:proofErr w:type="gramEnd"/>
      <w:r w:rsidRPr="000E5B09">
        <w:rPr>
          <w:sz w:val="22"/>
          <w:szCs w:val="22"/>
        </w:rPr>
        <w:t xml:space="preserve">: </w:t>
      </w:r>
      <w:hyperlink r:id="rId46" w:history="1">
        <w:r w:rsidRPr="000E5B09">
          <w:rPr>
            <w:rStyle w:val="Hypertextovodkaz"/>
            <w:color w:val="000000"/>
            <w:sz w:val="22"/>
            <w:szCs w:val="22"/>
          </w:rPr>
          <w:t>http://www.strukturalni-fondy.cz/cs/Microsites/Integrovany-OP/Zadatele-a-prijemci/Seznam-podporenych-projektu</w:t>
        </w:r>
      </w:hyperlink>
    </w:p>
    <w:p w:rsidR="000E5B09" w:rsidRDefault="000E5B09" w:rsidP="000E5B09"/>
    <w:p w:rsidR="000E5B09" w:rsidRDefault="000E5B09" w:rsidP="000E5B09">
      <w:pPr>
        <w:pStyle w:val="Nadpis1"/>
        <w:rPr>
          <w:rFonts w:ascii="Times New Roman" w:hAnsi="Times New Roman"/>
        </w:rPr>
      </w:pPr>
      <w:bookmarkStart w:id="268" w:name="_Toc417024895"/>
      <w:r>
        <w:rPr>
          <w:rFonts w:ascii="Times New Roman" w:hAnsi="Times New Roman"/>
          <w:b w:val="0"/>
          <w:bCs w:val="0"/>
          <w:color w:val="76923C"/>
        </w:rPr>
        <w:t>6.1 Propagační aktivity a použité komunikační nástroje v roce 2014</w:t>
      </w:r>
      <w:bookmarkEnd w:id="268"/>
    </w:p>
    <w:p w:rsidR="000E5B09" w:rsidRDefault="000E5B09" w:rsidP="000E5B09">
      <w:pPr>
        <w:jc w:val="both"/>
      </w:pPr>
    </w:p>
    <w:p w:rsidR="008667D6" w:rsidRPr="008667D6" w:rsidRDefault="000E5B09" w:rsidP="008667D6">
      <w:pPr>
        <w:spacing w:before="120"/>
        <w:jc w:val="both"/>
        <w:rPr>
          <w:rFonts w:ascii="Calibri" w:hAnsi="Calibri"/>
          <w:sz w:val="22"/>
          <w:szCs w:val="22"/>
        </w:rPr>
      </w:pPr>
      <w:r w:rsidRPr="000E5B09">
        <w:rPr>
          <w:sz w:val="22"/>
          <w:szCs w:val="22"/>
        </w:rPr>
        <w:t>Přehled všech komunikačních a propagačních aktivit IOP za rok 2014 je obsahem přílohy č. 2.</w:t>
      </w:r>
    </w:p>
    <w:p w:rsidR="0076695A" w:rsidRPr="008667D6" w:rsidRDefault="0076695A" w:rsidP="008667D6">
      <w:pPr>
        <w:pStyle w:val="Nadpis3"/>
      </w:pPr>
      <w:bookmarkStart w:id="269" w:name="_Toc382407723"/>
      <w:bookmarkStart w:id="270" w:name="_Toc383084725"/>
      <w:bookmarkStart w:id="271" w:name="_Toc417024896"/>
      <w:r w:rsidRPr="009026D3">
        <w:t>6.1.1 Komunikační kampaně</w:t>
      </w:r>
      <w:bookmarkEnd w:id="269"/>
      <w:bookmarkEnd w:id="270"/>
      <w:bookmarkEnd w:id="271"/>
    </w:p>
    <w:p w:rsidR="008667D6" w:rsidRDefault="008667D6" w:rsidP="0076695A">
      <w:pPr>
        <w:keepNext/>
        <w:keepLines/>
        <w:jc w:val="both"/>
        <w:rPr>
          <w:b/>
          <w:sz w:val="24"/>
          <w:szCs w:val="24"/>
        </w:rPr>
      </w:pPr>
    </w:p>
    <w:p w:rsidR="0076695A" w:rsidRDefault="0076695A" w:rsidP="0076695A">
      <w:pPr>
        <w:keepNext/>
        <w:keepLines/>
        <w:jc w:val="both"/>
        <w:rPr>
          <w:sz w:val="22"/>
          <w:szCs w:val="22"/>
        </w:rPr>
      </w:pPr>
      <w:r w:rsidRPr="005F1771">
        <w:rPr>
          <w:b/>
          <w:sz w:val="24"/>
          <w:szCs w:val="24"/>
        </w:rPr>
        <w:t>Inzerce v Hospodářských novinách</w:t>
      </w:r>
    </w:p>
    <w:p w:rsidR="0076695A" w:rsidRPr="0072505A" w:rsidRDefault="0076695A" w:rsidP="0076695A">
      <w:pPr>
        <w:keepNext/>
        <w:keepLines/>
        <w:jc w:val="both"/>
        <w:rPr>
          <w:sz w:val="22"/>
          <w:szCs w:val="22"/>
        </w:rPr>
      </w:pPr>
      <w:r w:rsidRPr="00097E08">
        <w:rPr>
          <w:sz w:val="22"/>
          <w:szCs w:val="22"/>
        </w:rPr>
        <w:t xml:space="preserve">Dne 5. 6. 2014 vyšla </w:t>
      </w:r>
      <w:r>
        <w:rPr>
          <w:sz w:val="22"/>
          <w:szCs w:val="22"/>
        </w:rPr>
        <w:t>šesti</w:t>
      </w:r>
      <w:r w:rsidRPr="00097E08">
        <w:rPr>
          <w:sz w:val="22"/>
          <w:szCs w:val="22"/>
        </w:rPr>
        <w:t xml:space="preserve"> stránková inzerce v Hospodářských novinách, z čehož na 3 stranách byl prezentován Integrovaný operační program.</w:t>
      </w:r>
      <w:r>
        <w:rPr>
          <w:sz w:val="22"/>
          <w:szCs w:val="22"/>
        </w:rPr>
        <w:t xml:space="preserve"> Inzerce probíhala ve spolupráci s Národním orgánem pro koordinaci.</w:t>
      </w:r>
      <w:r w:rsidRPr="00097E08">
        <w:rPr>
          <w:sz w:val="22"/>
          <w:szCs w:val="22"/>
        </w:rPr>
        <w:t xml:space="preserve"> Mezi hlavní témata patřil</w:t>
      </w:r>
      <w:r>
        <w:rPr>
          <w:sz w:val="22"/>
          <w:szCs w:val="22"/>
        </w:rPr>
        <w:t>y</w:t>
      </w:r>
      <w:r w:rsidRPr="00097E08">
        <w:rPr>
          <w:sz w:val="22"/>
          <w:szCs w:val="22"/>
        </w:rPr>
        <w:t xml:space="preserve"> oblast</w:t>
      </w:r>
      <w:r>
        <w:rPr>
          <w:sz w:val="22"/>
          <w:szCs w:val="22"/>
        </w:rPr>
        <w:t>i</w:t>
      </w:r>
      <w:r w:rsidRPr="00097E08">
        <w:rPr>
          <w:sz w:val="22"/>
          <w:szCs w:val="22"/>
        </w:rPr>
        <w:t xml:space="preserve"> sociálního podnikání, zdravotnictví</w:t>
      </w:r>
      <w:r>
        <w:rPr>
          <w:sz w:val="22"/>
          <w:szCs w:val="22"/>
        </w:rPr>
        <w:t>, obnovy kulturního dědictví a IPRM.</w:t>
      </w:r>
      <w:r w:rsidRPr="00097E08">
        <w:rPr>
          <w:sz w:val="22"/>
          <w:szCs w:val="22"/>
        </w:rPr>
        <w:t xml:space="preserve"> Inzerce nebyla hrazena z rozpočtu Technické pomoci IOP.</w:t>
      </w:r>
    </w:p>
    <w:p w:rsidR="0076695A" w:rsidRPr="00097E08" w:rsidRDefault="0076695A" w:rsidP="0076695A">
      <w:pPr>
        <w:keepNext/>
        <w:keepLines/>
        <w:spacing w:before="120"/>
        <w:jc w:val="both"/>
        <w:rPr>
          <w:sz w:val="22"/>
          <w:szCs w:val="22"/>
        </w:rPr>
      </w:pPr>
      <w:r w:rsidRPr="00097E08">
        <w:rPr>
          <w:sz w:val="22"/>
          <w:szCs w:val="22"/>
        </w:rPr>
        <w:t>Finanční náklady z TP IOP: 0</w:t>
      </w:r>
      <w:r w:rsidRPr="00097E08">
        <w:rPr>
          <w:color w:val="000000"/>
          <w:sz w:val="22"/>
          <w:szCs w:val="22"/>
        </w:rPr>
        <w:t xml:space="preserve"> Kč</w:t>
      </w:r>
    </w:p>
    <w:p w:rsidR="0076695A" w:rsidRPr="008667D6" w:rsidRDefault="0076695A" w:rsidP="008667D6">
      <w:pPr>
        <w:keepNext/>
        <w:keepLines/>
        <w:jc w:val="both"/>
        <w:rPr>
          <w:sz w:val="22"/>
          <w:szCs w:val="22"/>
        </w:rPr>
      </w:pPr>
      <w:r w:rsidRPr="00097E08">
        <w:rPr>
          <w:sz w:val="22"/>
          <w:szCs w:val="22"/>
        </w:rPr>
        <w:t>Cílová skupina: široká veřejnost</w:t>
      </w:r>
    </w:p>
    <w:p w:rsidR="0076695A" w:rsidRDefault="0076695A" w:rsidP="0076695A">
      <w:pPr>
        <w:keepNext/>
        <w:keepLines/>
        <w:rPr>
          <w:b/>
          <w:sz w:val="24"/>
          <w:szCs w:val="24"/>
        </w:rPr>
      </w:pPr>
    </w:p>
    <w:p w:rsidR="0076695A" w:rsidRPr="005F1771" w:rsidRDefault="0076695A" w:rsidP="0076695A">
      <w:pPr>
        <w:keepNext/>
        <w:keepLines/>
        <w:rPr>
          <w:b/>
          <w:sz w:val="24"/>
          <w:szCs w:val="24"/>
        </w:rPr>
      </w:pPr>
      <w:proofErr w:type="spellStart"/>
      <w:r w:rsidRPr="005F1771">
        <w:rPr>
          <w:b/>
          <w:sz w:val="24"/>
          <w:szCs w:val="24"/>
        </w:rPr>
        <w:t>Newsletter</w:t>
      </w:r>
      <w:proofErr w:type="spellEnd"/>
      <w:r w:rsidRPr="005F1771">
        <w:rPr>
          <w:b/>
          <w:sz w:val="24"/>
          <w:szCs w:val="24"/>
        </w:rPr>
        <w:t xml:space="preserve"> IOP pod lupou</w:t>
      </w:r>
    </w:p>
    <w:p w:rsidR="0076695A" w:rsidRPr="00097E08" w:rsidRDefault="0076695A" w:rsidP="0076695A">
      <w:pPr>
        <w:keepNext/>
        <w:keepLines/>
        <w:jc w:val="both"/>
        <w:rPr>
          <w:sz w:val="22"/>
          <w:szCs w:val="22"/>
        </w:rPr>
      </w:pPr>
      <w:r>
        <w:rPr>
          <w:noProof/>
        </w:rPr>
        <w:drawing>
          <wp:anchor distT="0" distB="0" distL="114300" distR="114300" simplePos="0" relativeHeight="251666432" behindDoc="0" locked="0" layoutInCell="1" allowOverlap="1" wp14:anchorId="290A41B9" wp14:editId="09882D5A">
            <wp:simplePos x="0" y="0"/>
            <wp:positionH relativeFrom="column">
              <wp:posOffset>2540</wp:posOffset>
            </wp:positionH>
            <wp:positionV relativeFrom="paragraph">
              <wp:posOffset>88900</wp:posOffset>
            </wp:positionV>
            <wp:extent cx="1972310" cy="2789555"/>
            <wp:effectExtent l="0" t="0" r="0" b="0"/>
            <wp:wrapSquare wrapText="left"/>
            <wp:docPr id="6" name="Obrázek 6" descr="C:\Users\couvla.DOMNT\AppData\Local\Microsoft\Windows\Temporary Internet Files\Content.Word\IOP_cislo 3_srpen 2014_strana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vla.DOMNT\AppData\Local\Microsoft\Windows\Temporary Internet Files\Content.Word\IOP_cislo 3_srpen 2014_strana 1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2310" cy="2789555"/>
                    </a:xfrm>
                    <a:prstGeom prst="rect">
                      <a:avLst/>
                    </a:prstGeom>
                    <a:noFill/>
                    <a:ln>
                      <a:noFill/>
                    </a:ln>
                  </pic:spPr>
                </pic:pic>
              </a:graphicData>
            </a:graphic>
          </wp:anchor>
        </w:drawing>
      </w:r>
    </w:p>
    <w:p w:rsidR="0076695A" w:rsidRPr="0009644A" w:rsidRDefault="0076695A" w:rsidP="0076695A">
      <w:pPr>
        <w:keepNext/>
        <w:keepLines/>
        <w:jc w:val="both"/>
        <w:rPr>
          <w:b/>
          <w:sz w:val="22"/>
          <w:szCs w:val="22"/>
        </w:rPr>
      </w:pPr>
      <w:r w:rsidRPr="00A60864">
        <w:rPr>
          <w:sz w:val="22"/>
          <w:szCs w:val="22"/>
        </w:rPr>
        <w:t xml:space="preserve">Ve sledovaném období vydal ŘO IOP čtyři čísla čtvrtletníku IOP pod lupou. </w:t>
      </w:r>
      <w:r w:rsidRPr="0009644A">
        <w:rPr>
          <w:sz w:val="22"/>
          <w:szCs w:val="22"/>
        </w:rPr>
        <w:t xml:space="preserve">Čísla byla věnována aktuálnímu dění v IOP, tedy úspěšným projektům a přípravě období 2014-2020. </w:t>
      </w:r>
      <w:proofErr w:type="spellStart"/>
      <w:r w:rsidRPr="0009644A">
        <w:rPr>
          <w:sz w:val="22"/>
          <w:szCs w:val="22"/>
        </w:rPr>
        <w:t>Newsletter</w:t>
      </w:r>
      <w:proofErr w:type="spellEnd"/>
      <w:r w:rsidRPr="0009644A">
        <w:rPr>
          <w:sz w:val="22"/>
          <w:szCs w:val="22"/>
        </w:rPr>
        <w:t xml:space="preserve"> IOP pod lupou vychází v 500 tištěných kusech a je rozesílán na téměř 5 000 emailových adres. Jednotlivá čísla informují </w:t>
      </w:r>
      <w:r w:rsidRPr="0009644A">
        <w:rPr>
          <w:sz w:val="22"/>
          <w:szCs w:val="22"/>
        </w:rPr>
        <w:br/>
        <w:t xml:space="preserve">o aktuálním dění v programu a o realizovaných projektech. </w:t>
      </w:r>
    </w:p>
    <w:p w:rsidR="0076695A" w:rsidRPr="0009644A" w:rsidRDefault="0076695A" w:rsidP="0076695A">
      <w:pPr>
        <w:keepNext/>
        <w:keepLines/>
        <w:jc w:val="both"/>
        <w:rPr>
          <w:sz w:val="22"/>
          <w:szCs w:val="22"/>
        </w:rPr>
      </w:pPr>
    </w:p>
    <w:p w:rsidR="0076695A" w:rsidRPr="0009644A" w:rsidRDefault="0076695A" w:rsidP="0076695A">
      <w:pPr>
        <w:keepNext/>
        <w:keepLines/>
        <w:spacing w:before="120"/>
        <w:jc w:val="both"/>
        <w:rPr>
          <w:sz w:val="22"/>
          <w:szCs w:val="22"/>
        </w:rPr>
      </w:pPr>
    </w:p>
    <w:p w:rsidR="0076695A" w:rsidRPr="00A60864" w:rsidRDefault="0076695A" w:rsidP="0076695A">
      <w:pPr>
        <w:keepNext/>
        <w:keepLines/>
        <w:spacing w:before="120"/>
        <w:jc w:val="both"/>
        <w:rPr>
          <w:b/>
          <w:color w:val="FF0000"/>
          <w:sz w:val="22"/>
          <w:szCs w:val="22"/>
        </w:rPr>
      </w:pPr>
      <w:r w:rsidRPr="0009644A">
        <w:rPr>
          <w:sz w:val="22"/>
          <w:szCs w:val="22"/>
        </w:rPr>
        <w:t>Finanční náklady z TP IOP: 125 872,- Kč</w:t>
      </w:r>
      <w:r w:rsidRPr="00A60864">
        <w:rPr>
          <w:sz w:val="22"/>
          <w:szCs w:val="22"/>
        </w:rPr>
        <w:t xml:space="preserve"> </w:t>
      </w:r>
    </w:p>
    <w:p w:rsidR="0076695A" w:rsidRPr="00E76B3E" w:rsidRDefault="0076695A" w:rsidP="0076695A">
      <w:pPr>
        <w:keepNext/>
        <w:keepLines/>
        <w:rPr>
          <w:color w:val="000000"/>
          <w:sz w:val="22"/>
          <w:szCs w:val="22"/>
        </w:rPr>
      </w:pPr>
      <w:r w:rsidRPr="0009644A">
        <w:rPr>
          <w:sz w:val="22"/>
          <w:szCs w:val="22"/>
        </w:rPr>
        <w:t>Cílová skupina: odborná a široká veřejnost</w:t>
      </w:r>
      <w:r w:rsidRPr="00E76B3E">
        <w:rPr>
          <w:sz w:val="22"/>
          <w:szCs w:val="22"/>
        </w:rPr>
        <w:t xml:space="preserve"> </w:t>
      </w:r>
    </w:p>
    <w:p w:rsidR="0076695A" w:rsidRDefault="0076695A" w:rsidP="0076695A">
      <w:pPr>
        <w:keepNext/>
        <w:keepLines/>
        <w:rPr>
          <w:color w:val="000000"/>
          <w:sz w:val="22"/>
          <w:szCs w:val="22"/>
        </w:rPr>
      </w:pPr>
    </w:p>
    <w:p w:rsidR="0076695A" w:rsidRDefault="0076695A" w:rsidP="0076695A"/>
    <w:p w:rsidR="0076695A" w:rsidRDefault="0076695A" w:rsidP="0076695A"/>
    <w:p w:rsidR="0076695A" w:rsidRDefault="0076695A" w:rsidP="0076695A">
      <w:pPr>
        <w:jc w:val="both"/>
        <w:rPr>
          <w:b/>
          <w:sz w:val="24"/>
          <w:szCs w:val="24"/>
        </w:rPr>
      </w:pPr>
    </w:p>
    <w:p w:rsidR="0076695A" w:rsidRDefault="0076695A" w:rsidP="0076695A">
      <w:pPr>
        <w:jc w:val="both"/>
        <w:rPr>
          <w:b/>
          <w:sz w:val="24"/>
          <w:szCs w:val="24"/>
        </w:rPr>
      </w:pPr>
    </w:p>
    <w:p w:rsidR="0076695A" w:rsidRDefault="0076695A" w:rsidP="0076695A">
      <w:pPr>
        <w:jc w:val="both"/>
        <w:rPr>
          <w:b/>
          <w:sz w:val="24"/>
          <w:szCs w:val="24"/>
        </w:rPr>
      </w:pPr>
    </w:p>
    <w:p w:rsidR="0076695A" w:rsidRDefault="0076695A" w:rsidP="0076695A">
      <w:pPr>
        <w:jc w:val="both"/>
        <w:rPr>
          <w:b/>
          <w:sz w:val="24"/>
          <w:szCs w:val="24"/>
        </w:rPr>
      </w:pPr>
    </w:p>
    <w:p w:rsidR="0076695A" w:rsidRPr="00943828" w:rsidRDefault="0076695A" w:rsidP="0076695A">
      <w:pPr>
        <w:jc w:val="both"/>
        <w:rPr>
          <w:b/>
          <w:sz w:val="24"/>
          <w:szCs w:val="24"/>
        </w:rPr>
      </w:pPr>
      <w:r w:rsidRPr="00943828">
        <w:rPr>
          <w:b/>
          <w:sz w:val="24"/>
          <w:szCs w:val="24"/>
        </w:rPr>
        <w:t>Inzerce v časopise Respekt</w:t>
      </w:r>
    </w:p>
    <w:p w:rsidR="0076695A" w:rsidRPr="00943828" w:rsidRDefault="0076695A" w:rsidP="0076695A">
      <w:pPr>
        <w:jc w:val="both"/>
        <w:rPr>
          <w:sz w:val="22"/>
          <w:szCs w:val="22"/>
        </w:rPr>
      </w:pPr>
      <w:r w:rsidRPr="00943828">
        <w:rPr>
          <w:sz w:val="22"/>
          <w:szCs w:val="22"/>
        </w:rPr>
        <w:t>Zveřejnění prezentace IOP – dotace z oblasti intervence 3.1 na investice podnikatelů, kteří zaměstnávají osoby z vymezených skupin. Inzerce vyšla dne 18. 8. 2014 a 25. 8. 2014 v rozsahu ½  strany.</w:t>
      </w:r>
    </w:p>
    <w:p w:rsidR="0076695A" w:rsidRPr="00943828" w:rsidRDefault="0076695A" w:rsidP="0076695A">
      <w:pPr>
        <w:keepNext/>
        <w:keepLines/>
        <w:spacing w:before="120"/>
        <w:jc w:val="both"/>
        <w:rPr>
          <w:sz w:val="22"/>
          <w:szCs w:val="22"/>
        </w:rPr>
      </w:pPr>
      <w:r w:rsidRPr="00943828">
        <w:rPr>
          <w:sz w:val="22"/>
          <w:szCs w:val="22"/>
        </w:rPr>
        <w:t xml:space="preserve">Finanční náklady z TP IOP: </w:t>
      </w:r>
      <w:r w:rsidR="00D11678" w:rsidRPr="004F6BFA">
        <w:rPr>
          <w:sz w:val="22"/>
          <w:szCs w:val="22"/>
        </w:rPr>
        <w:t>6 549,44,- Kč</w:t>
      </w:r>
      <w:r w:rsidR="00D11678" w:rsidRPr="00943828">
        <w:rPr>
          <w:sz w:val="22"/>
          <w:szCs w:val="22"/>
        </w:rPr>
        <w:t xml:space="preserve"> </w:t>
      </w:r>
    </w:p>
    <w:p w:rsidR="0076695A" w:rsidRDefault="0076695A" w:rsidP="0076695A">
      <w:pPr>
        <w:keepNext/>
        <w:keepLines/>
        <w:jc w:val="both"/>
        <w:rPr>
          <w:sz w:val="22"/>
          <w:szCs w:val="22"/>
        </w:rPr>
      </w:pPr>
      <w:r w:rsidRPr="00943828">
        <w:rPr>
          <w:sz w:val="22"/>
          <w:szCs w:val="22"/>
        </w:rPr>
        <w:t>Cílová skupina: široká veřejnost</w:t>
      </w:r>
    </w:p>
    <w:p w:rsidR="0076695A" w:rsidRDefault="0076695A"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76695A" w:rsidRPr="009026D3" w:rsidRDefault="0076695A" w:rsidP="0076695A">
      <w:pPr>
        <w:pStyle w:val="Nadpis3"/>
      </w:pPr>
      <w:bookmarkStart w:id="272" w:name="_Toc382407724"/>
      <w:bookmarkStart w:id="273" w:name="_Toc383084726"/>
      <w:bookmarkStart w:id="274" w:name="_Toc417024897"/>
      <w:r w:rsidRPr="009026D3">
        <w:lastRenderedPageBreak/>
        <w:t>6.1.2 Konference</w:t>
      </w:r>
      <w:bookmarkEnd w:id="272"/>
      <w:bookmarkEnd w:id="273"/>
      <w:bookmarkEnd w:id="274"/>
    </w:p>
    <w:p w:rsidR="0076695A" w:rsidRDefault="0076695A" w:rsidP="0076695A"/>
    <w:p w:rsidR="0076695A" w:rsidRDefault="0076695A" w:rsidP="0076695A">
      <w:pPr>
        <w:jc w:val="both"/>
        <w:rPr>
          <w:sz w:val="22"/>
          <w:szCs w:val="22"/>
        </w:rPr>
      </w:pPr>
      <w:r w:rsidRPr="0050040A">
        <w:rPr>
          <w:b/>
          <w:bCs/>
          <w:sz w:val="24"/>
          <w:szCs w:val="24"/>
        </w:rPr>
        <w:t>Konference IOP a IROP: Úspěchy a nové cíle</w:t>
      </w:r>
    </w:p>
    <w:p w:rsidR="00FC3458" w:rsidRDefault="00FC3458" w:rsidP="0076695A">
      <w:pPr>
        <w:jc w:val="both"/>
        <w:rPr>
          <w:sz w:val="22"/>
          <w:szCs w:val="22"/>
        </w:rPr>
      </w:pPr>
    </w:p>
    <w:p w:rsidR="0076695A" w:rsidRPr="001B1EB3" w:rsidRDefault="0076695A" w:rsidP="0076695A">
      <w:pPr>
        <w:jc w:val="both"/>
        <w:rPr>
          <w:sz w:val="22"/>
          <w:szCs w:val="22"/>
        </w:rPr>
      </w:pPr>
      <w:r>
        <w:rPr>
          <w:noProof/>
          <w:sz w:val="22"/>
          <w:szCs w:val="22"/>
        </w:rPr>
        <w:drawing>
          <wp:anchor distT="0" distB="0" distL="114300" distR="114300" simplePos="0" relativeHeight="251665408" behindDoc="1" locked="0" layoutInCell="1" allowOverlap="1" wp14:anchorId="484092B0" wp14:editId="70483E3B">
            <wp:simplePos x="0" y="0"/>
            <wp:positionH relativeFrom="column">
              <wp:posOffset>-1905</wp:posOffset>
            </wp:positionH>
            <wp:positionV relativeFrom="paragraph">
              <wp:posOffset>24130</wp:posOffset>
            </wp:positionV>
            <wp:extent cx="2146300" cy="2273935"/>
            <wp:effectExtent l="0" t="0" r="6350" b="0"/>
            <wp:wrapTight wrapText="bothSides">
              <wp:wrapPolygon edited="0">
                <wp:start x="0" y="0"/>
                <wp:lineTo x="0" y="21353"/>
                <wp:lineTo x="21472" y="21353"/>
                <wp:lineTo x="21472" y="0"/>
                <wp:lineTo x="0" y="0"/>
              </wp:wrapPolygon>
            </wp:wrapTight>
            <wp:docPr id="15" name="Obrázek 15" descr="J:\SF\IOP\C7 - Publicita\4. Konference, semináře\2014 Pardubice\foto\IMG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F\IOP\C7 - Publicita\4. Konference, semináře\2014 Pardubice\foto\IMG_11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6300" cy="227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1D9C">
        <w:rPr>
          <w:sz w:val="22"/>
          <w:szCs w:val="22"/>
        </w:rPr>
        <w:t>ŘO IOP ve spolupráci s </w:t>
      </w:r>
      <w:r w:rsidRPr="001B1EB3">
        <w:rPr>
          <w:sz w:val="22"/>
          <w:szCs w:val="22"/>
        </w:rPr>
        <w:t>městem Pardubice zorganizoval</w:t>
      </w:r>
      <w:r>
        <w:rPr>
          <w:sz w:val="22"/>
          <w:szCs w:val="22"/>
        </w:rPr>
        <w:t xml:space="preserve"> v zastupitelském sálu magistrátu téhož města</w:t>
      </w:r>
      <w:r w:rsidRPr="001B1EB3">
        <w:rPr>
          <w:sz w:val="22"/>
          <w:szCs w:val="22"/>
        </w:rPr>
        <w:t xml:space="preserve"> </w:t>
      </w:r>
      <w:r>
        <w:rPr>
          <w:sz w:val="22"/>
          <w:szCs w:val="22"/>
        </w:rPr>
        <w:t xml:space="preserve">úspěšnou </w:t>
      </w:r>
      <w:r w:rsidRPr="001B1EB3">
        <w:rPr>
          <w:sz w:val="22"/>
          <w:szCs w:val="22"/>
        </w:rPr>
        <w:t>„Konferenci IOP a IROP: Úspěchy a nové cíle“</w:t>
      </w:r>
      <w:r>
        <w:rPr>
          <w:sz w:val="22"/>
          <w:szCs w:val="22"/>
        </w:rPr>
        <w:t xml:space="preserve"> dne 24. září 2014.</w:t>
      </w:r>
      <w:r w:rsidRPr="001B1EB3">
        <w:rPr>
          <w:sz w:val="22"/>
          <w:szCs w:val="22"/>
        </w:rPr>
        <w:t xml:space="preserve"> Hlavním tématem bylo </w:t>
      </w:r>
      <w:r w:rsidRPr="00A77887">
        <w:rPr>
          <w:sz w:val="22"/>
          <w:szCs w:val="22"/>
        </w:rPr>
        <w:t xml:space="preserve">zhodnocení zkušeností z </w:t>
      </w:r>
      <w:r>
        <w:rPr>
          <w:sz w:val="22"/>
          <w:szCs w:val="22"/>
        </w:rPr>
        <w:t xml:space="preserve">IOP </w:t>
      </w:r>
      <w:r w:rsidR="00FC3458">
        <w:rPr>
          <w:sz w:val="22"/>
          <w:szCs w:val="22"/>
        </w:rPr>
        <w:br/>
      </w:r>
      <w:r>
        <w:rPr>
          <w:sz w:val="22"/>
          <w:szCs w:val="22"/>
        </w:rPr>
        <w:t xml:space="preserve">a </w:t>
      </w:r>
      <w:r w:rsidRPr="00A77887">
        <w:rPr>
          <w:sz w:val="22"/>
          <w:szCs w:val="22"/>
        </w:rPr>
        <w:t>seznámení s novým programovým obdobím a dotačními možnostmi v</w:t>
      </w:r>
      <w:r>
        <w:rPr>
          <w:sz w:val="22"/>
          <w:szCs w:val="22"/>
        </w:rPr>
        <w:t xml:space="preserve"> Integrovaném regionálním operačním programu (IROP). Také byly </w:t>
      </w:r>
      <w:r w:rsidRPr="00AD1D9C">
        <w:rPr>
          <w:sz w:val="22"/>
          <w:szCs w:val="22"/>
        </w:rPr>
        <w:t xml:space="preserve">představeny některé úspěšné projekty IOP </w:t>
      </w:r>
      <w:r w:rsidRPr="001B1EB3">
        <w:rPr>
          <w:sz w:val="22"/>
          <w:szCs w:val="22"/>
        </w:rPr>
        <w:t xml:space="preserve">a nové specifické cíle IROP. Pozornost byla věnována </w:t>
      </w:r>
      <w:r w:rsidR="00FC3458">
        <w:rPr>
          <w:sz w:val="22"/>
          <w:szCs w:val="22"/>
        </w:rPr>
        <w:br/>
      </w:r>
      <w:r w:rsidRPr="001B1EB3">
        <w:rPr>
          <w:sz w:val="22"/>
          <w:szCs w:val="22"/>
        </w:rPr>
        <w:t>i novinkám</w:t>
      </w:r>
      <w:r>
        <w:rPr>
          <w:sz w:val="22"/>
          <w:szCs w:val="22"/>
        </w:rPr>
        <w:t>,</w:t>
      </w:r>
      <w:r w:rsidRPr="001B1EB3">
        <w:rPr>
          <w:sz w:val="22"/>
          <w:szCs w:val="22"/>
        </w:rPr>
        <w:t xml:space="preserve"> jako jsou Integrované územní investice (ITI).</w:t>
      </w:r>
    </w:p>
    <w:p w:rsidR="0076695A" w:rsidRDefault="0076695A" w:rsidP="0076695A">
      <w:pPr>
        <w:jc w:val="both"/>
        <w:rPr>
          <w:sz w:val="22"/>
          <w:szCs w:val="22"/>
        </w:rPr>
      </w:pPr>
    </w:p>
    <w:p w:rsidR="0076695A" w:rsidRDefault="0076695A" w:rsidP="0076695A">
      <w:pPr>
        <w:jc w:val="both"/>
        <w:rPr>
          <w:sz w:val="22"/>
          <w:szCs w:val="22"/>
        </w:rPr>
      </w:pPr>
    </w:p>
    <w:p w:rsidR="0076695A" w:rsidRPr="00097E08" w:rsidRDefault="0076695A" w:rsidP="0076695A">
      <w:pPr>
        <w:keepNext/>
        <w:keepLines/>
        <w:spacing w:before="120"/>
        <w:jc w:val="both"/>
        <w:rPr>
          <w:sz w:val="22"/>
          <w:szCs w:val="22"/>
        </w:rPr>
      </w:pPr>
      <w:r w:rsidRPr="0009644A">
        <w:rPr>
          <w:sz w:val="22"/>
          <w:szCs w:val="22"/>
        </w:rPr>
        <w:t xml:space="preserve">Finanční náklady z TP IOP: </w:t>
      </w:r>
      <w:r w:rsidRPr="00A60864">
        <w:rPr>
          <w:sz w:val="22"/>
          <w:szCs w:val="22"/>
        </w:rPr>
        <w:t>93 151,90 Kč</w:t>
      </w:r>
      <w:r w:rsidRPr="00A60864">
        <w:rPr>
          <w:sz w:val="22"/>
          <w:szCs w:val="22"/>
          <w:highlight w:val="red"/>
        </w:rPr>
        <w:t xml:space="preserve"> </w:t>
      </w:r>
    </w:p>
    <w:p w:rsidR="0076695A" w:rsidRPr="00097E08" w:rsidRDefault="0076695A" w:rsidP="0076695A">
      <w:pPr>
        <w:keepNext/>
        <w:keepLines/>
        <w:jc w:val="both"/>
        <w:rPr>
          <w:sz w:val="22"/>
          <w:szCs w:val="22"/>
        </w:rPr>
      </w:pPr>
      <w:r w:rsidRPr="00097E08">
        <w:rPr>
          <w:sz w:val="22"/>
          <w:szCs w:val="22"/>
        </w:rPr>
        <w:t>Cílová skupina: široká veřejnost</w:t>
      </w:r>
    </w:p>
    <w:p w:rsidR="0076695A" w:rsidRDefault="0076695A" w:rsidP="0076695A">
      <w:pPr>
        <w:rPr>
          <w:sz w:val="22"/>
          <w:szCs w:val="22"/>
        </w:rPr>
      </w:pPr>
    </w:p>
    <w:p w:rsidR="0076695A" w:rsidRDefault="0076695A" w:rsidP="0076695A">
      <w:pPr>
        <w:jc w:val="both"/>
        <w:rPr>
          <w:b/>
          <w:sz w:val="24"/>
          <w:szCs w:val="24"/>
        </w:rPr>
      </w:pPr>
    </w:p>
    <w:p w:rsidR="0076695A" w:rsidRDefault="0076695A" w:rsidP="0076695A">
      <w:pPr>
        <w:pStyle w:val="Nadpis3"/>
      </w:pPr>
      <w:bookmarkStart w:id="275" w:name="_Toc382407725"/>
      <w:bookmarkStart w:id="276" w:name="_Toc383084727"/>
      <w:bookmarkStart w:id="277" w:name="_Toc417024898"/>
      <w:r w:rsidRPr="009026D3">
        <w:t>6.1.3 Soutěže, hry a další akce pro veřejnost</w:t>
      </w:r>
      <w:bookmarkEnd w:id="275"/>
      <w:bookmarkEnd w:id="276"/>
      <w:bookmarkEnd w:id="277"/>
    </w:p>
    <w:p w:rsidR="0076695A" w:rsidRPr="00DF4078" w:rsidRDefault="0076695A" w:rsidP="0076695A"/>
    <w:p w:rsidR="0076695A" w:rsidRPr="0072505A" w:rsidRDefault="0076695A" w:rsidP="0076695A">
      <w:pPr>
        <w:jc w:val="both"/>
        <w:rPr>
          <w:b/>
          <w:sz w:val="24"/>
          <w:szCs w:val="24"/>
        </w:rPr>
      </w:pPr>
      <w:r w:rsidRPr="005F1771">
        <w:rPr>
          <w:b/>
          <w:sz w:val="24"/>
          <w:szCs w:val="24"/>
        </w:rPr>
        <w:t>Dejte hlas českým památkám“ -  soutěž Integrovaného operačního programu.</w:t>
      </w:r>
    </w:p>
    <w:p w:rsidR="0076695A" w:rsidRDefault="0076695A" w:rsidP="0076695A">
      <w:pPr>
        <w:jc w:val="both"/>
        <w:rPr>
          <w:b/>
          <w:sz w:val="22"/>
          <w:szCs w:val="22"/>
        </w:rPr>
      </w:pPr>
      <w:r>
        <w:rPr>
          <w:b/>
          <w:noProof/>
          <w:sz w:val="22"/>
          <w:szCs w:val="22"/>
        </w:rPr>
        <w:drawing>
          <wp:inline distT="0" distB="0" distL="0" distR="0" wp14:anchorId="1E88448A" wp14:editId="6CBA1335">
            <wp:extent cx="3286664" cy="2158243"/>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omysl web.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86979" cy="2158450"/>
                    </a:xfrm>
                    <a:prstGeom prst="rect">
                      <a:avLst/>
                    </a:prstGeom>
                  </pic:spPr>
                </pic:pic>
              </a:graphicData>
            </a:graphic>
          </wp:inline>
        </w:drawing>
      </w:r>
    </w:p>
    <w:p w:rsidR="0076695A" w:rsidRDefault="0076695A" w:rsidP="0076695A">
      <w:pPr>
        <w:jc w:val="both"/>
        <w:rPr>
          <w:b/>
          <w:sz w:val="22"/>
          <w:szCs w:val="22"/>
        </w:rPr>
      </w:pPr>
    </w:p>
    <w:p w:rsidR="0076695A" w:rsidRDefault="0076695A" w:rsidP="0076695A">
      <w:pPr>
        <w:jc w:val="both"/>
        <w:rPr>
          <w:bCs/>
          <w:sz w:val="22"/>
          <w:szCs w:val="22"/>
        </w:rPr>
      </w:pPr>
      <w:r w:rsidRPr="00097E08">
        <w:rPr>
          <w:bCs/>
          <w:sz w:val="22"/>
          <w:szCs w:val="22"/>
        </w:rPr>
        <w:t xml:space="preserve">Pro turisty a zájemce o české a moravské kulturní dědictví připravil </w:t>
      </w:r>
      <w:r>
        <w:rPr>
          <w:bCs/>
          <w:sz w:val="22"/>
          <w:szCs w:val="22"/>
        </w:rPr>
        <w:t xml:space="preserve">ŘO </w:t>
      </w:r>
      <w:r w:rsidRPr="00097E08">
        <w:rPr>
          <w:bCs/>
          <w:sz w:val="22"/>
          <w:szCs w:val="22"/>
        </w:rPr>
        <w:t xml:space="preserve">IOP čtyřměsíční soutěž Dejte hlas českým památkám. </w:t>
      </w:r>
      <w:r>
        <w:rPr>
          <w:bCs/>
          <w:sz w:val="22"/>
          <w:szCs w:val="22"/>
        </w:rPr>
        <w:t xml:space="preserve">K soutěži proběhla i reklamní kampaň na webovém portálu </w:t>
      </w:r>
      <w:proofErr w:type="spellStart"/>
      <w:r>
        <w:rPr>
          <w:bCs/>
          <w:sz w:val="22"/>
          <w:szCs w:val="22"/>
        </w:rPr>
        <w:t>i</w:t>
      </w:r>
      <w:r w:rsidR="007D279A">
        <w:rPr>
          <w:bCs/>
          <w:sz w:val="22"/>
          <w:szCs w:val="22"/>
        </w:rPr>
        <w:t>DNES</w:t>
      </w:r>
      <w:proofErr w:type="spellEnd"/>
      <w:r>
        <w:rPr>
          <w:bCs/>
          <w:sz w:val="22"/>
          <w:szCs w:val="22"/>
        </w:rPr>
        <w:t xml:space="preserve">. </w:t>
      </w:r>
      <w:r w:rsidRPr="00097E08">
        <w:rPr>
          <w:bCs/>
          <w:sz w:val="22"/>
          <w:szCs w:val="22"/>
        </w:rPr>
        <w:t>Vybraných šestnáct objektů, zrekonstruov</w:t>
      </w:r>
      <w:r>
        <w:rPr>
          <w:bCs/>
          <w:sz w:val="22"/>
          <w:szCs w:val="22"/>
        </w:rPr>
        <w:t>a</w:t>
      </w:r>
      <w:r w:rsidRPr="00097E08">
        <w:rPr>
          <w:bCs/>
          <w:sz w:val="22"/>
          <w:szCs w:val="22"/>
        </w:rPr>
        <w:t>n</w:t>
      </w:r>
      <w:r>
        <w:rPr>
          <w:bCs/>
          <w:sz w:val="22"/>
          <w:szCs w:val="22"/>
        </w:rPr>
        <w:t>ých</w:t>
      </w:r>
      <w:r w:rsidRPr="00097E08">
        <w:rPr>
          <w:bCs/>
          <w:sz w:val="22"/>
          <w:szCs w:val="22"/>
        </w:rPr>
        <w:t xml:space="preserve"> díky dotacím </w:t>
      </w:r>
      <w:r>
        <w:rPr>
          <w:bCs/>
          <w:sz w:val="22"/>
          <w:szCs w:val="22"/>
        </w:rPr>
        <w:t xml:space="preserve">z </w:t>
      </w:r>
      <w:r w:rsidRPr="00097E08">
        <w:rPr>
          <w:bCs/>
          <w:sz w:val="22"/>
          <w:szCs w:val="22"/>
        </w:rPr>
        <w:t xml:space="preserve">IOP, soutěžilo o hlasy milovníků památek. Největší počet získal projekt Zpřístupnění a nové využití Národní kulturní památky Vítkovice, druhá příčka patří projektu Centrum sklářského umění Huť František v Sázavě </w:t>
      </w:r>
      <w:r>
        <w:rPr>
          <w:bCs/>
          <w:sz w:val="22"/>
          <w:szCs w:val="22"/>
        </w:rPr>
        <w:br/>
      </w:r>
      <w:r w:rsidRPr="00097E08">
        <w:rPr>
          <w:bCs/>
          <w:sz w:val="22"/>
          <w:szCs w:val="22"/>
        </w:rPr>
        <w:t>a třetí skončilo Národní centrum fotografie a dílna tapisérií v Jindřichově Hradci.</w:t>
      </w:r>
    </w:p>
    <w:p w:rsidR="0076695A" w:rsidRDefault="0076695A" w:rsidP="0076695A">
      <w:pPr>
        <w:jc w:val="both"/>
        <w:rPr>
          <w:bCs/>
          <w:sz w:val="22"/>
          <w:szCs w:val="22"/>
        </w:rPr>
      </w:pPr>
    </w:p>
    <w:p w:rsidR="0076695A" w:rsidRDefault="0076695A" w:rsidP="0076695A">
      <w:pPr>
        <w:jc w:val="both"/>
        <w:rPr>
          <w:color w:val="000000"/>
          <w:sz w:val="22"/>
          <w:szCs w:val="22"/>
        </w:rPr>
      </w:pPr>
      <w:r>
        <w:rPr>
          <w:sz w:val="22"/>
          <w:szCs w:val="22"/>
        </w:rPr>
        <w:t xml:space="preserve">Finanční náklady z TP </w:t>
      </w:r>
      <w:r w:rsidRPr="00E76B3E">
        <w:rPr>
          <w:sz w:val="22"/>
          <w:szCs w:val="22"/>
        </w:rPr>
        <w:t xml:space="preserve">IOP: </w:t>
      </w:r>
      <w:r w:rsidRPr="00FB06A1">
        <w:rPr>
          <w:sz w:val="22"/>
          <w:szCs w:val="22"/>
        </w:rPr>
        <w:t>262 225,- Kč</w:t>
      </w:r>
      <w:r w:rsidRPr="0009644A">
        <w:rPr>
          <w:sz w:val="22"/>
          <w:szCs w:val="22"/>
        </w:rPr>
        <w:t>,- Kč</w:t>
      </w:r>
    </w:p>
    <w:p w:rsidR="0076695A" w:rsidRDefault="0076695A" w:rsidP="0076695A">
      <w:pPr>
        <w:jc w:val="both"/>
        <w:rPr>
          <w:b/>
          <w:sz w:val="24"/>
          <w:szCs w:val="24"/>
        </w:rPr>
      </w:pPr>
      <w:r>
        <w:rPr>
          <w:color w:val="000000"/>
          <w:sz w:val="22"/>
          <w:szCs w:val="22"/>
        </w:rPr>
        <w:t>Cílová skupina: široká veřejnost</w:t>
      </w:r>
    </w:p>
    <w:p w:rsidR="0076695A" w:rsidRDefault="0076695A"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8667D6" w:rsidRDefault="008667D6" w:rsidP="0076695A">
      <w:pPr>
        <w:jc w:val="both"/>
        <w:rPr>
          <w:b/>
          <w:sz w:val="22"/>
          <w:szCs w:val="22"/>
        </w:rPr>
      </w:pPr>
    </w:p>
    <w:p w:rsidR="0076695A" w:rsidRPr="005F1771" w:rsidRDefault="0076695A" w:rsidP="0076695A">
      <w:pPr>
        <w:jc w:val="both"/>
        <w:rPr>
          <w:b/>
          <w:bCs/>
          <w:sz w:val="24"/>
          <w:szCs w:val="24"/>
        </w:rPr>
      </w:pPr>
      <w:r w:rsidRPr="005F1771">
        <w:rPr>
          <w:b/>
          <w:bCs/>
          <w:sz w:val="24"/>
          <w:szCs w:val="24"/>
        </w:rPr>
        <w:lastRenderedPageBreak/>
        <w:t xml:space="preserve">2. ročník </w:t>
      </w:r>
      <w:proofErr w:type="spellStart"/>
      <w:r w:rsidRPr="005F1771">
        <w:rPr>
          <w:b/>
          <w:bCs/>
          <w:sz w:val="24"/>
          <w:szCs w:val="24"/>
        </w:rPr>
        <w:t>videosoutěže</w:t>
      </w:r>
      <w:proofErr w:type="spellEnd"/>
      <w:r w:rsidRPr="005F1771">
        <w:rPr>
          <w:b/>
          <w:bCs/>
          <w:sz w:val="24"/>
          <w:szCs w:val="24"/>
        </w:rPr>
        <w:t xml:space="preserve"> Natoč chytrý úřad a vyhraj</w:t>
      </w:r>
    </w:p>
    <w:p w:rsidR="0076695A" w:rsidRDefault="0076695A" w:rsidP="0076695A">
      <w:pPr>
        <w:jc w:val="both"/>
        <w:rPr>
          <w:b/>
          <w:bCs/>
          <w:sz w:val="22"/>
          <w:szCs w:val="22"/>
        </w:rPr>
      </w:pPr>
    </w:p>
    <w:p w:rsidR="0076695A" w:rsidRDefault="0076695A" w:rsidP="0076695A">
      <w:pPr>
        <w:jc w:val="both"/>
        <w:rPr>
          <w:b/>
          <w:bCs/>
          <w:sz w:val="22"/>
          <w:szCs w:val="22"/>
        </w:rPr>
      </w:pPr>
      <w:r>
        <w:rPr>
          <w:noProof/>
        </w:rPr>
        <w:drawing>
          <wp:inline distT="0" distB="0" distL="0" distR="0" wp14:anchorId="397FD77C" wp14:editId="787A73DB">
            <wp:extent cx="2182495" cy="534670"/>
            <wp:effectExtent l="0" t="0" r="8255" b="0"/>
            <wp:docPr id="22" name="Obrázek 22" descr="C:\Users\couvla.DOMNT\AppData\Local\Microsoft\Windows\Temporary Internet Files\Content.Word\bannerSF172x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vla.DOMNT\AppData\Local\Microsoft\Windows\Temporary Internet Files\Content.Word\bannerSF172x4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2495" cy="534670"/>
                    </a:xfrm>
                    <a:prstGeom prst="rect">
                      <a:avLst/>
                    </a:prstGeom>
                    <a:noFill/>
                    <a:ln>
                      <a:noFill/>
                    </a:ln>
                  </pic:spPr>
                </pic:pic>
              </a:graphicData>
            </a:graphic>
          </wp:inline>
        </w:drawing>
      </w:r>
    </w:p>
    <w:p w:rsidR="0076695A" w:rsidRPr="001770AD" w:rsidRDefault="0076695A" w:rsidP="0076695A">
      <w:pPr>
        <w:jc w:val="both"/>
        <w:rPr>
          <w:b/>
          <w:bCs/>
          <w:sz w:val="22"/>
          <w:szCs w:val="22"/>
        </w:rPr>
      </w:pPr>
    </w:p>
    <w:p w:rsidR="0076695A" w:rsidRDefault="0076695A" w:rsidP="0076695A">
      <w:pPr>
        <w:jc w:val="both"/>
        <w:rPr>
          <w:sz w:val="22"/>
          <w:szCs w:val="22"/>
        </w:rPr>
      </w:pPr>
      <w:r w:rsidRPr="001770AD">
        <w:rPr>
          <w:sz w:val="22"/>
          <w:szCs w:val="22"/>
        </w:rPr>
        <w:t xml:space="preserve">Druhý ročník </w:t>
      </w:r>
      <w:proofErr w:type="spellStart"/>
      <w:r w:rsidRPr="001770AD">
        <w:rPr>
          <w:sz w:val="22"/>
          <w:szCs w:val="22"/>
        </w:rPr>
        <w:t>videosoutěže</w:t>
      </w:r>
      <w:proofErr w:type="spellEnd"/>
      <w:r w:rsidRPr="001770AD">
        <w:rPr>
          <w:sz w:val="22"/>
          <w:szCs w:val="22"/>
        </w:rPr>
        <w:t xml:space="preserve"> „Natoč „chytrý“ úřad a vyhraj!“ o chytré hodi</w:t>
      </w:r>
      <w:r>
        <w:rPr>
          <w:sz w:val="22"/>
          <w:szCs w:val="22"/>
        </w:rPr>
        <w:t xml:space="preserve">nky Samsung </w:t>
      </w:r>
      <w:proofErr w:type="spellStart"/>
      <w:r>
        <w:rPr>
          <w:sz w:val="22"/>
          <w:szCs w:val="22"/>
        </w:rPr>
        <w:t>Gear</w:t>
      </w:r>
      <w:proofErr w:type="spellEnd"/>
      <w:r>
        <w:rPr>
          <w:sz w:val="22"/>
          <w:szCs w:val="22"/>
        </w:rPr>
        <w:t xml:space="preserve"> 2 </w:t>
      </w:r>
      <w:proofErr w:type="spellStart"/>
      <w:r>
        <w:rPr>
          <w:sz w:val="22"/>
          <w:szCs w:val="22"/>
        </w:rPr>
        <w:t>Neo</w:t>
      </w:r>
      <w:proofErr w:type="spellEnd"/>
      <w:r>
        <w:rPr>
          <w:sz w:val="22"/>
          <w:szCs w:val="22"/>
        </w:rPr>
        <w:t xml:space="preserve"> nebo Fit b</w:t>
      </w:r>
      <w:r w:rsidRPr="001770AD">
        <w:rPr>
          <w:sz w:val="22"/>
          <w:szCs w:val="22"/>
        </w:rPr>
        <w:t xml:space="preserve">yl zahájen 15. </w:t>
      </w:r>
      <w:r>
        <w:rPr>
          <w:sz w:val="22"/>
          <w:szCs w:val="22"/>
        </w:rPr>
        <w:t>9 2014</w:t>
      </w:r>
      <w:r w:rsidRPr="001770AD">
        <w:rPr>
          <w:sz w:val="22"/>
          <w:szCs w:val="22"/>
        </w:rPr>
        <w:t xml:space="preserve"> a </w:t>
      </w:r>
      <w:r w:rsidRPr="00876074">
        <w:rPr>
          <w:sz w:val="22"/>
          <w:szCs w:val="22"/>
        </w:rPr>
        <w:t xml:space="preserve">soutěž </w:t>
      </w:r>
      <w:r>
        <w:rPr>
          <w:sz w:val="22"/>
          <w:szCs w:val="22"/>
        </w:rPr>
        <w:t>probíhala</w:t>
      </w:r>
      <w:r w:rsidRPr="00876074">
        <w:rPr>
          <w:sz w:val="22"/>
          <w:szCs w:val="22"/>
        </w:rPr>
        <w:t xml:space="preserve"> až do 14. </w:t>
      </w:r>
      <w:r>
        <w:rPr>
          <w:sz w:val="22"/>
          <w:szCs w:val="22"/>
        </w:rPr>
        <w:t>12. 2014</w:t>
      </w:r>
      <w:r w:rsidRPr="00876074">
        <w:rPr>
          <w:sz w:val="22"/>
          <w:szCs w:val="22"/>
        </w:rPr>
        <w:t xml:space="preserve">. Soutěžit o nejzajímavější </w:t>
      </w:r>
      <w:proofErr w:type="spellStart"/>
      <w:r w:rsidRPr="00876074">
        <w:rPr>
          <w:sz w:val="22"/>
          <w:szCs w:val="22"/>
        </w:rPr>
        <w:t>videospot</w:t>
      </w:r>
      <w:proofErr w:type="spellEnd"/>
      <w:r w:rsidRPr="00876074">
        <w:rPr>
          <w:sz w:val="22"/>
          <w:szCs w:val="22"/>
        </w:rPr>
        <w:t xml:space="preserve"> </w:t>
      </w:r>
      <w:r>
        <w:rPr>
          <w:sz w:val="22"/>
          <w:szCs w:val="22"/>
        </w:rPr>
        <w:t>mohla</w:t>
      </w:r>
      <w:r w:rsidRPr="00876074">
        <w:rPr>
          <w:sz w:val="22"/>
          <w:szCs w:val="22"/>
        </w:rPr>
        <w:t xml:space="preserve"> veřejnost na téma: Jak vy sami vidíte modernizaci úřadů v Česku, co vám nejvíce ulehčuje komunikaci s úřady a jak? </w:t>
      </w:r>
    </w:p>
    <w:p w:rsidR="0076695A" w:rsidRDefault="0076695A" w:rsidP="0076695A">
      <w:pPr>
        <w:jc w:val="both"/>
        <w:rPr>
          <w:sz w:val="22"/>
          <w:szCs w:val="22"/>
        </w:rPr>
      </w:pPr>
    </w:p>
    <w:p w:rsidR="0076695A" w:rsidRPr="00876074" w:rsidRDefault="0076695A" w:rsidP="0076695A">
      <w:pPr>
        <w:jc w:val="both"/>
        <w:rPr>
          <w:sz w:val="22"/>
          <w:szCs w:val="22"/>
        </w:rPr>
      </w:pPr>
      <w:r w:rsidRPr="00876074">
        <w:rPr>
          <w:sz w:val="22"/>
          <w:szCs w:val="22"/>
        </w:rPr>
        <w:t xml:space="preserve">Poraďte nám nebo navrhněte, jakým způsobem zlepšit fungování „chytrého“ úřadu v příštím období. Druhá kategorie </w:t>
      </w:r>
      <w:r>
        <w:rPr>
          <w:sz w:val="22"/>
          <w:szCs w:val="22"/>
        </w:rPr>
        <w:t>byla</w:t>
      </w:r>
      <w:r w:rsidRPr="00876074">
        <w:rPr>
          <w:sz w:val="22"/>
          <w:szCs w:val="22"/>
        </w:rPr>
        <w:t xml:space="preserve"> určená realizátorům projektů, kteří nato</w:t>
      </w:r>
      <w:r>
        <w:rPr>
          <w:sz w:val="22"/>
          <w:szCs w:val="22"/>
        </w:rPr>
        <w:t>čili</w:t>
      </w:r>
      <w:r w:rsidRPr="00876074">
        <w:rPr>
          <w:sz w:val="22"/>
          <w:szCs w:val="22"/>
        </w:rPr>
        <w:t xml:space="preserve"> </w:t>
      </w:r>
      <w:proofErr w:type="spellStart"/>
      <w:r w:rsidRPr="00876074">
        <w:rPr>
          <w:sz w:val="22"/>
          <w:szCs w:val="22"/>
        </w:rPr>
        <w:t>videospot</w:t>
      </w:r>
      <w:proofErr w:type="spellEnd"/>
      <w:r w:rsidRPr="00876074">
        <w:rPr>
          <w:sz w:val="22"/>
          <w:szCs w:val="22"/>
        </w:rPr>
        <w:t xml:space="preserve"> o svém projektu, na který získali podporu z Integrovaného operačního programu (</w:t>
      </w:r>
      <w:r>
        <w:rPr>
          <w:sz w:val="22"/>
          <w:szCs w:val="22"/>
        </w:rPr>
        <w:t>oblasti intervence</w:t>
      </w:r>
      <w:r w:rsidRPr="00876074">
        <w:rPr>
          <w:sz w:val="22"/>
          <w:szCs w:val="22"/>
        </w:rPr>
        <w:t xml:space="preserve"> 1.1) nebo Operačního programu Lidské zdroje a zaměstnanost (o. p. 4.1), a představ</w:t>
      </w:r>
      <w:r>
        <w:rPr>
          <w:sz w:val="22"/>
          <w:szCs w:val="22"/>
        </w:rPr>
        <w:t xml:space="preserve">ili </w:t>
      </w:r>
      <w:r w:rsidRPr="00876074">
        <w:rPr>
          <w:sz w:val="22"/>
          <w:szCs w:val="22"/>
        </w:rPr>
        <w:t>ho veřejnosti.</w:t>
      </w:r>
    </w:p>
    <w:p w:rsidR="0076695A" w:rsidRPr="00097E08" w:rsidRDefault="0076695A" w:rsidP="0076695A">
      <w:pPr>
        <w:keepNext/>
        <w:keepLines/>
        <w:spacing w:before="120"/>
        <w:jc w:val="both"/>
        <w:rPr>
          <w:sz w:val="22"/>
          <w:szCs w:val="22"/>
        </w:rPr>
      </w:pPr>
      <w:r w:rsidRPr="00097E08">
        <w:rPr>
          <w:sz w:val="22"/>
          <w:szCs w:val="22"/>
        </w:rPr>
        <w:t xml:space="preserve">Finanční náklady z TP IOP: </w:t>
      </w:r>
      <w:r>
        <w:rPr>
          <w:sz w:val="22"/>
          <w:szCs w:val="22"/>
        </w:rPr>
        <w:t>13 840,-</w:t>
      </w:r>
      <w:r w:rsidRPr="00E32283">
        <w:rPr>
          <w:sz w:val="22"/>
          <w:szCs w:val="22"/>
        </w:rPr>
        <w:t xml:space="preserve"> Kč</w:t>
      </w:r>
    </w:p>
    <w:p w:rsidR="0076695A" w:rsidRPr="00097E08" w:rsidRDefault="0076695A" w:rsidP="0076695A">
      <w:pPr>
        <w:keepNext/>
        <w:keepLines/>
        <w:jc w:val="both"/>
        <w:rPr>
          <w:sz w:val="22"/>
          <w:szCs w:val="22"/>
        </w:rPr>
      </w:pPr>
      <w:r w:rsidRPr="00097E08">
        <w:rPr>
          <w:sz w:val="22"/>
          <w:szCs w:val="22"/>
        </w:rPr>
        <w:t>Cílová skupina: široká veřejnost</w:t>
      </w:r>
    </w:p>
    <w:p w:rsidR="0076695A" w:rsidRPr="000A126A" w:rsidRDefault="0076695A" w:rsidP="0076695A">
      <w:pPr>
        <w:spacing w:before="7" w:line="180" w:lineRule="exact"/>
        <w:rPr>
          <w:rFonts w:ascii="Arial" w:hAnsi="Arial" w:cs="Arial"/>
          <w:sz w:val="18"/>
          <w:szCs w:val="18"/>
        </w:rPr>
      </w:pPr>
    </w:p>
    <w:p w:rsidR="0076695A" w:rsidRPr="009026D3" w:rsidRDefault="0076695A" w:rsidP="0076695A">
      <w:pPr>
        <w:pStyle w:val="Nadpis3"/>
      </w:pPr>
      <w:bookmarkStart w:id="278" w:name="_Toc382407726"/>
      <w:bookmarkStart w:id="279" w:name="_Toc383084728"/>
      <w:bookmarkStart w:id="280" w:name="_Toc417024899"/>
      <w:r w:rsidRPr="009026D3">
        <w:t>6.1.4 Fotodokumentace</w:t>
      </w:r>
      <w:bookmarkEnd w:id="278"/>
      <w:bookmarkEnd w:id="279"/>
      <w:bookmarkEnd w:id="280"/>
    </w:p>
    <w:p w:rsidR="0076695A" w:rsidRDefault="0076695A" w:rsidP="0076695A">
      <w:pPr>
        <w:jc w:val="both"/>
        <w:rPr>
          <w:sz w:val="22"/>
          <w:szCs w:val="22"/>
        </w:rPr>
      </w:pPr>
      <w:r>
        <w:rPr>
          <w:sz w:val="22"/>
          <w:szCs w:val="22"/>
        </w:rPr>
        <w:t>V průběhu roku 2014 pokračuje ŘO i některé ZS ve fotodokumentaci úspěšných projektů IOP. J</w:t>
      </w:r>
      <w:r w:rsidRPr="00552974">
        <w:rPr>
          <w:sz w:val="22"/>
          <w:szCs w:val="22"/>
        </w:rPr>
        <w:t>e to jeden z vhodných způsobů</w:t>
      </w:r>
      <w:r>
        <w:rPr>
          <w:sz w:val="22"/>
          <w:szCs w:val="22"/>
        </w:rPr>
        <w:t>,</w:t>
      </w:r>
      <w:r w:rsidRPr="00552974">
        <w:rPr>
          <w:sz w:val="22"/>
          <w:szCs w:val="22"/>
        </w:rPr>
        <w:t xml:space="preserve"> jak jednoduše představit dopad finanční podpory z</w:t>
      </w:r>
      <w:r>
        <w:rPr>
          <w:sz w:val="22"/>
          <w:szCs w:val="22"/>
        </w:rPr>
        <w:t> </w:t>
      </w:r>
      <w:r w:rsidRPr="00552974">
        <w:rPr>
          <w:sz w:val="22"/>
          <w:szCs w:val="22"/>
        </w:rPr>
        <w:t>IOP</w:t>
      </w:r>
      <w:r>
        <w:rPr>
          <w:sz w:val="22"/>
          <w:szCs w:val="22"/>
        </w:rPr>
        <w:t>.</w:t>
      </w:r>
      <w:r w:rsidRPr="00552974">
        <w:rPr>
          <w:sz w:val="22"/>
          <w:szCs w:val="22"/>
        </w:rPr>
        <w:t xml:space="preserve"> </w:t>
      </w:r>
      <w:r>
        <w:rPr>
          <w:sz w:val="22"/>
          <w:szCs w:val="22"/>
        </w:rPr>
        <w:t>F</w:t>
      </w:r>
      <w:r w:rsidRPr="00552974">
        <w:rPr>
          <w:sz w:val="22"/>
          <w:szCs w:val="22"/>
        </w:rPr>
        <w:t>otografie jsou široce využitelné na propagačních předmětech, webových stránkách</w:t>
      </w:r>
      <w:r>
        <w:rPr>
          <w:sz w:val="22"/>
          <w:szCs w:val="22"/>
        </w:rPr>
        <w:t>, výstavách</w:t>
      </w:r>
      <w:r w:rsidRPr="00552974">
        <w:rPr>
          <w:sz w:val="22"/>
          <w:szCs w:val="22"/>
        </w:rPr>
        <w:t xml:space="preserve"> či v publikacích.</w:t>
      </w:r>
    </w:p>
    <w:p w:rsidR="0076695A" w:rsidRDefault="0076695A" w:rsidP="0076695A">
      <w:pPr>
        <w:jc w:val="both"/>
        <w:rPr>
          <w:sz w:val="22"/>
          <w:szCs w:val="22"/>
        </w:rPr>
      </w:pPr>
    </w:p>
    <w:p w:rsidR="0076695A" w:rsidRDefault="0076695A" w:rsidP="0076695A">
      <w:pPr>
        <w:jc w:val="both"/>
        <w:rPr>
          <w:sz w:val="22"/>
          <w:szCs w:val="22"/>
        </w:rPr>
      </w:pPr>
    </w:p>
    <w:p w:rsidR="0076695A" w:rsidRDefault="0076695A" w:rsidP="0076695A">
      <w:pPr>
        <w:pStyle w:val="Nadpis1"/>
        <w:spacing w:before="0" w:after="0"/>
        <w:rPr>
          <w:rFonts w:ascii="Times New Roman" w:hAnsi="Times New Roman"/>
        </w:rPr>
      </w:pPr>
      <w:bookmarkStart w:id="281" w:name="_Toc417024900"/>
      <w:r w:rsidRPr="009026D3">
        <w:rPr>
          <w:rFonts w:ascii="Times New Roman" w:hAnsi="Times New Roman"/>
          <w:color w:val="76923C"/>
        </w:rPr>
        <w:t>6.2 Cílové skupiny</w:t>
      </w:r>
      <w:bookmarkEnd w:id="281"/>
    </w:p>
    <w:p w:rsidR="0076695A" w:rsidRPr="00693D65" w:rsidRDefault="0076695A" w:rsidP="0076695A"/>
    <w:p w:rsidR="0076695A" w:rsidRPr="00F10027" w:rsidRDefault="0076695A" w:rsidP="0076695A">
      <w:pPr>
        <w:jc w:val="both"/>
        <w:rPr>
          <w:sz w:val="22"/>
          <w:szCs w:val="22"/>
        </w:rPr>
      </w:pPr>
      <w:r w:rsidRPr="00F10027">
        <w:rPr>
          <w:sz w:val="22"/>
          <w:szCs w:val="22"/>
        </w:rPr>
        <w:t>Primár</w:t>
      </w:r>
      <w:r>
        <w:rPr>
          <w:sz w:val="22"/>
          <w:szCs w:val="22"/>
        </w:rPr>
        <w:t>ní cílovou skupinou pro rok 2014</w:t>
      </w:r>
      <w:r w:rsidRPr="00F10027">
        <w:rPr>
          <w:sz w:val="22"/>
          <w:szCs w:val="22"/>
        </w:rPr>
        <w:t xml:space="preserve"> zůstali příjemci a žadatelé z důvodu nerovnoměrného čerpání Integrovaného operačního programu</w:t>
      </w:r>
      <w:r>
        <w:rPr>
          <w:sz w:val="22"/>
          <w:szCs w:val="22"/>
        </w:rPr>
        <w:t>.</w:t>
      </w:r>
      <w:r w:rsidRPr="00F10027">
        <w:rPr>
          <w:sz w:val="22"/>
          <w:szCs w:val="22"/>
        </w:rPr>
        <w:t xml:space="preserve"> </w:t>
      </w:r>
      <w:r>
        <w:rPr>
          <w:sz w:val="22"/>
          <w:szCs w:val="22"/>
        </w:rPr>
        <w:t>H</w:t>
      </w:r>
      <w:r w:rsidRPr="00F10027">
        <w:rPr>
          <w:sz w:val="22"/>
          <w:szCs w:val="22"/>
        </w:rPr>
        <w:t xml:space="preserve">lavním cílem Řídicího orgánu </w:t>
      </w:r>
      <w:r>
        <w:rPr>
          <w:sz w:val="22"/>
          <w:szCs w:val="22"/>
        </w:rPr>
        <w:t xml:space="preserve">bylo </w:t>
      </w:r>
      <w:r w:rsidRPr="00F10027">
        <w:rPr>
          <w:sz w:val="22"/>
          <w:szCs w:val="22"/>
        </w:rPr>
        <w:t>zajistit efektivní absorpční kapacitu a úspěšné čerpání přidělené alokace. Stále větší pozornost se zaměřovala i na širokou veřejnost vzhledem k blížícímu se konci programov</w:t>
      </w:r>
      <w:r>
        <w:rPr>
          <w:sz w:val="22"/>
          <w:szCs w:val="22"/>
        </w:rPr>
        <w:t>ací</w:t>
      </w:r>
      <w:r w:rsidRPr="00F10027">
        <w:rPr>
          <w:sz w:val="22"/>
          <w:szCs w:val="22"/>
        </w:rPr>
        <w:t xml:space="preserve">ho období a k potřebě informovat o výsledcích a projektech IOP široké spektrum zájemců. Toto zaměření vycházelo mimo jiné z doporučení evaluační studie komunikačních a propagačních aktivit IOP 2008–2010 a z priorit Evropské komise. </w:t>
      </w:r>
    </w:p>
    <w:p w:rsidR="0076695A" w:rsidRDefault="0076695A" w:rsidP="0076695A">
      <w:pPr>
        <w:jc w:val="both"/>
        <w:rPr>
          <w:sz w:val="22"/>
          <w:szCs w:val="22"/>
        </w:rPr>
      </w:pPr>
    </w:p>
    <w:tbl>
      <w:tblPr>
        <w:tblW w:w="9072"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9072"/>
      </w:tblGrid>
      <w:tr w:rsidR="0076695A" w:rsidRPr="008667D6" w:rsidTr="00FD3660">
        <w:trPr>
          <w:trHeight w:val="255"/>
        </w:trPr>
        <w:tc>
          <w:tcPr>
            <w:tcW w:w="9072" w:type="dxa"/>
            <w:tcBorders>
              <w:top w:val="single" w:sz="8" w:space="0" w:color="FFFFFF"/>
              <w:left w:val="single" w:sz="8" w:space="0" w:color="FFFFFF"/>
              <w:bottom w:val="single" w:sz="6" w:space="0" w:color="FFFFFF"/>
              <w:right w:val="single" w:sz="8" w:space="0" w:color="FFFFFF"/>
            </w:tcBorders>
            <w:shd w:val="clear" w:color="auto" w:fill="ECF6F9"/>
            <w:vAlign w:val="center"/>
          </w:tcPr>
          <w:p w:rsidR="0076695A" w:rsidRPr="008667D6" w:rsidRDefault="0076695A" w:rsidP="00FD3660">
            <w:pPr>
              <w:rPr>
                <w:sz w:val="22"/>
                <w:szCs w:val="22"/>
              </w:rPr>
            </w:pPr>
            <w:r w:rsidRPr="008667D6">
              <w:rPr>
                <w:sz w:val="22"/>
                <w:szCs w:val="22"/>
              </w:rPr>
              <w:t>Cílové skupiny</w:t>
            </w:r>
          </w:p>
        </w:tc>
      </w:tr>
      <w:tr w:rsidR="0076695A" w:rsidRPr="008667D6" w:rsidTr="00FD3660">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C0504D"/>
            <w:vAlign w:val="center"/>
          </w:tcPr>
          <w:p w:rsidR="0076695A" w:rsidRPr="008667D6" w:rsidRDefault="0076695A" w:rsidP="00FD3660">
            <w:pPr>
              <w:spacing w:beforeLines="40" w:before="96" w:afterLines="20" w:after="48"/>
              <w:rPr>
                <w:sz w:val="22"/>
                <w:szCs w:val="22"/>
              </w:rPr>
            </w:pPr>
            <w:r w:rsidRPr="008667D6">
              <w:rPr>
                <w:sz w:val="22"/>
                <w:szCs w:val="22"/>
              </w:rPr>
              <w:t>Odborná veřejnost – potenciální žadatelé a příjemci podpory</w:t>
            </w:r>
          </w:p>
        </w:tc>
      </w:tr>
      <w:tr w:rsidR="0076695A" w:rsidRPr="008667D6" w:rsidTr="00FD3660">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ECF6F9"/>
            <w:vAlign w:val="center"/>
          </w:tcPr>
          <w:p w:rsidR="0076695A" w:rsidRPr="008667D6" w:rsidRDefault="0076695A" w:rsidP="00FD3660">
            <w:pPr>
              <w:rPr>
                <w:b/>
                <w:bCs/>
                <w:sz w:val="22"/>
                <w:szCs w:val="22"/>
              </w:rPr>
            </w:pPr>
            <w:r w:rsidRPr="008667D6">
              <w:rPr>
                <w:sz w:val="22"/>
                <w:szCs w:val="22"/>
              </w:rPr>
              <w:t>Klíčová sdělení v roce 2014:</w:t>
            </w:r>
          </w:p>
          <w:p w:rsidR="0076695A" w:rsidRPr="008667D6" w:rsidRDefault="0076695A" w:rsidP="0076695A">
            <w:pPr>
              <w:pStyle w:val="Odstavecseseznamem"/>
              <w:numPr>
                <w:ilvl w:val="0"/>
                <w:numId w:val="41"/>
              </w:numPr>
              <w:spacing w:before="120" w:line="276" w:lineRule="auto"/>
              <w:contextualSpacing w:val="0"/>
              <w:jc w:val="both"/>
              <w:rPr>
                <w:b/>
                <w:bCs/>
                <w:sz w:val="22"/>
                <w:szCs w:val="22"/>
              </w:rPr>
            </w:pPr>
            <w:r w:rsidRPr="008667D6">
              <w:rPr>
                <w:sz w:val="22"/>
                <w:szCs w:val="22"/>
              </w:rPr>
              <w:t>ŘO a ZS informují věcně, včas a srozumitelně o zbývajících možnostech financování projektů z IOP;</w:t>
            </w:r>
          </w:p>
          <w:p w:rsidR="0076695A" w:rsidRPr="008667D6" w:rsidRDefault="0076695A" w:rsidP="0076695A">
            <w:pPr>
              <w:pStyle w:val="Odstavecseseznamem"/>
              <w:numPr>
                <w:ilvl w:val="0"/>
                <w:numId w:val="41"/>
              </w:numPr>
              <w:spacing w:before="120" w:line="276" w:lineRule="auto"/>
              <w:contextualSpacing w:val="0"/>
              <w:jc w:val="both"/>
              <w:rPr>
                <w:b/>
                <w:bCs/>
                <w:sz w:val="22"/>
                <w:szCs w:val="22"/>
              </w:rPr>
            </w:pPr>
            <w:r w:rsidRPr="008667D6">
              <w:rPr>
                <w:sz w:val="22"/>
                <w:szCs w:val="22"/>
              </w:rPr>
              <w:t>Způsob předkládání, výběr, kontrola a proplácení projektů je v každé části procesu transparentní;</w:t>
            </w:r>
          </w:p>
          <w:p w:rsidR="0076695A" w:rsidRPr="008667D6" w:rsidRDefault="0076695A" w:rsidP="0076695A">
            <w:pPr>
              <w:pStyle w:val="Odstavecseseznamem"/>
              <w:numPr>
                <w:ilvl w:val="0"/>
                <w:numId w:val="41"/>
              </w:numPr>
              <w:spacing w:before="120" w:line="276" w:lineRule="auto"/>
              <w:contextualSpacing w:val="0"/>
              <w:jc w:val="both"/>
              <w:rPr>
                <w:b/>
                <w:bCs/>
                <w:sz w:val="22"/>
                <w:szCs w:val="22"/>
              </w:rPr>
            </w:pPr>
            <w:r w:rsidRPr="008667D6">
              <w:rPr>
                <w:sz w:val="22"/>
                <w:szCs w:val="22"/>
              </w:rPr>
              <w:t>Příjemci podpory získávají včasnou a kvalitní informaci o podmínkách čerpání jednotlivých oblastí intervence IOP a jsou varováni před nejčastějšími chybami při realizaci. Známe problémy, se kterými se příjemci při realizaci setkávají, a snažíme se včas pomáhat s jejich překonáním.</w:t>
            </w:r>
          </w:p>
          <w:p w:rsidR="0076695A" w:rsidRPr="008667D6" w:rsidRDefault="0076695A" w:rsidP="00FD3660">
            <w:pPr>
              <w:rPr>
                <w:sz w:val="22"/>
                <w:szCs w:val="22"/>
              </w:rPr>
            </w:pPr>
          </w:p>
        </w:tc>
      </w:tr>
      <w:tr w:rsidR="0076695A" w:rsidRPr="008667D6" w:rsidTr="00FD3660">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C0504D"/>
            <w:vAlign w:val="center"/>
          </w:tcPr>
          <w:p w:rsidR="0076695A" w:rsidRPr="008667D6" w:rsidRDefault="0076695A" w:rsidP="00FD3660">
            <w:pPr>
              <w:spacing w:beforeLines="40" w:before="96" w:afterLines="20" w:after="48"/>
              <w:rPr>
                <w:sz w:val="22"/>
                <w:szCs w:val="22"/>
              </w:rPr>
            </w:pPr>
            <w:r w:rsidRPr="008667D6">
              <w:rPr>
                <w:sz w:val="22"/>
                <w:szCs w:val="22"/>
              </w:rPr>
              <w:t xml:space="preserve">Široká veřejnost </w:t>
            </w:r>
          </w:p>
        </w:tc>
      </w:tr>
      <w:tr w:rsidR="0076695A" w:rsidRPr="008667D6" w:rsidTr="00FD3660">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ECF6F9"/>
            <w:vAlign w:val="center"/>
          </w:tcPr>
          <w:p w:rsidR="0076695A" w:rsidRPr="008667D6" w:rsidRDefault="0076695A" w:rsidP="00FD3660">
            <w:pPr>
              <w:rPr>
                <w:b/>
                <w:bCs/>
                <w:sz w:val="22"/>
                <w:szCs w:val="22"/>
              </w:rPr>
            </w:pPr>
            <w:r w:rsidRPr="008667D6">
              <w:rPr>
                <w:sz w:val="22"/>
                <w:szCs w:val="22"/>
              </w:rPr>
              <w:t xml:space="preserve">Klíčová sdělení v roce 2014:  </w:t>
            </w:r>
          </w:p>
          <w:p w:rsidR="0076695A" w:rsidRPr="008667D6" w:rsidRDefault="0076695A" w:rsidP="0076695A">
            <w:pPr>
              <w:pStyle w:val="Odstavecseseznamem"/>
              <w:numPr>
                <w:ilvl w:val="0"/>
                <w:numId w:val="41"/>
              </w:numPr>
              <w:spacing w:before="120" w:line="276" w:lineRule="auto"/>
              <w:contextualSpacing w:val="0"/>
              <w:jc w:val="both"/>
              <w:rPr>
                <w:b/>
                <w:bCs/>
                <w:sz w:val="22"/>
                <w:szCs w:val="22"/>
              </w:rPr>
            </w:pPr>
            <w:r w:rsidRPr="008667D6">
              <w:rPr>
                <w:sz w:val="22"/>
                <w:szCs w:val="22"/>
              </w:rPr>
              <w:t>Peníze z </w:t>
            </w:r>
            <w:proofErr w:type="spellStart"/>
            <w:r w:rsidRPr="008667D6">
              <w:rPr>
                <w:sz w:val="22"/>
                <w:szCs w:val="22"/>
              </w:rPr>
              <w:t>IOPu</w:t>
            </w:r>
            <w:proofErr w:type="spellEnd"/>
            <w:r w:rsidRPr="008667D6">
              <w:rPr>
                <w:sz w:val="22"/>
                <w:szCs w:val="22"/>
              </w:rPr>
              <w:t xml:space="preserve"> se čerpají transparentně;</w:t>
            </w:r>
          </w:p>
          <w:p w:rsidR="0076695A" w:rsidRPr="008667D6" w:rsidRDefault="0076695A" w:rsidP="0076695A">
            <w:pPr>
              <w:pStyle w:val="Odstavecseseznamem"/>
              <w:numPr>
                <w:ilvl w:val="0"/>
                <w:numId w:val="41"/>
              </w:numPr>
              <w:spacing w:before="120" w:line="276" w:lineRule="auto"/>
              <w:contextualSpacing w:val="0"/>
              <w:jc w:val="both"/>
              <w:rPr>
                <w:b/>
                <w:bCs/>
                <w:sz w:val="22"/>
                <w:szCs w:val="22"/>
              </w:rPr>
            </w:pPr>
            <w:r w:rsidRPr="008667D6">
              <w:rPr>
                <w:sz w:val="22"/>
                <w:szCs w:val="22"/>
              </w:rPr>
              <w:lastRenderedPageBreak/>
              <w:t>Kontrolní mechanismus čerpání je nastaven tak, aby se zabránilo zneužívání finančních prostředků;</w:t>
            </w:r>
          </w:p>
          <w:p w:rsidR="0076695A" w:rsidRPr="008667D6" w:rsidRDefault="0076695A" w:rsidP="0076695A">
            <w:pPr>
              <w:pStyle w:val="Odstavecseseznamem"/>
              <w:numPr>
                <w:ilvl w:val="0"/>
                <w:numId w:val="41"/>
              </w:numPr>
              <w:spacing w:before="120" w:line="276" w:lineRule="auto"/>
              <w:contextualSpacing w:val="0"/>
              <w:jc w:val="both"/>
              <w:rPr>
                <w:b/>
                <w:bCs/>
                <w:sz w:val="22"/>
                <w:szCs w:val="22"/>
              </w:rPr>
            </w:pPr>
            <w:r w:rsidRPr="008667D6">
              <w:rPr>
                <w:sz w:val="22"/>
                <w:szCs w:val="22"/>
              </w:rPr>
              <w:t>Všichni příjemci mají dostatek informací k tomu, aby úspěšně zrealizovali projekt;</w:t>
            </w:r>
          </w:p>
          <w:p w:rsidR="0076695A" w:rsidRPr="008667D6" w:rsidRDefault="0076695A" w:rsidP="0076695A">
            <w:pPr>
              <w:pStyle w:val="Odstavecseseznamem"/>
              <w:numPr>
                <w:ilvl w:val="0"/>
                <w:numId w:val="41"/>
              </w:numPr>
              <w:spacing w:before="120" w:line="276" w:lineRule="auto"/>
              <w:contextualSpacing w:val="0"/>
              <w:jc w:val="both"/>
              <w:rPr>
                <w:b/>
                <w:bCs/>
                <w:sz w:val="22"/>
                <w:szCs w:val="22"/>
              </w:rPr>
            </w:pPr>
            <w:r w:rsidRPr="008667D6">
              <w:rPr>
                <w:sz w:val="22"/>
                <w:szCs w:val="22"/>
              </w:rPr>
              <w:t>Finanční prostředky z IOP jdou na smysluplné projekty s konkrétními a hmatatelnými přínosy pro občany ČR;</w:t>
            </w:r>
          </w:p>
          <w:p w:rsidR="0076695A" w:rsidRPr="008667D6" w:rsidRDefault="0076695A" w:rsidP="0076695A">
            <w:pPr>
              <w:pStyle w:val="Odstavecseseznamem"/>
              <w:numPr>
                <w:ilvl w:val="0"/>
                <w:numId w:val="41"/>
              </w:numPr>
              <w:spacing w:before="120" w:line="276" w:lineRule="auto"/>
              <w:contextualSpacing w:val="0"/>
              <w:jc w:val="both"/>
              <w:rPr>
                <w:sz w:val="22"/>
                <w:szCs w:val="22"/>
              </w:rPr>
            </w:pPr>
            <w:r w:rsidRPr="008667D6">
              <w:rPr>
                <w:sz w:val="22"/>
                <w:szCs w:val="22"/>
              </w:rPr>
              <w:t>IOP zvyšuje kvalitu života každého z nás!</w:t>
            </w:r>
          </w:p>
        </w:tc>
      </w:tr>
    </w:tbl>
    <w:p w:rsidR="0076695A" w:rsidRDefault="0076695A" w:rsidP="0076695A">
      <w:pPr>
        <w:rPr>
          <w:sz w:val="22"/>
          <w:szCs w:val="22"/>
        </w:rPr>
      </w:pPr>
    </w:p>
    <w:p w:rsidR="0076695A" w:rsidRPr="00F10027" w:rsidRDefault="0076695A" w:rsidP="0076695A">
      <w:pPr>
        <w:jc w:val="both"/>
        <w:rPr>
          <w:sz w:val="22"/>
          <w:szCs w:val="22"/>
        </w:rPr>
      </w:pPr>
      <w:r w:rsidRPr="00F10027">
        <w:rPr>
          <w:sz w:val="22"/>
          <w:szCs w:val="22"/>
        </w:rPr>
        <w:t xml:space="preserve">Klíčová sdělení pro odbornou veřejnost se podařilo realizovat prostřednictvím seminářů pro příjemce </w:t>
      </w:r>
      <w:r>
        <w:rPr>
          <w:sz w:val="22"/>
          <w:szCs w:val="22"/>
        </w:rPr>
        <w:br/>
      </w:r>
      <w:r w:rsidRPr="00F10027">
        <w:rPr>
          <w:sz w:val="22"/>
          <w:szCs w:val="22"/>
        </w:rPr>
        <w:t xml:space="preserve">a žadatele, </w:t>
      </w:r>
      <w:r w:rsidRPr="00F94CA3">
        <w:rPr>
          <w:sz w:val="22"/>
          <w:szCs w:val="22"/>
        </w:rPr>
        <w:t>konference IOP a IROP: Úspěchy a nové cíle,</w:t>
      </w:r>
      <w:r>
        <w:rPr>
          <w:b/>
          <w:bCs/>
          <w:sz w:val="24"/>
          <w:szCs w:val="24"/>
        </w:rPr>
        <w:t xml:space="preserve"> </w:t>
      </w:r>
      <w:r w:rsidRPr="00F10027">
        <w:rPr>
          <w:sz w:val="22"/>
          <w:szCs w:val="22"/>
        </w:rPr>
        <w:t>zveřejňování</w:t>
      </w:r>
      <w:r>
        <w:rPr>
          <w:sz w:val="22"/>
          <w:szCs w:val="22"/>
        </w:rPr>
        <w:t>m</w:t>
      </w:r>
      <w:r w:rsidRPr="00F10027">
        <w:rPr>
          <w:sz w:val="22"/>
          <w:szCs w:val="22"/>
        </w:rPr>
        <w:t xml:space="preserve"> aktuálních informací na webových stránkách jednotli</w:t>
      </w:r>
      <w:r>
        <w:rPr>
          <w:sz w:val="22"/>
          <w:szCs w:val="22"/>
        </w:rPr>
        <w:t xml:space="preserve">vých resortů </w:t>
      </w:r>
      <w:r w:rsidRPr="00F10027">
        <w:rPr>
          <w:sz w:val="22"/>
          <w:szCs w:val="22"/>
        </w:rPr>
        <w:t xml:space="preserve">a individuálních konzultací a dotazů s příjemci a žadateli. </w:t>
      </w:r>
    </w:p>
    <w:p w:rsidR="0076695A" w:rsidRPr="00F10027" w:rsidRDefault="0076695A" w:rsidP="0076695A">
      <w:pPr>
        <w:jc w:val="both"/>
        <w:rPr>
          <w:sz w:val="22"/>
          <w:szCs w:val="22"/>
        </w:rPr>
      </w:pPr>
    </w:p>
    <w:p w:rsidR="0076695A" w:rsidRPr="007F6852" w:rsidRDefault="0076695A" w:rsidP="0076695A">
      <w:pPr>
        <w:jc w:val="both"/>
        <w:rPr>
          <w:sz w:val="22"/>
          <w:szCs w:val="22"/>
        </w:rPr>
      </w:pPr>
      <w:r w:rsidRPr="00F10027">
        <w:rPr>
          <w:sz w:val="22"/>
          <w:szCs w:val="22"/>
        </w:rPr>
        <w:t xml:space="preserve">Klíčová sdělení pro širokou veřejnost se podařilo realizovat prostřednictvím zveřejňování aktuálních informací na webových stránkách jednotlivých resortů, aktualizací </w:t>
      </w:r>
      <w:proofErr w:type="spellStart"/>
      <w:r w:rsidRPr="00F10027">
        <w:rPr>
          <w:sz w:val="22"/>
          <w:szCs w:val="22"/>
        </w:rPr>
        <w:t>microsites</w:t>
      </w:r>
      <w:proofErr w:type="spellEnd"/>
      <w:r w:rsidRPr="00F10027">
        <w:rPr>
          <w:sz w:val="22"/>
          <w:szCs w:val="22"/>
        </w:rPr>
        <w:t xml:space="preserve"> kvalitazivota.eu, </w:t>
      </w:r>
      <w:r w:rsidRPr="00943828">
        <w:rPr>
          <w:sz w:val="22"/>
          <w:szCs w:val="22"/>
        </w:rPr>
        <w:t xml:space="preserve">informačních stánků Integrovaného operačního programu na akcích </w:t>
      </w:r>
      <w:proofErr w:type="spellStart"/>
      <w:r w:rsidRPr="00943828">
        <w:rPr>
          <w:sz w:val="22"/>
          <w:szCs w:val="22"/>
        </w:rPr>
        <w:t>Ladronka</w:t>
      </w:r>
      <w:proofErr w:type="spellEnd"/>
      <w:r>
        <w:rPr>
          <w:sz w:val="22"/>
          <w:szCs w:val="22"/>
        </w:rPr>
        <w:t xml:space="preserve"> </w:t>
      </w:r>
      <w:proofErr w:type="spellStart"/>
      <w:r>
        <w:rPr>
          <w:sz w:val="22"/>
          <w:szCs w:val="22"/>
        </w:rPr>
        <w:t>F</w:t>
      </w:r>
      <w:r w:rsidRPr="00943828">
        <w:rPr>
          <w:sz w:val="22"/>
          <w:szCs w:val="22"/>
        </w:rPr>
        <w:t>est</w:t>
      </w:r>
      <w:proofErr w:type="spellEnd"/>
      <w:r w:rsidRPr="00943828">
        <w:rPr>
          <w:sz w:val="22"/>
          <w:szCs w:val="22"/>
        </w:rPr>
        <w:t xml:space="preserve"> a Den Evropy (akce se konaly ve spolupráci s Národním orgánem pro koordinaci) a dále například účastí na veletrhu Památky.</w:t>
      </w:r>
      <w:r w:rsidRPr="002A1525">
        <w:rPr>
          <w:sz w:val="22"/>
          <w:szCs w:val="22"/>
        </w:rPr>
        <w:t xml:space="preserve"> </w:t>
      </w:r>
    </w:p>
    <w:p w:rsidR="0076695A" w:rsidRPr="00F36A91" w:rsidRDefault="0076695A" w:rsidP="00F36A91">
      <w:pPr>
        <w:pStyle w:val="Nadpis1"/>
        <w:rPr>
          <w:rFonts w:ascii="Times New Roman" w:hAnsi="Times New Roman"/>
        </w:rPr>
      </w:pPr>
      <w:bookmarkStart w:id="282" w:name="_Toc417024901"/>
      <w:r w:rsidRPr="009026D3">
        <w:rPr>
          <w:rFonts w:ascii="Times New Roman" w:hAnsi="Times New Roman"/>
          <w:color w:val="76923C"/>
        </w:rPr>
        <w:t>6.3 Komunikace s veřejností, žadateli a příjemci</w:t>
      </w:r>
      <w:bookmarkEnd w:id="282"/>
    </w:p>
    <w:p w:rsidR="0076695A" w:rsidRPr="005E05F9" w:rsidRDefault="0076695A" w:rsidP="0076695A">
      <w:pPr>
        <w:keepNext/>
        <w:keepLines/>
        <w:jc w:val="both"/>
        <w:rPr>
          <w:b/>
          <w:sz w:val="22"/>
          <w:szCs w:val="22"/>
        </w:rPr>
      </w:pPr>
      <w:r w:rsidRPr="005E05F9">
        <w:rPr>
          <w:b/>
          <w:sz w:val="22"/>
          <w:szCs w:val="22"/>
        </w:rPr>
        <w:t>Dotazy</w:t>
      </w:r>
    </w:p>
    <w:p w:rsidR="0076695A" w:rsidRPr="001B3831" w:rsidRDefault="0076695A" w:rsidP="0076695A">
      <w:pPr>
        <w:keepNext/>
        <w:keepLines/>
        <w:jc w:val="both"/>
        <w:rPr>
          <w:sz w:val="22"/>
          <w:szCs w:val="22"/>
        </w:rPr>
      </w:pPr>
      <w:r w:rsidRPr="00DC703B">
        <w:rPr>
          <w:sz w:val="22"/>
          <w:szCs w:val="22"/>
        </w:rPr>
        <w:t>V roce 201</w:t>
      </w:r>
      <w:r>
        <w:rPr>
          <w:sz w:val="22"/>
          <w:szCs w:val="22"/>
        </w:rPr>
        <w:t>4</w:t>
      </w:r>
      <w:r w:rsidRPr="00DC703B">
        <w:rPr>
          <w:sz w:val="22"/>
          <w:szCs w:val="22"/>
        </w:rPr>
        <w:t xml:space="preserve"> přijaly ŘO a ZS IOP </w:t>
      </w:r>
      <w:r w:rsidRPr="00DC703B">
        <w:rPr>
          <w:b/>
          <w:sz w:val="22"/>
          <w:szCs w:val="22"/>
        </w:rPr>
        <w:t>1</w:t>
      </w:r>
      <w:r>
        <w:rPr>
          <w:b/>
          <w:sz w:val="22"/>
          <w:szCs w:val="22"/>
        </w:rPr>
        <w:t>0</w:t>
      </w:r>
      <w:r w:rsidRPr="00DC703B">
        <w:rPr>
          <w:b/>
          <w:sz w:val="22"/>
          <w:szCs w:val="22"/>
        </w:rPr>
        <w:t xml:space="preserve"> </w:t>
      </w:r>
      <w:r>
        <w:rPr>
          <w:b/>
          <w:sz w:val="22"/>
          <w:szCs w:val="22"/>
        </w:rPr>
        <w:t>467</w:t>
      </w:r>
      <w:r w:rsidRPr="00DC703B">
        <w:rPr>
          <w:b/>
          <w:sz w:val="22"/>
          <w:szCs w:val="22"/>
        </w:rPr>
        <w:t xml:space="preserve"> </w:t>
      </w:r>
      <w:r w:rsidRPr="00DC703B">
        <w:rPr>
          <w:sz w:val="22"/>
          <w:szCs w:val="22"/>
        </w:rPr>
        <w:t>e-mailových dotazů.</w:t>
      </w:r>
    </w:p>
    <w:p w:rsidR="0076695A" w:rsidRPr="001B3831" w:rsidRDefault="0076695A" w:rsidP="0076695A">
      <w:pPr>
        <w:keepNext/>
        <w:keepLines/>
        <w:jc w:val="both"/>
        <w:rPr>
          <w:sz w:val="22"/>
          <w:szCs w:val="22"/>
        </w:rPr>
      </w:pPr>
    </w:p>
    <w:p w:rsidR="0076695A" w:rsidRPr="009026D3" w:rsidRDefault="0076695A" w:rsidP="008263BA">
      <w:pPr>
        <w:pStyle w:val="Tabulkanzev"/>
      </w:pPr>
      <w:bookmarkStart w:id="283" w:name="_Toc416431876"/>
      <w:r w:rsidRPr="009026D3">
        <w:t>Přehled přijatých emailových dotazů</w:t>
      </w:r>
      <w:bookmarkEnd w:id="283"/>
    </w:p>
    <w:tbl>
      <w:tblPr>
        <w:tblW w:w="8487"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Look w:val="01E0" w:firstRow="1" w:lastRow="1" w:firstColumn="1" w:lastColumn="1" w:noHBand="0" w:noVBand="0"/>
      </w:tblPr>
      <w:tblGrid>
        <w:gridCol w:w="1564"/>
        <w:gridCol w:w="978"/>
        <w:gridCol w:w="1369"/>
        <w:gridCol w:w="1173"/>
        <w:gridCol w:w="978"/>
        <w:gridCol w:w="978"/>
        <w:gridCol w:w="1447"/>
      </w:tblGrid>
      <w:tr w:rsidR="0076695A" w:rsidRPr="00FF5F9F" w:rsidTr="007F6852">
        <w:trPr>
          <w:trHeight w:val="362"/>
        </w:trPr>
        <w:tc>
          <w:tcPr>
            <w:tcW w:w="1564"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76695A" w:rsidRPr="0076695A" w:rsidRDefault="0076695A" w:rsidP="00FD3660">
            <w:pPr>
              <w:keepNext/>
              <w:keepLines/>
              <w:jc w:val="center"/>
              <w:rPr>
                <w:b/>
              </w:rPr>
            </w:pPr>
            <w:r w:rsidRPr="0076695A">
              <w:rPr>
                <w:b/>
              </w:rPr>
              <w:t>e-mailové dotazy</w:t>
            </w:r>
          </w:p>
        </w:tc>
        <w:tc>
          <w:tcPr>
            <w:tcW w:w="978"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76695A" w:rsidRDefault="0076695A" w:rsidP="00FD3660">
            <w:pPr>
              <w:keepNext/>
              <w:keepLines/>
              <w:jc w:val="center"/>
              <w:rPr>
                <w:b/>
              </w:rPr>
            </w:pPr>
            <w:r w:rsidRPr="0076695A">
              <w:rPr>
                <w:b/>
              </w:rPr>
              <w:t>MMR</w:t>
            </w:r>
          </w:p>
        </w:tc>
        <w:tc>
          <w:tcPr>
            <w:tcW w:w="1369"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76695A" w:rsidRDefault="0076695A" w:rsidP="00FD3660">
            <w:pPr>
              <w:keepNext/>
              <w:keepLines/>
              <w:jc w:val="center"/>
              <w:rPr>
                <w:b/>
              </w:rPr>
            </w:pPr>
            <w:r w:rsidRPr="0076695A">
              <w:rPr>
                <w:b/>
              </w:rPr>
              <w:t>MPSV</w:t>
            </w:r>
          </w:p>
        </w:tc>
        <w:tc>
          <w:tcPr>
            <w:tcW w:w="1173"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76695A" w:rsidRDefault="0076695A" w:rsidP="00FD3660">
            <w:pPr>
              <w:keepNext/>
              <w:keepLines/>
              <w:jc w:val="center"/>
              <w:rPr>
                <w:b/>
              </w:rPr>
            </w:pPr>
            <w:r w:rsidRPr="0076695A">
              <w:rPr>
                <w:b/>
              </w:rPr>
              <w:t>MV</w:t>
            </w:r>
          </w:p>
        </w:tc>
        <w:tc>
          <w:tcPr>
            <w:tcW w:w="978"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76695A" w:rsidRDefault="0076695A" w:rsidP="00FD3660">
            <w:pPr>
              <w:keepNext/>
              <w:keepLines/>
              <w:jc w:val="center"/>
              <w:rPr>
                <w:b/>
              </w:rPr>
            </w:pPr>
            <w:proofErr w:type="spellStart"/>
            <w:r w:rsidRPr="0076695A">
              <w:rPr>
                <w:b/>
              </w:rPr>
              <w:t>MZd</w:t>
            </w:r>
            <w:proofErr w:type="spellEnd"/>
          </w:p>
        </w:tc>
        <w:tc>
          <w:tcPr>
            <w:tcW w:w="978"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76695A" w:rsidRDefault="0076695A" w:rsidP="00FD3660">
            <w:pPr>
              <w:keepNext/>
              <w:keepLines/>
              <w:jc w:val="center"/>
              <w:rPr>
                <w:b/>
              </w:rPr>
            </w:pPr>
            <w:r w:rsidRPr="0076695A">
              <w:rPr>
                <w:b/>
              </w:rPr>
              <w:t>CRR</w:t>
            </w:r>
          </w:p>
        </w:tc>
        <w:tc>
          <w:tcPr>
            <w:tcW w:w="1447"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76695A" w:rsidRPr="0076695A" w:rsidRDefault="0076695A" w:rsidP="00FD3660">
            <w:pPr>
              <w:keepNext/>
              <w:keepLines/>
              <w:jc w:val="center"/>
              <w:rPr>
                <w:b/>
              </w:rPr>
            </w:pPr>
            <w:r w:rsidRPr="0076695A">
              <w:rPr>
                <w:b/>
              </w:rPr>
              <w:t>CELKEM</w:t>
            </w:r>
          </w:p>
        </w:tc>
      </w:tr>
      <w:tr w:rsidR="0076695A" w:rsidRPr="00FF5F9F" w:rsidTr="007F6852">
        <w:trPr>
          <w:cantSplit/>
          <w:trHeight w:val="327"/>
        </w:trPr>
        <w:tc>
          <w:tcPr>
            <w:tcW w:w="1564"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keepLines/>
              <w:rPr>
                <w:b/>
              </w:rPr>
            </w:pPr>
            <w:r w:rsidRPr="0076695A">
              <w:rPr>
                <w:b/>
              </w:rPr>
              <w:t>evidované</w:t>
            </w: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keepLines/>
              <w:jc w:val="center"/>
            </w:pPr>
            <w:r w:rsidRPr="0076695A">
              <w:t>127</w:t>
            </w:r>
          </w:p>
        </w:tc>
        <w:tc>
          <w:tcPr>
            <w:tcW w:w="1369"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keepLines/>
              <w:jc w:val="center"/>
            </w:pPr>
            <w:r w:rsidRPr="0076695A">
              <w:t>640</w:t>
            </w:r>
          </w:p>
        </w:tc>
        <w:tc>
          <w:tcPr>
            <w:tcW w:w="1173"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keepLines/>
              <w:jc w:val="center"/>
            </w:pP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keepLines/>
              <w:jc w:val="center"/>
            </w:pP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keepLines/>
              <w:jc w:val="center"/>
            </w:pPr>
            <w:r w:rsidRPr="0076695A">
              <w:t>500</w:t>
            </w:r>
          </w:p>
        </w:tc>
        <w:tc>
          <w:tcPr>
            <w:tcW w:w="1447"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76695A" w:rsidRDefault="0076695A" w:rsidP="00FD3660">
            <w:pPr>
              <w:keepNext/>
              <w:keepLines/>
              <w:jc w:val="center"/>
            </w:pPr>
            <w:r w:rsidRPr="0076695A">
              <w:t>1 267</w:t>
            </w:r>
          </w:p>
        </w:tc>
      </w:tr>
      <w:tr w:rsidR="0076695A" w:rsidRPr="00FF5F9F" w:rsidTr="007F6852">
        <w:trPr>
          <w:trHeight w:val="321"/>
        </w:trPr>
        <w:tc>
          <w:tcPr>
            <w:tcW w:w="1564"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rPr>
                <w:b/>
              </w:rPr>
            </w:pPr>
            <w:r w:rsidRPr="0076695A">
              <w:rPr>
                <w:b/>
              </w:rPr>
              <w:t>neevidované</w:t>
            </w: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jc w:val="center"/>
            </w:pPr>
          </w:p>
        </w:tc>
        <w:tc>
          <w:tcPr>
            <w:tcW w:w="1369"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jc w:val="center"/>
            </w:pPr>
          </w:p>
        </w:tc>
        <w:tc>
          <w:tcPr>
            <w:tcW w:w="1173"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jc w:val="center"/>
            </w:pPr>
            <w:r w:rsidRPr="0076695A">
              <w:t>8 000</w:t>
            </w: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jc w:val="center"/>
            </w:pPr>
            <w:r w:rsidRPr="0076695A">
              <w:t>1 200</w:t>
            </w: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76695A" w:rsidRDefault="0076695A" w:rsidP="00FD3660">
            <w:pPr>
              <w:keepNext/>
              <w:jc w:val="center"/>
            </w:pPr>
          </w:p>
        </w:tc>
        <w:tc>
          <w:tcPr>
            <w:tcW w:w="1447"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76695A" w:rsidRDefault="0076695A" w:rsidP="00FD3660">
            <w:pPr>
              <w:keepNext/>
              <w:jc w:val="center"/>
            </w:pPr>
            <w:r w:rsidRPr="0076695A">
              <w:t>9 200</w:t>
            </w:r>
          </w:p>
        </w:tc>
      </w:tr>
      <w:tr w:rsidR="0076695A" w:rsidRPr="00FF5F9F" w:rsidTr="007F6852">
        <w:trPr>
          <w:trHeight w:val="244"/>
        </w:trPr>
        <w:tc>
          <w:tcPr>
            <w:tcW w:w="1564" w:type="dxa"/>
            <w:tcBorders>
              <w:top w:val="single" w:sz="6" w:space="0" w:color="4F6228"/>
              <w:left w:val="double" w:sz="4" w:space="0" w:color="4F6228"/>
              <w:bottom w:val="double" w:sz="4" w:space="0" w:color="4F6228"/>
              <w:right w:val="nil"/>
            </w:tcBorders>
            <w:shd w:val="clear" w:color="auto" w:fill="C2D69B" w:themeFill="accent3" w:themeFillTint="99"/>
            <w:vAlign w:val="center"/>
          </w:tcPr>
          <w:p w:rsidR="0076695A" w:rsidRPr="0076695A" w:rsidRDefault="0076695A" w:rsidP="00FD3660">
            <w:pPr>
              <w:keepNext/>
              <w:rPr>
                <w:b/>
              </w:rPr>
            </w:pPr>
            <w:r w:rsidRPr="0076695A">
              <w:rPr>
                <w:b/>
              </w:rPr>
              <w:t>CELKEM</w:t>
            </w:r>
          </w:p>
        </w:tc>
        <w:tc>
          <w:tcPr>
            <w:tcW w:w="5475" w:type="dxa"/>
            <w:gridSpan w:val="5"/>
            <w:tcBorders>
              <w:top w:val="single" w:sz="6" w:space="0" w:color="4F6228"/>
              <w:left w:val="nil"/>
              <w:bottom w:val="double" w:sz="4" w:space="0" w:color="4F6228"/>
              <w:right w:val="single" w:sz="6" w:space="0" w:color="4F6228"/>
            </w:tcBorders>
            <w:shd w:val="clear" w:color="auto" w:fill="C2D69B" w:themeFill="accent3" w:themeFillTint="99"/>
            <w:vAlign w:val="center"/>
          </w:tcPr>
          <w:p w:rsidR="0076695A" w:rsidRPr="0076695A" w:rsidRDefault="0076695A" w:rsidP="00FD3660">
            <w:pPr>
              <w:keepNext/>
              <w:jc w:val="center"/>
            </w:pPr>
          </w:p>
        </w:tc>
        <w:tc>
          <w:tcPr>
            <w:tcW w:w="1447" w:type="dxa"/>
            <w:tcBorders>
              <w:top w:val="single" w:sz="6" w:space="0" w:color="4F6228"/>
              <w:left w:val="single" w:sz="6" w:space="0" w:color="4F6228"/>
              <w:bottom w:val="double" w:sz="4" w:space="0" w:color="4F6228"/>
              <w:right w:val="double" w:sz="4" w:space="0" w:color="4F6228"/>
            </w:tcBorders>
            <w:shd w:val="clear" w:color="auto" w:fill="C2D69B" w:themeFill="accent3" w:themeFillTint="99"/>
            <w:vAlign w:val="center"/>
          </w:tcPr>
          <w:p w:rsidR="0076695A" w:rsidRPr="0076695A" w:rsidRDefault="0076695A" w:rsidP="00FD3660">
            <w:pPr>
              <w:keepNext/>
              <w:jc w:val="center"/>
            </w:pPr>
            <w:r w:rsidRPr="0076695A">
              <w:rPr>
                <w:b/>
              </w:rPr>
              <w:t>10 467</w:t>
            </w:r>
          </w:p>
        </w:tc>
      </w:tr>
    </w:tbl>
    <w:p w:rsidR="0076695A" w:rsidRDefault="0076695A" w:rsidP="0076695A">
      <w:pPr>
        <w:keepNext/>
        <w:rPr>
          <w:i/>
          <w:sz w:val="18"/>
          <w:szCs w:val="18"/>
        </w:rPr>
      </w:pPr>
      <w:r w:rsidRPr="00F3523E">
        <w:rPr>
          <w:i/>
          <w:sz w:val="18"/>
          <w:szCs w:val="18"/>
        </w:rPr>
        <w:t>Zdroj: ŘO, ZS – evidenc</w:t>
      </w:r>
      <w:r>
        <w:rPr>
          <w:i/>
          <w:sz w:val="18"/>
          <w:szCs w:val="18"/>
        </w:rPr>
        <w:t xml:space="preserve">e dotazů, data ke dni </w:t>
      </w:r>
      <w:r w:rsidR="00FF0777">
        <w:rPr>
          <w:i/>
          <w:sz w:val="18"/>
          <w:szCs w:val="18"/>
        </w:rPr>
        <w:t>31. 12. 2014</w:t>
      </w:r>
    </w:p>
    <w:p w:rsidR="0076695A" w:rsidRPr="00B81417" w:rsidRDefault="0076695A" w:rsidP="00B81417">
      <w:pPr>
        <w:spacing w:before="60"/>
        <w:rPr>
          <w:sz w:val="22"/>
          <w:szCs w:val="22"/>
        </w:rPr>
      </w:pPr>
      <w:r w:rsidRPr="005E05F9">
        <w:rPr>
          <w:sz w:val="22"/>
          <w:szCs w:val="22"/>
        </w:rPr>
        <w:t xml:space="preserve"> </w:t>
      </w:r>
    </w:p>
    <w:p w:rsidR="0076695A" w:rsidRPr="009026D3" w:rsidRDefault="0076695A" w:rsidP="0076695A">
      <w:pPr>
        <w:pStyle w:val="Nadpis1"/>
        <w:rPr>
          <w:rFonts w:ascii="Times New Roman" w:hAnsi="Times New Roman"/>
        </w:rPr>
      </w:pPr>
      <w:bookmarkStart w:id="284" w:name="_Toc417024902"/>
      <w:r w:rsidRPr="009026D3">
        <w:rPr>
          <w:rFonts w:ascii="Times New Roman" w:hAnsi="Times New Roman"/>
          <w:color w:val="76923C"/>
        </w:rPr>
        <w:t xml:space="preserve">6.4 Celkový rozpočet </w:t>
      </w:r>
      <w:proofErr w:type="spellStart"/>
      <w:r w:rsidRPr="009026D3">
        <w:rPr>
          <w:rFonts w:ascii="Times New Roman" w:hAnsi="Times New Roman"/>
          <w:color w:val="76923C"/>
        </w:rPr>
        <w:t>KoP</w:t>
      </w:r>
      <w:proofErr w:type="spellEnd"/>
      <w:r w:rsidRPr="009026D3">
        <w:rPr>
          <w:rFonts w:ascii="Times New Roman" w:hAnsi="Times New Roman"/>
          <w:color w:val="76923C"/>
        </w:rPr>
        <w:t xml:space="preserve"> IOP 201</w:t>
      </w:r>
      <w:r>
        <w:rPr>
          <w:rFonts w:ascii="Times New Roman" w:hAnsi="Times New Roman"/>
          <w:color w:val="76923C"/>
        </w:rPr>
        <w:t>4</w:t>
      </w:r>
      <w:bookmarkEnd w:id="284"/>
    </w:p>
    <w:p w:rsidR="0076695A" w:rsidRDefault="0076695A" w:rsidP="0076695A">
      <w:pPr>
        <w:rPr>
          <w:sz w:val="22"/>
          <w:szCs w:val="22"/>
        </w:rPr>
      </w:pPr>
    </w:p>
    <w:p w:rsidR="0076695A" w:rsidRPr="00972AC4" w:rsidRDefault="0076695A" w:rsidP="0076695A">
      <w:pPr>
        <w:jc w:val="both"/>
        <w:rPr>
          <w:sz w:val="22"/>
          <w:szCs w:val="22"/>
        </w:rPr>
      </w:pPr>
      <w:r w:rsidRPr="00EB70F8">
        <w:rPr>
          <w:sz w:val="22"/>
          <w:szCs w:val="22"/>
        </w:rPr>
        <w:t xml:space="preserve">Celkové náklady </w:t>
      </w:r>
      <w:r>
        <w:rPr>
          <w:sz w:val="22"/>
          <w:szCs w:val="22"/>
        </w:rPr>
        <w:t>na publicitu</w:t>
      </w:r>
      <w:r w:rsidRPr="00EB70F8">
        <w:rPr>
          <w:sz w:val="22"/>
          <w:szCs w:val="22"/>
        </w:rPr>
        <w:t xml:space="preserve"> hrazené z Technické pomoci IOP byly v </w:t>
      </w:r>
      <w:r w:rsidRPr="00A951CE">
        <w:rPr>
          <w:sz w:val="22"/>
          <w:szCs w:val="22"/>
        </w:rPr>
        <w:t>roce 201</w:t>
      </w:r>
      <w:r>
        <w:rPr>
          <w:sz w:val="22"/>
          <w:szCs w:val="22"/>
        </w:rPr>
        <w:t>4</w:t>
      </w:r>
      <w:r w:rsidRPr="00A951CE">
        <w:rPr>
          <w:sz w:val="22"/>
          <w:szCs w:val="22"/>
        </w:rPr>
        <w:t xml:space="preserve"> </w:t>
      </w:r>
      <w:r w:rsidR="00044D16" w:rsidRPr="00044D16">
        <w:rPr>
          <w:sz w:val="22"/>
          <w:szCs w:val="22"/>
        </w:rPr>
        <w:t>74 003,72 EU</w:t>
      </w:r>
      <w:r w:rsidR="00044D16" w:rsidRPr="00293ED2">
        <w:rPr>
          <w:sz w:val="22"/>
          <w:szCs w:val="22"/>
        </w:rPr>
        <w:t>R.</w:t>
      </w:r>
      <w:r w:rsidR="00044D16" w:rsidRPr="00972AC4">
        <w:rPr>
          <w:sz w:val="22"/>
          <w:szCs w:val="22"/>
        </w:rPr>
        <w:t xml:space="preserve"> </w:t>
      </w:r>
    </w:p>
    <w:p w:rsidR="0076695A" w:rsidRPr="00A846DD" w:rsidRDefault="0076695A" w:rsidP="0076695A">
      <w:pPr>
        <w:rPr>
          <w:sz w:val="22"/>
          <w:szCs w:val="22"/>
        </w:rPr>
      </w:pPr>
    </w:p>
    <w:p w:rsidR="0076695A" w:rsidRPr="009026D3" w:rsidRDefault="0076695A" w:rsidP="008263BA">
      <w:pPr>
        <w:pStyle w:val="Tabulkanzev"/>
      </w:pPr>
      <w:bookmarkStart w:id="285" w:name="_Toc416431877"/>
      <w:r w:rsidRPr="009026D3">
        <w:t>Celkové náklady na publicitu IOP hrazené z Technické pomoci IOP</w:t>
      </w:r>
      <w:bookmarkEnd w:id="285"/>
    </w:p>
    <w:tbl>
      <w:tblPr>
        <w:tblW w:w="8623"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4448"/>
        <w:gridCol w:w="2154"/>
        <w:gridCol w:w="2021"/>
      </w:tblGrid>
      <w:tr w:rsidR="0076695A" w:rsidRPr="005B695C" w:rsidTr="007F6852">
        <w:trPr>
          <w:trHeight w:val="486"/>
          <w:tblHeader/>
        </w:trPr>
        <w:tc>
          <w:tcPr>
            <w:tcW w:w="4448"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76695A" w:rsidRPr="0013080C" w:rsidRDefault="0076695A" w:rsidP="00FD3660">
            <w:pPr>
              <w:jc w:val="center"/>
              <w:rPr>
                <w:b/>
                <w:sz w:val="16"/>
                <w:szCs w:val="16"/>
              </w:rPr>
            </w:pPr>
            <w:r w:rsidRPr="0013080C">
              <w:rPr>
                <w:b/>
                <w:sz w:val="16"/>
                <w:szCs w:val="16"/>
              </w:rPr>
              <w:t>ŘO / ZS IOP</w:t>
            </w:r>
          </w:p>
        </w:tc>
        <w:tc>
          <w:tcPr>
            <w:tcW w:w="2154"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13080C" w:rsidRDefault="0076695A" w:rsidP="00FD3660">
            <w:pPr>
              <w:jc w:val="center"/>
              <w:rPr>
                <w:b/>
                <w:sz w:val="16"/>
                <w:szCs w:val="16"/>
              </w:rPr>
            </w:pPr>
            <w:r w:rsidRPr="0013080C">
              <w:rPr>
                <w:b/>
                <w:sz w:val="16"/>
                <w:szCs w:val="16"/>
              </w:rPr>
              <w:t>Orientační rozpočet (EUR)</w:t>
            </w:r>
          </w:p>
        </w:tc>
        <w:tc>
          <w:tcPr>
            <w:tcW w:w="2021"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76695A" w:rsidRPr="0013080C" w:rsidRDefault="0076695A" w:rsidP="00FD3660">
            <w:pPr>
              <w:jc w:val="center"/>
              <w:rPr>
                <w:b/>
                <w:sz w:val="16"/>
                <w:szCs w:val="16"/>
              </w:rPr>
            </w:pPr>
            <w:r w:rsidRPr="0013080C">
              <w:rPr>
                <w:b/>
                <w:sz w:val="16"/>
                <w:szCs w:val="16"/>
              </w:rPr>
              <w:t>Skutečná hodnota (EUR)</w:t>
            </w:r>
          </w:p>
        </w:tc>
      </w:tr>
      <w:tr w:rsidR="0076695A" w:rsidRPr="005B695C"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r w:rsidRPr="00B81417">
              <w:t>Ministerstvo pro místní rozvoj</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pPr>
              <w:jc w:val="right"/>
              <w:rPr>
                <w:color w:val="000000"/>
              </w:rPr>
            </w:pPr>
            <w:r w:rsidRPr="00B81417">
              <w:rPr>
                <w:color w:val="000000"/>
              </w:rPr>
              <w:t>94 619,16</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B81417" w:rsidRDefault="0076695A" w:rsidP="00FD3660">
            <w:pPr>
              <w:jc w:val="right"/>
              <w:rPr>
                <w:color w:val="000000"/>
              </w:rPr>
            </w:pPr>
            <w:r w:rsidRPr="00B81417">
              <w:rPr>
                <w:color w:val="000000"/>
              </w:rPr>
              <w:t>43 724,25</w:t>
            </w:r>
          </w:p>
        </w:tc>
      </w:tr>
      <w:tr w:rsidR="0076695A" w:rsidRPr="005B695C"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r w:rsidRPr="00B81417">
              <w:t>Ministerstvo práce a sociálních věcí</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pPr>
              <w:jc w:val="right"/>
              <w:rPr>
                <w:b/>
              </w:rPr>
            </w:pPr>
            <w:r w:rsidRPr="00B81417">
              <w:rPr>
                <w:color w:val="000000"/>
              </w:rPr>
              <w:t>4 985,93</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B81417" w:rsidRDefault="0076695A" w:rsidP="00FD3660">
            <w:pPr>
              <w:jc w:val="right"/>
              <w:rPr>
                <w:smallCaps/>
              </w:rPr>
            </w:pPr>
            <w:r w:rsidRPr="00B81417">
              <w:rPr>
                <w:smallCaps/>
              </w:rPr>
              <w:t>2507,07</w:t>
            </w:r>
          </w:p>
        </w:tc>
      </w:tr>
      <w:tr w:rsidR="0076695A" w:rsidRPr="005B695C"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r w:rsidRPr="00B81417">
              <w:t>Ministerstvo vnitra</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pPr>
              <w:jc w:val="right"/>
              <w:rPr>
                <w:b/>
              </w:rPr>
            </w:pPr>
            <w:r w:rsidRPr="00B81417">
              <w:rPr>
                <w:color w:val="000000"/>
              </w:rPr>
              <w:t>12 827,07</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B81417" w:rsidRDefault="0076695A" w:rsidP="00FD3660">
            <w:pPr>
              <w:jc w:val="right"/>
            </w:pPr>
            <w:r w:rsidRPr="00B81417">
              <w:t>10 707,89</w:t>
            </w:r>
          </w:p>
        </w:tc>
      </w:tr>
      <w:tr w:rsidR="0076695A" w:rsidRPr="005B695C"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r w:rsidRPr="00B81417">
              <w:t>Ministerstvo zdravotnictví</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pPr>
              <w:jc w:val="right"/>
              <w:rPr>
                <w:b/>
              </w:rPr>
            </w:pPr>
            <w:r w:rsidRPr="00B81417">
              <w:rPr>
                <w:color w:val="000000"/>
              </w:rPr>
              <w:t>35 687,02</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B81417" w:rsidRDefault="0076695A" w:rsidP="00FD3660">
            <w:pPr>
              <w:jc w:val="right"/>
            </w:pPr>
            <w:r w:rsidRPr="00B81417">
              <w:t xml:space="preserve">5420,59 </w:t>
            </w:r>
          </w:p>
        </w:tc>
      </w:tr>
      <w:tr w:rsidR="0076695A" w:rsidRPr="005B695C"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r w:rsidRPr="00B81417">
              <w:t>Centrum pro regionální rozvoj</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B81417" w:rsidRDefault="0076695A" w:rsidP="00FD3660">
            <w:pPr>
              <w:jc w:val="right"/>
              <w:rPr>
                <w:b/>
              </w:rPr>
            </w:pPr>
            <w:r w:rsidRPr="00B81417">
              <w:rPr>
                <w:color w:val="000000"/>
              </w:rPr>
              <w:t>32 380,63</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B81417" w:rsidRDefault="0076695A" w:rsidP="00FD3660">
            <w:pPr>
              <w:jc w:val="right"/>
            </w:pPr>
            <w:r w:rsidRPr="00B81417">
              <w:t>11 643,92</w:t>
            </w:r>
            <w:r w:rsidRPr="00B81417">
              <w:rPr>
                <w:smallCaps/>
              </w:rPr>
              <w:t xml:space="preserve"> </w:t>
            </w:r>
          </w:p>
        </w:tc>
      </w:tr>
      <w:tr w:rsidR="0076695A" w:rsidRPr="005B695C" w:rsidTr="007F6852">
        <w:trPr>
          <w:trHeight w:val="248"/>
        </w:trPr>
        <w:tc>
          <w:tcPr>
            <w:tcW w:w="4448" w:type="dxa"/>
            <w:tcBorders>
              <w:top w:val="single" w:sz="6" w:space="0" w:color="4F6228"/>
              <w:left w:val="double" w:sz="4" w:space="0" w:color="4F6228"/>
              <w:bottom w:val="double" w:sz="4" w:space="0" w:color="4F6228"/>
              <w:right w:val="single" w:sz="6" w:space="0" w:color="4F6228"/>
            </w:tcBorders>
            <w:shd w:val="clear" w:color="auto" w:fill="C2D69B" w:themeFill="accent3" w:themeFillTint="99"/>
            <w:vAlign w:val="center"/>
          </w:tcPr>
          <w:p w:rsidR="0076695A" w:rsidRPr="0013080C" w:rsidRDefault="0076695A" w:rsidP="00FD3660">
            <w:pPr>
              <w:rPr>
                <w:b/>
                <w:sz w:val="16"/>
                <w:szCs w:val="16"/>
              </w:rPr>
            </w:pPr>
            <w:r w:rsidRPr="0013080C">
              <w:rPr>
                <w:b/>
                <w:sz w:val="16"/>
                <w:szCs w:val="16"/>
              </w:rPr>
              <w:t>Celkem (včetně DPH)</w:t>
            </w:r>
          </w:p>
        </w:tc>
        <w:tc>
          <w:tcPr>
            <w:tcW w:w="2154" w:type="dxa"/>
            <w:tcBorders>
              <w:top w:val="single" w:sz="6" w:space="0" w:color="4F6228"/>
              <w:left w:val="single" w:sz="6" w:space="0" w:color="4F6228"/>
              <w:bottom w:val="double" w:sz="4" w:space="0" w:color="4F6228"/>
              <w:right w:val="single" w:sz="6" w:space="0" w:color="4F6228"/>
            </w:tcBorders>
            <w:shd w:val="clear" w:color="auto" w:fill="C2D69B" w:themeFill="accent3" w:themeFillTint="99"/>
            <w:vAlign w:val="center"/>
          </w:tcPr>
          <w:p w:rsidR="0076695A" w:rsidRPr="00EA089C" w:rsidRDefault="0076695A" w:rsidP="00FD3660">
            <w:pPr>
              <w:jc w:val="right"/>
              <w:rPr>
                <w:b/>
                <w:sz w:val="16"/>
                <w:szCs w:val="16"/>
                <w:highlight w:val="yellow"/>
              </w:rPr>
            </w:pPr>
            <w:r>
              <w:rPr>
                <w:b/>
                <w:sz w:val="16"/>
                <w:szCs w:val="16"/>
              </w:rPr>
              <w:t>180 499,81</w:t>
            </w:r>
          </w:p>
        </w:tc>
        <w:tc>
          <w:tcPr>
            <w:tcW w:w="2021" w:type="dxa"/>
            <w:tcBorders>
              <w:top w:val="single" w:sz="6" w:space="0" w:color="4F6228"/>
              <w:left w:val="single" w:sz="6" w:space="0" w:color="4F6228"/>
              <w:bottom w:val="double" w:sz="4" w:space="0" w:color="4F6228"/>
              <w:right w:val="double" w:sz="4" w:space="0" w:color="4F6228"/>
            </w:tcBorders>
            <w:shd w:val="clear" w:color="auto" w:fill="C2D69B" w:themeFill="accent3" w:themeFillTint="99"/>
            <w:vAlign w:val="center"/>
          </w:tcPr>
          <w:p w:rsidR="0076695A" w:rsidRDefault="0076695A" w:rsidP="00FD3660">
            <w:pPr>
              <w:jc w:val="right"/>
              <w:rPr>
                <w:b/>
                <w:sz w:val="16"/>
                <w:szCs w:val="16"/>
              </w:rPr>
            </w:pPr>
          </w:p>
          <w:p w:rsidR="0076695A" w:rsidRPr="00943828" w:rsidRDefault="0076695A" w:rsidP="00FD3660">
            <w:pPr>
              <w:jc w:val="right"/>
              <w:rPr>
                <w:b/>
                <w:sz w:val="16"/>
                <w:szCs w:val="16"/>
              </w:rPr>
            </w:pPr>
            <w:r>
              <w:rPr>
                <w:b/>
                <w:sz w:val="16"/>
                <w:szCs w:val="16"/>
              </w:rPr>
              <w:t>74 003,72</w:t>
            </w:r>
          </w:p>
          <w:p w:rsidR="0076695A" w:rsidRPr="00EA089C" w:rsidRDefault="0076695A" w:rsidP="00FD3660">
            <w:pPr>
              <w:jc w:val="right"/>
              <w:rPr>
                <w:b/>
                <w:sz w:val="16"/>
                <w:szCs w:val="16"/>
                <w:highlight w:val="yellow"/>
              </w:rPr>
            </w:pPr>
          </w:p>
        </w:tc>
      </w:tr>
    </w:tbl>
    <w:p w:rsidR="0076695A" w:rsidRPr="00DB7344" w:rsidRDefault="0076695A" w:rsidP="0076695A">
      <w:pPr>
        <w:rPr>
          <w:i/>
          <w:sz w:val="18"/>
          <w:szCs w:val="18"/>
        </w:rPr>
      </w:pPr>
      <w:r w:rsidRPr="0018329E">
        <w:rPr>
          <w:i/>
          <w:sz w:val="18"/>
          <w:szCs w:val="18"/>
        </w:rPr>
        <w:t xml:space="preserve">Zdroj: ŘO a ZS ke </w:t>
      </w:r>
      <w:r w:rsidRPr="00DB7344">
        <w:rPr>
          <w:i/>
          <w:sz w:val="18"/>
          <w:szCs w:val="18"/>
        </w:rPr>
        <w:t xml:space="preserve">dni </w:t>
      </w:r>
      <w:r w:rsidR="0005371D" w:rsidRPr="00DB7344">
        <w:rPr>
          <w:i/>
          <w:sz w:val="18"/>
          <w:szCs w:val="18"/>
        </w:rPr>
        <w:t>31. 12. 2014</w:t>
      </w:r>
    </w:p>
    <w:p w:rsidR="0076695A" w:rsidRPr="0018329E" w:rsidRDefault="0076695A" w:rsidP="0076695A">
      <w:pPr>
        <w:rPr>
          <w:i/>
          <w:sz w:val="18"/>
          <w:szCs w:val="18"/>
        </w:rPr>
      </w:pPr>
      <w:r w:rsidRPr="00DB7344">
        <w:rPr>
          <w:i/>
          <w:sz w:val="18"/>
          <w:szCs w:val="18"/>
        </w:rPr>
        <w:t>Kurz CZK/EUR: 27,</w:t>
      </w:r>
      <w:r>
        <w:rPr>
          <w:i/>
          <w:sz w:val="18"/>
          <w:szCs w:val="18"/>
        </w:rPr>
        <w:t>728</w:t>
      </w:r>
    </w:p>
    <w:p w:rsidR="0076695A" w:rsidRDefault="0076695A" w:rsidP="0076695A">
      <w:pPr>
        <w:rPr>
          <w:i/>
          <w:sz w:val="18"/>
          <w:szCs w:val="18"/>
        </w:rPr>
      </w:pPr>
      <w:r w:rsidRPr="0018329E">
        <w:rPr>
          <w:i/>
          <w:sz w:val="18"/>
          <w:szCs w:val="18"/>
        </w:rPr>
        <w:t>Zdroj financování: veřejné prostředky celkem</w:t>
      </w:r>
    </w:p>
    <w:p w:rsidR="00FC3458" w:rsidRPr="00D95A18" w:rsidRDefault="00FC3458" w:rsidP="0076695A">
      <w:pPr>
        <w:rPr>
          <w:i/>
          <w:sz w:val="18"/>
          <w:szCs w:val="18"/>
        </w:rPr>
      </w:pPr>
    </w:p>
    <w:p w:rsidR="0076695A" w:rsidRPr="00FF0777" w:rsidRDefault="0076695A" w:rsidP="00FF0777">
      <w:pPr>
        <w:jc w:val="both"/>
        <w:rPr>
          <w:color w:val="000000"/>
          <w:sz w:val="24"/>
          <w:szCs w:val="24"/>
        </w:rPr>
      </w:pPr>
      <w:r w:rsidRPr="00D92071">
        <w:rPr>
          <w:sz w:val="22"/>
          <w:szCs w:val="22"/>
        </w:rPr>
        <w:lastRenderedPageBreak/>
        <w:t>V roce 2014 se neuskutečnily některé plánové aktivity, byly však nahrazeny jinými v souladu s aktuálními potřebami informování o Integrovaném operačním programu – např. informační stánek na hudebním festivalu byl nahrazen informačním stánkem na veletrhu Památky, zaměřeném na prezentaci úspěšných rekonstrukcí a revitalizací kulturního dědictví ČR. Aktivita Dětské dny na úspěšných projektech a putovní výstava se z důvodu specifikace výběrových kritérií ve výběrovém řízení posunula na roky 2015-2016. Tyto změny měly vliv na předpokládané vyčerpání finančních prostředků, které bylo ve výsledku nižší. Například u Ministerstva práce a sociálních věcí byly nevyčerpány finanční prostředky převedeny k čerpání do roku 2015 a v případě Ministerstva zdravotnictví se díky finančním úsporám podařilo zrealizovat i aktivity, které nebyly původně plánovány, podařilo se zrealizovat kul</w:t>
      </w:r>
      <w:r>
        <w:rPr>
          <w:sz w:val="22"/>
          <w:szCs w:val="22"/>
        </w:rPr>
        <w:t>a</w:t>
      </w:r>
      <w:r w:rsidRPr="00D92071">
        <w:rPr>
          <w:sz w:val="22"/>
          <w:szCs w:val="22"/>
        </w:rPr>
        <w:t xml:space="preserve">tý stůl se </w:t>
      </w:r>
      <w:r w:rsidRPr="00D92071">
        <w:rPr>
          <w:color w:val="000000"/>
          <w:sz w:val="22"/>
          <w:szCs w:val="22"/>
        </w:rPr>
        <w:t>zástupci implementační struktury visegradských zemí, který zajistil výměnu dobré praxe.</w:t>
      </w:r>
    </w:p>
    <w:p w:rsidR="0076695A" w:rsidRPr="009026D3" w:rsidRDefault="0076695A" w:rsidP="0076695A">
      <w:pPr>
        <w:pStyle w:val="Nadpis1"/>
        <w:rPr>
          <w:rFonts w:ascii="Times New Roman" w:hAnsi="Times New Roman"/>
          <w:i/>
        </w:rPr>
      </w:pPr>
      <w:bookmarkStart w:id="286" w:name="_Toc417024903"/>
      <w:r w:rsidRPr="009026D3">
        <w:rPr>
          <w:rFonts w:ascii="Times New Roman" w:hAnsi="Times New Roman"/>
          <w:color w:val="76923C"/>
        </w:rPr>
        <w:t>6.5 Hodnocení aktivit v oblasti publicity za rok 201</w:t>
      </w:r>
      <w:r>
        <w:rPr>
          <w:rFonts w:ascii="Times New Roman" w:hAnsi="Times New Roman"/>
          <w:color w:val="76923C"/>
        </w:rPr>
        <w:t>4</w:t>
      </w:r>
      <w:bookmarkEnd w:id="286"/>
    </w:p>
    <w:p w:rsidR="0076695A" w:rsidRDefault="0076695A" w:rsidP="00A16863">
      <w:pPr>
        <w:keepNext/>
        <w:jc w:val="both"/>
        <w:rPr>
          <w:sz w:val="22"/>
          <w:szCs w:val="22"/>
        </w:rPr>
      </w:pPr>
      <w:r w:rsidRPr="00EB70F8">
        <w:rPr>
          <w:sz w:val="22"/>
          <w:szCs w:val="22"/>
        </w:rPr>
        <w:t xml:space="preserve"> </w:t>
      </w:r>
      <w:r>
        <w:rPr>
          <w:sz w:val="22"/>
          <w:szCs w:val="22"/>
        </w:rPr>
        <w:t>Komunikační aktivity IOP se v roce 2014</w:t>
      </w:r>
      <w:r w:rsidRPr="001A61C2">
        <w:rPr>
          <w:sz w:val="22"/>
          <w:szCs w:val="22"/>
        </w:rPr>
        <w:t xml:space="preserve"> </w:t>
      </w:r>
      <w:r>
        <w:rPr>
          <w:sz w:val="22"/>
          <w:szCs w:val="22"/>
        </w:rPr>
        <w:t xml:space="preserve">zaměřily na odbornou i širokou veřejnost. Hlavními aktivitami bylo sdílení praxe z realizace projektů a seznámení veřejnosti s úspěšnými projekty. </w:t>
      </w:r>
      <w:r w:rsidRPr="009D1E90">
        <w:rPr>
          <w:sz w:val="22"/>
          <w:szCs w:val="22"/>
        </w:rPr>
        <w:t xml:space="preserve">S ohledem na pověření ŘO IOP výkonem funkce řídicího orgánu i pro Integrovaný regionální operační program pro období 2014-2020 se </w:t>
      </w:r>
      <w:r>
        <w:rPr>
          <w:sz w:val="22"/>
          <w:szCs w:val="22"/>
        </w:rPr>
        <w:t>ve sledovaném období</w:t>
      </w:r>
      <w:r w:rsidRPr="009D1E90">
        <w:rPr>
          <w:sz w:val="22"/>
          <w:szCs w:val="22"/>
        </w:rPr>
        <w:t xml:space="preserve"> některé komunikační aktivity </w:t>
      </w:r>
      <w:r>
        <w:rPr>
          <w:sz w:val="22"/>
          <w:szCs w:val="22"/>
        </w:rPr>
        <w:t>vztahovaly</w:t>
      </w:r>
      <w:r w:rsidRPr="009D1E90">
        <w:rPr>
          <w:sz w:val="22"/>
          <w:szCs w:val="22"/>
        </w:rPr>
        <w:t xml:space="preserve"> k tomuto novému programu.</w:t>
      </w:r>
      <w:r>
        <w:rPr>
          <w:sz w:val="22"/>
          <w:szCs w:val="22"/>
        </w:rPr>
        <w:tab/>
      </w:r>
    </w:p>
    <w:p w:rsidR="0076695A" w:rsidRDefault="0076695A" w:rsidP="0076695A">
      <w:pPr>
        <w:jc w:val="both"/>
        <w:rPr>
          <w:sz w:val="22"/>
          <w:szCs w:val="22"/>
        </w:rPr>
      </w:pPr>
    </w:p>
    <w:p w:rsidR="0076695A" w:rsidRDefault="0076695A" w:rsidP="0076695A">
      <w:pPr>
        <w:jc w:val="both"/>
        <w:rPr>
          <w:sz w:val="22"/>
          <w:szCs w:val="22"/>
        </w:rPr>
      </w:pPr>
      <w:r>
        <w:rPr>
          <w:sz w:val="22"/>
          <w:szCs w:val="22"/>
        </w:rPr>
        <w:t xml:space="preserve">Řídicí orgán a zprostředkující subjekty se snažily o prezentaci úspěšných výsledků projektů IOP. Během roku 2014 se uskutečnila </w:t>
      </w:r>
      <w:r w:rsidRPr="0009644A">
        <w:rPr>
          <w:bCs/>
          <w:sz w:val="22"/>
          <w:szCs w:val="22"/>
        </w:rPr>
        <w:t>Konference IOP a IROP: Úspěchy a nové cíle</w:t>
      </w:r>
      <w:r w:rsidRPr="00351A3A">
        <w:rPr>
          <w:sz w:val="22"/>
          <w:szCs w:val="22"/>
        </w:rPr>
        <w:t>,</w:t>
      </w:r>
      <w:r>
        <w:rPr>
          <w:sz w:val="22"/>
          <w:szCs w:val="22"/>
        </w:rPr>
        <w:t xml:space="preserve"> na které se veřejnost mohla dozvědět mnohé o fungování strukturálních fondů, oblastech podpory, povinnostech příjemce dotace a také nahlédnout do příprav na období 2014-2020.</w:t>
      </w:r>
    </w:p>
    <w:p w:rsidR="0076695A" w:rsidRDefault="0076695A" w:rsidP="0076695A">
      <w:pPr>
        <w:jc w:val="both"/>
        <w:rPr>
          <w:sz w:val="22"/>
          <w:szCs w:val="22"/>
        </w:rPr>
      </w:pPr>
    </w:p>
    <w:p w:rsidR="0076695A" w:rsidRDefault="0076695A" w:rsidP="0076695A">
      <w:pPr>
        <w:jc w:val="both"/>
        <w:rPr>
          <w:sz w:val="22"/>
          <w:szCs w:val="22"/>
        </w:rPr>
      </w:pPr>
      <w:r>
        <w:rPr>
          <w:sz w:val="22"/>
          <w:szCs w:val="22"/>
        </w:rPr>
        <w:t>Všem věkovým kategoriím byly určeny zajímavé soutěže jako například „Dejte hlas českým památkám“ soutěž IOP, která probíhala od 1. 5. do 31. 8. 2014, její cílovou skupinou byla široká veřejnost. Probíhala rovněž druhý ročník video soutěže „Natoč „chytrý“ úřad a vyhraj!“</w:t>
      </w:r>
    </w:p>
    <w:p w:rsidR="0076695A" w:rsidRDefault="0076695A" w:rsidP="0076695A">
      <w:pPr>
        <w:ind w:firstLine="708"/>
        <w:jc w:val="both"/>
        <w:rPr>
          <w:sz w:val="22"/>
          <w:szCs w:val="22"/>
        </w:rPr>
      </w:pPr>
    </w:p>
    <w:p w:rsidR="0076695A" w:rsidRPr="002204D7" w:rsidRDefault="0076695A" w:rsidP="0076695A">
      <w:pPr>
        <w:jc w:val="both"/>
      </w:pPr>
      <w:r w:rsidRPr="002204D7">
        <w:rPr>
          <w:sz w:val="22"/>
          <w:szCs w:val="22"/>
        </w:rPr>
        <w:t>V roce 2014 byla dokončena fotodokumentace 25 vybraných projektů, která svou kvalitou a rozsahem poslouží publikační, výstavní i elektronické formě propagace výsledků programu.</w:t>
      </w:r>
    </w:p>
    <w:p w:rsidR="0076695A" w:rsidRPr="0013080C" w:rsidRDefault="0076695A" w:rsidP="0076695A">
      <w:pPr>
        <w:jc w:val="both"/>
        <w:rPr>
          <w:sz w:val="22"/>
          <w:szCs w:val="22"/>
        </w:rPr>
      </w:pPr>
    </w:p>
    <w:p w:rsidR="00A75862" w:rsidRPr="009026D3" w:rsidRDefault="00A75862" w:rsidP="00325CCF">
      <w:pPr>
        <w:pStyle w:val="Nadpis1"/>
        <w:rPr>
          <w:rFonts w:ascii="Times New Roman" w:hAnsi="Times New Roman"/>
          <w:color w:val="76923C"/>
        </w:rPr>
      </w:pPr>
      <w:bookmarkStart w:id="287" w:name="_Toc417024904"/>
      <w:r w:rsidRPr="009026D3">
        <w:rPr>
          <w:rFonts w:ascii="Times New Roman" w:hAnsi="Times New Roman"/>
          <w:color w:val="76923C"/>
        </w:rPr>
        <w:t>7 RŮZNÉ, VÝMĚNA ZKUŠENOSTÍ, OSVĚDČENÉ POSTUPY</w:t>
      </w:r>
      <w:bookmarkEnd w:id="287"/>
    </w:p>
    <w:p w:rsidR="00A75862" w:rsidRPr="00FC5A82" w:rsidRDefault="00A75862" w:rsidP="00325CCF">
      <w:pPr>
        <w:jc w:val="both"/>
        <w:rPr>
          <w:sz w:val="22"/>
          <w:szCs w:val="22"/>
        </w:rPr>
      </w:pPr>
      <w:r w:rsidRPr="00FC5A82">
        <w:rPr>
          <w:sz w:val="22"/>
          <w:szCs w:val="22"/>
        </w:rPr>
        <w:t>Ř</w:t>
      </w:r>
      <w:r>
        <w:rPr>
          <w:sz w:val="22"/>
          <w:szCs w:val="22"/>
        </w:rPr>
        <w:t xml:space="preserve">O IOP </w:t>
      </w:r>
      <w:r w:rsidRPr="00FC5A82">
        <w:rPr>
          <w:sz w:val="22"/>
          <w:szCs w:val="22"/>
        </w:rPr>
        <w:t>používá pro výměnu zkušeností IOP nejčastěji tyto platformy komunikace:</w:t>
      </w:r>
    </w:p>
    <w:p w:rsidR="00A75862" w:rsidRPr="00FC5A82" w:rsidRDefault="00A75862" w:rsidP="00325CCF">
      <w:pPr>
        <w:jc w:val="both"/>
        <w:rPr>
          <w:sz w:val="22"/>
          <w:szCs w:val="22"/>
        </w:rPr>
      </w:pPr>
    </w:p>
    <w:p w:rsidR="00A75862" w:rsidRPr="001778E1" w:rsidRDefault="00A75862" w:rsidP="002E608B">
      <w:pPr>
        <w:pStyle w:val="TextNOK"/>
        <w:numPr>
          <w:ilvl w:val="0"/>
          <w:numId w:val="10"/>
        </w:numPr>
        <w:spacing w:line="240" w:lineRule="auto"/>
        <w:ind w:left="709"/>
      </w:pPr>
      <w:r w:rsidRPr="001778E1">
        <w:t xml:space="preserve">pracovní skupiny IOP;    </w:t>
      </w:r>
    </w:p>
    <w:p w:rsidR="00A75862" w:rsidRPr="001778E1" w:rsidRDefault="00A75862" w:rsidP="002E608B">
      <w:pPr>
        <w:pStyle w:val="TextNOK"/>
        <w:numPr>
          <w:ilvl w:val="0"/>
          <w:numId w:val="10"/>
        </w:numPr>
        <w:spacing w:line="240" w:lineRule="auto"/>
        <w:ind w:left="709"/>
      </w:pPr>
      <w:r w:rsidRPr="001778E1">
        <w:t xml:space="preserve">vzdělávání pracovníků IOP;   </w:t>
      </w:r>
    </w:p>
    <w:p w:rsidR="00A75862" w:rsidRPr="001778E1" w:rsidRDefault="00A75862" w:rsidP="002E608B">
      <w:pPr>
        <w:pStyle w:val="TextNOK"/>
        <w:numPr>
          <w:ilvl w:val="0"/>
          <w:numId w:val="10"/>
        </w:numPr>
        <w:spacing w:line="240" w:lineRule="auto"/>
        <w:ind w:left="709"/>
      </w:pPr>
      <w:r w:rsidRPr="001778E1">
        <w:t xml:space="preserve">jednání Řídícího orgánu IOP a zprostředkujících subjektů IOP.     </w:t>
      </w:r>
    </w:p>
    <w:p w:rsidR="00396D5B" w:rsidRDefault="00396D5B" w:rsidP="00396D5B"/>
    <w:p w:rsidR="00A75862" w:rsidRPr="00F36A91" w:rsidRDefault="00A75862" w:rsidP="00F36A91">
      <w:pPr>
        <w:pStyle w:val="Nadpis1"/>
        <w:rPr>
          <w:color w:val="76923C"/>
        </w:rPr>
      </w:pPr>
      <w:bookmarkStart w:id="288" w:name="_Toc417024905"/>
      <w:r w:rsidRPr="008C4750">
        <w:rPr>
          <w:rFonts w:ascii="Times New Roman" w:hAnsi="Times New Roman"/>
          <w:color w:val="76923C"/>
        </w:rPr>
        <w:t>7.1 Pracovní skupiny IOP</w:t>
      </w:r>
      <w:bookmarkEnd w:id="288"/>
    </w:p>
    <w:p w:rsidR="006F7A9D" w:rsidRDefault="00A75862" w:rsidP="00325CCF">
      <w:pPr>
        <w:jc w:val="both"/>
        <w:rPr>
          <w:sz w:val="22"/>
          <w:szCs w:val="22"/>
        </w:rPr>
      </w:pPr>
      <w:r>
        <w:rPr>
          <w:sz w:val="22"/>
          <w:szCs w:val="22"/>
        </w:rPr>
        <w:t xml:space="preserve">Pracovní skupiny představují nástroj komunikace k aktuálním tématům či problémům. Z jednání PS se pořizuje zápis a ŘO provádí hodnocení činnosti PS. V součinnosti s členy PS se hodnotí četnost setkání v roce, účast, plnění úkolů zadaných na pracovní skupině, zapojení a aktivita členů, spokojenost členů s organizací PS a přínos pracovní skupiny.  </w:t>
      </w:r>
    </w:p>
    <w:p w:rsidR="006F7A9D" w:rsidRDefault="006F7A9D" w:rsidP="00325CCF">
      <w:pPr>
        <w:jc w:val="both"/>
        <w:rPr>
          <w:sz w:val="22"/>
          <w:szCs w:val="22"/>
        </w:rPr>
      </w:pPr>
    </w:p>
    <w:p w:rsidR="007F6852" w:rsidRDefault="00A75862" w:rsidP="003669ED">
      <w:pPr>
        <w:jc w:val="both"/>
        <w:rPr>
          <w:sz w:val="22"/>
          <w:szCs w:val="22"/>
        </w:rPr>
      </w:pPr>
      <w:r>
        <w:rPr>
          <w:sz w:val="22"/>
          <w:szCs w:val="22"/>
        </w:rPr>
        <w:t xml:space="preserve">Pracovní skupiny mohou pružně reagovat na aktuálně řešené problémy v implementaci IOP. </w:t>
      </w:r>
      <w:r w:rsidR="001F7E0B">
        <w:rPr>
          <w:sz w:val="22"/>
          <w:szCs w:val="22"/>
        </w:rPr>
        <w:br/>
      </w:r>
      <w:r>
        <w:rPr>
          <w:sz w:val="22"/>
          <w:szCs w:val="22"/>
        </w:rPr>
        <w:t xml:space="preserve">Ve </w:t>
      </w:r>
      <w:r w:rsidRPr="00372850">
        <w:rPr>
          <w:sz w:val="22"/>
          <w:szCs w:val="22"/>
        </w:rPr>
        <w:t>značné míře jsou využívány také jako nástroj vzdělávání.</w:t>
      </w:r>
    </w:p>
    <w:p w:rsidR="00FF0777" w:rsidRDefault="00FF0777" w:rsidP="003669ED">
      <w:pPr>
        <w:jc w:val="both"/>
        <w:rPr>
          <w:sz w:val="22"/>
          <w:szCs w:val="22"/>
        </w:rPr>
      </w:pPr>
    </w:p>
    <w:p w:rsidR="00FF0777" w:rsidRDefault="00FF0777" w:rsidP="003669ED">
      <w:pPr>
        <w:jc w:val="both"/>
        <w:rPr>
          <w:sz w:val="22"/>
          <w:szCs w:val="22"/>
        </w:rPr>
      </w:pPr>
    </w:p>
    <w:p w:rsidR="00FF0777" w:rsidRDefault="00FF0777" w:rsidP="003669ED">
      <w:pPr>
        <w:jc w:val="both"/>
        <w:rPr>
          <w:sz w:val="22"/>
          <w:szCs w:val="22"/>
        </w:rPr>
      </w:pPr>
    </w:p>
    <w:p w:rsidR="00FF0777" w:rsidRPr="00FF0777" w:rsidRDefault="00FF0777" w:rsidP="003669ED">
      <w:pPr>
        <w:jc w:val="both"/>
        <w:rPr>
          <w:sz w:val="22"/>
          <w:szCs w:val="22"/>
        </w:rPr>
      </w:pPr>
    </w:p>
    <w:p w:rsidR="00FC3458" w:rsidRDefault="00FC3458" w:rsidP="003669ED">
      <w:pPr>
        <w:jc w:val="both"/>
        <w:rPr>
          <w:b/>
          <w:sz w:val="22"/>
          <w:szCs w:val="22"/>
          <w:u w:val="single"/>
        </w:rPr>
      </w:pPr>
    </w:p>
    <w:p w:rsidR="003669ED" w:rsidRDefault="003669ED" w:rsidP="003669ED">
      <w:pPr>
        <w:jc w:val="both"/>
        <w:rPr>
          <w:b/>
          <w:sz w:val="22"/>
          <w:szCs w:val="22"/>
          <w:u w:val="single"/>
        </w:rPr>
      </w:pPr>
      <w:r>
        <w:rPr>
          <w:b/>
          <w:sz w:val="22"/>
          <w:szCs w:val="22"/>
          <w:u w:val="single"/>
        </w:rPr>
        <w:lastRenderedPageBreak/>
        <w:t>Hlavní závěry z jednání pracovních skupin</w:t>
      </w:r>
    </w:p>
    <w:p w:rsidR="007F6852" w:rsidRPr="007F6852" w:rsidRDefault="007F6852" w:rsidP="003669ED">
      <w:pPr>
        <w:jc w:val="both"/>
        <w:rPr>
          <w:b/>
          <w:sz w:val="22"/>
          <w:szCs w:val="22"/>
          <w:u w:val="single"/>
        </w:rPr>
      </w:pPr>
    </w:p>
    <w:p w:rsidR="003669ED" w:rsidRDefault="003669ED" w:rsidP="003669ED">
      <w:pPr>
        <w:jc w:val="both"/>
        <w:rPr>
          <w:b/>
          <w:sz w:val="22"/>
          <w:szCs w:val="22"/>
        </w:rPr>
      </w:pPr>
      <w:r>
        <w:rPr>
          <w:b/>
          <w:sz w:val="22"/>
          <w:szCs w:val="22"/>
        </w:rPr>
        <w:t>PS pro komunikaci</w:t>
      </w:r>
    </w:p>
    <w:p w:rsidR="003669ED" w:rsidRDefault="00061EB3" w:rsidP="003669ED">
      <w:pPr>
        <w:jc w:val="both"/>
        <w:rPr>
          <w:sz w:val="22"/>
          <w:szCs w:val="22"/>
        </w:rPr>
      </w:pPr>
      <w:r w:rsidRPr="00061EB3">
        <w:rPr>
          <w:sz w:val="22"/>
          <w:szCs w:val="22"/>
        </w:rPr>
        <w:t xml:space="preserve">PS pro komunikaci se ve sledovaném období se sešla 24. dubna 2014, předmětem tohoto jednání bylo nastavení ročního komunikačního plánu 2014/2015 – plánované aktivity ŘO+ZS. </w:t>
      </w:r>
      <w:r w:rsidR="0054669D">
        <w:rPr>
          <w:sz w:val="22"/>
          <w:szCs w:val="22"/>
        </w:rPr>
        <w:t>D</w:t>
      </w:r>
      <w:r w:rsidR="0054669D" w:rsidRPr="0054669D">
        <w:rPr>
          <w:sz w:val="22"/>
          <w:szCs w:val="22"/>
        </w:rPr>
        <w:t>ále v průběhu roku se již PS pro komunikaci nesešla</w:t>
      </w:r>
      <w:r w:rsidR="0054669D">
        <w:rPr>
          <w:sz w:val="22"/>
          <w:szCs w:val="22"/>
        </w:rPr>
        <w:t>,</w:t>
      </w:r>
      <w:r w:rsidR="0054669D" w:rsidRPr="0054669D">
        <w:rPr>
          <w:sz w:val="22"/>
          <w:szCs w:val="22"/>
        </w:rPr>
        <w:t xml:space="preserve"> komunikace mezi členy probíhá elektronic</w:t>
      </w:r>
      <w:r w:rsidR="00552823">
        <w:rPr>
          <w:sz w:val="22"/>
          <w:szCs w:val="22"/>
        </w:rPr>
        <w:t>ky.</w:t>
      </w:r>
    </w:p>
    <w:p w:rsidR="00FF0777" w:rsidRDefault="00FF0777" w:rsidP="003669ED">
      <w:pPr>
        <w:jc w:val="both"/>
        <w:rPr>
          <w:sz w:val="22"/>
          <w:szCs w:val="22"/>
        </w:rPr>
      </w:pPr>
    </w:p>
    <w:p w:rsidR="003669ED" w:rsidRDefault="003669ED" w:rsidP="003669ED">
      <w:pPr>
        <w:jc w:val="both"/>
        <w:rPr>
          <w:b/>
          <w:sz w:val="22"/>
          <w:szCs w:val="22"/>
        </w:rPr>
      </w:pPr>
      <w:r>
        <w:rPr>
          <w:b/>
          <w:sz w:val="22"/>
          <w:szCs w:val="22"/>
        </w:rPr>
        <w:t>PS Finanční řízení</w:t>
      </w:r>
    </w:p>
    <w:p w:rsidR="00DB4E26" w:rsidRPr="00DB4E26" w:rsidRDefault="00DB4E26" w:rsidP="003669ED">
      <w:pPr>
        <w:jc w:val="both"/>
        <w:rPr>
          <w:sz w:val="22"/>
          <w:szCs w:val="22"/>
        </w:rPr>
      </w:pPr>
      <w:r w:rsidRPr="00DB4E26">
        <w:rPr>
          <w:sz w:val="22"/>
          <w:szCs w:val="22"/>
        </w:rPr>
        <w:t>PS Finanční řízení se v roce 2014 sešla v těchto termínech: 28.1.; 28.2.; 27.3.; 29.4.; 29.5.; 30.6.; 30.9; 29.10.</w:t>
      </w:r>
    </w:p>
    <w:p w:rsidR="00DB4E26" w:rsidRPr="00DB4E26" w:rsidRDefault="00DB4E26" w:rsidP="00DB4E26">
      <w:pPr>
        <w:jc w:val="both"/>
        <w:rPr>
          <w:sz w:val="22"/>
          <w:szCs w:val="22"/>
        </w:rPr>
      </w:pPr>
      <w:r w:rsidRPr="00DB4E26">
        <w:rPr>
          <w:sz w:val="22"/>
          <w:szCs w:val="22"/>
        </w:rPr>
        <w:t xml:space="preserve">Pravidelná jednání </w:t>
      </w:r>
      <w:r w:rsidR="004530D2">
        <w:rPr>
          <w:sz w:val="22"/>
          <w:szCs w:val="22"/>
        </w:rPr>
        <w:t>PS F</w:t>
      </w:r>
      <w:r w:rsidRPr="00DB4E26">
        <w:rPr>
          <w:sz w:val="22"/>
          <w:szCs w:val="22"/>
        </w:rPr>
        <w:t>in</w:t>
      </w:r>
      <w:r w:rsidR="004530D2">
        <w:rPr>
          <w:sz w:val="22"/>
          <w:szCs w:val="22"/>
        </w:rPr>
        <w:t>anční</w:t>
      </w:r>
      <w:r w:rsidRPr="00DB4E26">
        <w:rPr>
          <w:sz w:val="22"/>
          <w:szCs w:val="22"/>
        </w:rPr>
        <w:t xml:space="preserve"> </w:t>
      </w:r>
      <w:r w:rsidR="00715C77" w:rsidRPr="00DB4E26">
        <w:rPr>
          <w:sz w:val="22"/>
          <w:szCs w:val="22"/>
        </w:rPr>
        <w:t>řízení řešila</w:t>
      </w:r>
      <w:r w:rsidRPr="00DB4E26">
        <w:rPr>
          <w:sz w:val="22"/>
          <w:szCs w:val="22"/>
        </w:rPr>
        <w:t xml:space="preserve"> aktuální problémy při administraci </w:t>
      </w:r>
      <w:proofErr w:type="spellStart"/>
      <w:r w:rsidRPr="00DB4E26">
        <w:rPr>
          <w:sz w:val="22"/>
          <w:szCs w:val="22"/>
        </w:rPr>
        <w:t>ŽoP</w:t>
      </w:r>
      <w:proofErr w:type="spellEnd"/>
      <w:r w:rsidRPr="00DB4E26">
        <w:rPr>
          <w:sz w:val="22"/>
          <w:szCs w:val="22"/>
        </w:rPr>
        <w:t xml:space="preserve"> s jednotlivými ZS s cílem zkvalitnit podklady pro řízení programu a přijímat opatření k plynulému čerpání dotací </w:t>
      </w:r>
      <w:r w:rsidR="004530D2">
        <w:rPr>
          <w:sz w:val="22"/>
          <w:szCs w:val="22"/>
        </w:rPr>
        <w:br/>
      </w:r>
      <w:r w:rsidRPr="00DB4E26">
        <w:rPr>
          <w:sz w:val="22"/>
          <w:szCs w:val="22"/>
        </w:rPr>
        <w:t xml:space="preserve">a snížení rizika nedočerpání alokace. </w:t>
      </w:r>
    </w:p>
    <w:p w:rsidR="00DB4E26" w:rsidRDefault="00DB4E26" w:rsidP="00DB4E26">
      <w:pPr>
        <w:jc w:val="both"/>
        <w:rPr>
          <w:b/>
          <w:sz w:val="22"/>
          <w:szCs w:val="22"/>
        </w:rPr>
      </w:pPr>
      <w:r w:rsidRPr="00DB4E26">
        <w:rPr>
          <w:sz w:val="22"/>
          <w:szCs w:val="22"/>
        </w:rPr>
        <w:t>Sledování vyčerpání alokace probíhalo na základě kontrol naplňování predikcí předkládaných žádostí o platbu a zreálnění predikcí podle aktuálního vývoje čerpání. Pracovní skupina řešila požadavky ŘO na ZS pro přípravu podkladů k souhrnným žádostem o platbu a certifikaci</w:t>
      </w:r>
      <w:r w:rsidRPr="00DB4E26">
        <w:rPr>
          <w:b/>
          <w:sz w:val="22"/>
          <w:szCs w:val="22"/>
        </w:rPr>
        <w:t>.</w:t>
      </w:r>
    </w:p>
    <w:p w:rsidR="008435F0" w:rsidRDefault="008435F0" w:rsidP="003669ED">
      <w:pPr>
        <w:jc w:val="both"/>
        <w:rPr>
          <w:b/>
          <w:sz w:val="22"/>
          <w:szCs w:val="22"/>
        </w:rPr>
      </w:pPr>
    </w:p>
    <w:p w:rsidR="003669ED" w:rsidRDefault="003669ED" w:rsidP="003669ED">
      <w:pPr>
        <w:jc w:val="both"/>
        <w:rPr>
          <w:b/>
          <w:sz w:val="22"/>
          <w:szCs w:val="22"/>
        </w:rPr>
      </w:pPr>
      <w:r>
        <w:rPr>
          <w:b/>
          <w:sz w:val="22"/>
          <w:szCs w:val="22"/>
        </w:rPr>
        <w:t>PS pro evaluaci</w:t>
      </w:r>
    </w:p>
    <w:p w:rsidR="00212476" w:rsidRDefault="00212476" w:rsidP="003669ED">
      <w:pPr>
        <w:jc w:val="both"/>
        <w:rPr>
          <w:b/>
          <w:sz w:val="22"/>
          <w:szCs w:val="22"/>
        </w:rPr>
      </w:pPr>
      <w:r w:rsidRPr="00305545">
        <w:rPr>
          <w:sz w:val="22"/>
          <w:szCs w:val="22"/>
        </w:rPr>
        <w:t>PS pro evaluac</w:t>
      </w:r>
      <w:r>
        <w:rPr>
          <w:sz w:val="22"/>
          <w:szCs w:val="22"/>
        </w:rPr>
        <w:t>i</w:t>
      </w:r>
      <w:r w:rsidRPr="00305545">
        <w:rPr>
          <w:sz w:val="22"/>
          <w:szCs w:val="22"/>
        </w:rPr>
        <w:t xml:space="preserve"> se</w:t>
      </w:r>
      <w:r w:rsidRPr="00455309">
        <w:rPr>
          <w:sz w:val="22"/>
          <w:szCs w:val="22"/>
        </w:rPr>
        <w:t xml:space="preserve"> pravidelně </w:t>
      </w:r>
      <w:r w:rsidRPr="00243B89">
        <w:rPr>
          <w:sz w:val="22"/>
          <w:szCs w:val="22"/>
        </w:rPr>
        <w:t>neschází, problematika je řešena prostřednictvím emailové komunikace</w:t>
      </w:r>
      <w:r>
        <w:rPr>
          <w:sz w:val="22"/>
          <w:szCs w:val="22"/>
        </w:rPr>
        <w:t xml:space="preserve"> a především prostřednictvím oponentních skupin ke konkrétním evaluacím</w:t>
      </w:r>
    </w:p>
    <w:p w:rsidR="004E4892" w:rsidRDefault="004E4892" w:rsidP="003669ED">
      <w:pPr>
        <w:jc w:val="both"/>
        <w:rPr>
          <w:b/>
          <w:sz w:val="22"/>
          <w:szCs w:val="22"/>
        </w:rPr>
      </w:pPr>
    </w:p>
    <w:p w:rsidR="003669ED" w:rsidRDefault="003669ED" w:rsidP="003669ED">
      <w:pPr>
        <w:jc w:val="both"/>
        <w:rPr>
          <w:b/>
          <w:sz w:val="22"/>
          <w:szCs w:val="22"/>
        </w:rPr>
      </w:pPr>
      <w:r>
        <w:rPr>
          <w:b/>
          <w:sz w:val="22"/>
          <w:szCs w:val="22"/>
        </w:rPr>
        <w:t>PS pro řízení rizik</w:t>
      </w:r>
    </w:p>
    <w:p w:rsidR="000C61E1" w:rsidRDefault="00CD40D2" w:rsidP="003669ED">
      <w:pPr>
        <w:jc w:val="both"/>
        <w:rPr>
          <w:sz w:val="22"/>
          <w:szCs w:val="22"/>
        </w:rPr>
      </w:pPr>
      <w:r w:rsidRPr="00CD40D2">
        <w:rPr>
          <w:sz w:val="22"/>
          <w:szCs w:val="22"/>
        </w:rPr>
        <w:t>Ve sledovaném období se pracovní skupina pro řízení rizik sešla 22. 4. 2014 a 9. 10. 2014. Hlavním předmětem jednání bylo projednání Katalogu rizik IOP a vyhodnocení realizovaných nápravných opatření a poskytnutí informací</w:t>
      </w:r>
      <w:r>
        <w:rPr>
          <w:sz w:val="22"/>
          <w:szCs w:val="22"/>
        </w:rPr>
        <w:t xml:space="preserve"> </w:t>
      </w:r>
      <w:r w:rsidRPr="00CD40D2">
        <w:rPr>
          <w:sz w:val="22"/>
          <w:szCs w:val="22"/>
        </w:rPr>
        <w:t>k dalšímu postupu v současné etapě IOP.</w:t>
      </w:r>
    </w:p>
    <w:p w:rsidR="00CD40D2" w:rsidRDefault="00CD40D2" w:rsidP="003669ED">
      <w:pPr>
        <w:jc w:val="both"/>
        <w:rPr>
          <w:b/>
          <w:sz w:val="22"/>
          <w:szCs w:val="22"/>
        </w:rPr>
      </w:pPr>
    </w:p>
    <w:p w:rsidR="003669ED" w:rsidRDefault="003669ED" w:rsidP="003669ED">
      <w:pPr>
        <w:jc w:val="both"/>
        <w:rPr>
          <w:b/>
          <w:sz w:val="22"/>
          <w:szCs w:val="22"/>
        </w:rPr>
      </w:pPr>
      <w:r>
        <w:rPr>
          <w:b/>
          <w:sz w:val="22"/>
          <w:szCs w:val="22"/>
        </w:rPr>
        <w:t>PS pro veřejné zakázky</w:t>
      </w:r>
    </w:p>
    <w:p w:rsidR="00BD6D55" w:rsidRDefault="00552823" w:rsidP="003669ED">
      <w:pPr>
        <w:jc w:val="both"/>
        <w:rPr>
          <w:sz w:val="22"/>
          <w:szCs w:val="22"/>
        </w:rPr>
      </w:pPr>
      <w:r w:rsidRPr="00552823">
        <w:rPr>
          <w:sz w:val="22"/>
          <w:szCs w:val="22"/>
        </w:rPr>
        <w:t xml:space="preserve">Pracovní skupina pro veřejné zakázky se sešla 29. 1. 2014. Hlavním předmětem jednání byl postup navazující na nově vydaný pokyn Evropské komise pro určování výše finančních oprav za nedodržování pravidel pro zadávání veřejných zakázek (dále jen „nový pokyn EK“), který je přílohou rozhodnutí Evropské komise C(2013) 9527. Poté se PS veřejné zakázky se sešla v termínech </w:t>
      </w:r>
      <w:r w:rsidR="006E1038">
        <w:rPr>
          <w:sz w:val="22"/>
          <w:szCs w:val="22"/>
        </w:rPr>
        <w:br/>
      </w:r>
      <w:r w:rsidRPr="00552823">
        <w:rPr>
          <w:sz w:val="22"/>
          <w:szCs w:val="22"/>
        </w:rPr>
        <w:t xml:space="preserve">9. 04. 2014, 10. 7. 2014, </w:t>
      </w:r>
      <w:r w:rsidR="0005371D" w:rsidRPr="00552823">
        <w:rPr>
          <w:sz w:val="22"/>
          <w:szCs w:val="22"/>
        </w:rPr>
        <w:t>25. 9. 2014</w:t>
      </w:r>
      <w:r w:rsidRPr="00552823">
        <w:rPr>
          <w:sz w:val="22"/>
          <w:szCs w:val="22"/>
        </w:rPr>
        <w:t xml:space="preserve"> a 10. 12. 2014. Na jednání probíhaly diskuze zejména k aplikaci pokynu Evropské komise pro určování výše finančních oprav za nedodržování pravidel pro zadávání veřejných zakázek (dále jen „nový pokyn EK“), který je přílohou rozhodnutí Evropské komise C(2013) 9527). Na posledních jednáních PS VZ byla rovněž řešena problematika střetu zájmů.</w:t>
      </w:r>
    </w:p>
    <w:p w:rsidR="00552823" w:rsidRDefault="00552823" w:rsidP="003669ED">
      <w:pPr>
        <w:jc w:val="both"/>
        <w:rPr>
          <w:b/>
          <w:sz w:val="22"/>
          <w:szCs w:val="22"/>
        </w:rPr>
      </w:pPr>
    </w:p>
    <w:p w:rsidR="003669ED" w:rsidRDefault="003669ED" w:rsidP="003669ED">
      <w:pPr>
        <w:jc w:val="both"/>
        <w:rPr>
          <w:sz w:val="22"/>
          <w:szCs w:val="22"/>
        </w:rPr>
      </w:pPr>
      <w:r>
        <w:rPr>
          <w:b/>
          <w:sz w:val="22"/>
          <w:szCs w:val="22"/>
        </w:rPr>
        <w:t>PS Jessica</w:t>
      </w:r>
    </w:p>
    <w:p w:rsidR="005508DD" w:rsidRDefault="004C492C" w:rsidP="0050465E">
      <w:pPr>
        <w:rPr>
          <w:sz w:val="22"/>
          <w:szCs w:val="22"/>
        </w:rPr>
      </w:pPr>
      <w:r w:rsidRPr="004C492C">
        <w:rPr>
          <w:sz w:val="22"/>
          <w:szCs w:val="22"/>
        </w:rPr>
        <w:t xml:space="preserve">PS JESSICA se naposledy sešla 18. 6. 2012, následně vzhledem k fázi realizace finančního nástroje JESSICA v IOP byla zrušena a nadále se neschází. Místo ní fungují technická jednání mezi ŘO IOP </w:t>
      </w:r>
      <w:r>
        <w:rPr>
          <w:sz w:val="22"/>
          <w:szCs w:val="22"/>
        </w:rPr>
        <w:br/>
      </w:r>
      <w:r w:rsidRPr="004C492C">
        <w:rPr>
          <w:sz w:val="22"/>
          <w:szCs w:val="22"/>
        </w:rPr>
        <w:t xml:space="preserve">a HF SFRB v závislosti na aktuálních potřebách. </w:t>
      </w:r>
    </w:p>
    <w:p w:rsidR="00A02490" w:rsidRDefault="00A02490" w:rsidP="003669ED">
      <w:pPr>
        <w:jc w:val="both"/>
        <w:rPr>
          <w:b/>
          <w:sz w:val="22"/>
          <w:szCs w:val="22"/>
        </w:rPr>
      </w:pPr>
    </w:p>
    <w:p w:rsidR="003669ED" w:rsidRDefault="003669ED" w:rsidP="003669ED">
      <w:pPr>
        <w:jc w:val="both"/>
        <w:rPr>
          <w:b/>
          <w:sz w:val="22"/>
          <w:szCs w:val="22"/>
        </w:rPr>
      </w:pPr>
      <w:r>
        <w:rPr>
          <w:b/>
          <w:sz w:val="22"/>
          <w:szCs w:val="22"/>
        </w:rPr>
        <w:t xml:space="preserve">PS pro snížení rizik ve Smart </w:t>
      </w:r>
      <w:proofErr w:type="spellStart"/>
      <w:r>
        <w:rPr>
          <w:b/>
          <w:sz w:val="22"/>
          <w:szCs w:val="22"/>
        </w:rPr>
        <w:t>Administration</w:t>
      </w:r>
      <w:proofErr w:type="spellEnd"/>
    </w:p>
    <w:p w:rsidR="0050465E" w:rsidRPr="0050465E" w:rsidRDefault="0050465E" w:rsidP="003669ED">
      <w:pPr>
        <w:jc w:val="both"/>
        <w:rPr>
          <w:sz w:val="22"/>
          <w:szCs w:val="22"/>
        </w:rPr>
      </w:pPr>
      <w:r w:rsidRPr="008E2F62">
        <w:rPr>
          <w:sz w:val="22"/>
          <w:szCs w:val="22"/>
        </w:rPr>
        <w:t>PS se pravidelně neschází, jednání jsou nahrazena tripartitními jednáními ŘO, ZS a příjemce, kde jsou řešeny konkrétní problémy v</w:t>
      </w:r>
      <w:r>
        <w:rPr>
          <w:sz w:val="22"/>
          <w:szCs w:val="22"/>
        </w:rPr>
        <w:t> </w:t>
      </w:r>
      <w:r w:rsidRPr="008E2F62">
        <w:rPr>
          <w:sz w:val="22"/>
          <w:szCs w:val="22"/>
        </w:rPr>
        <w:t>projektech</w:t>
      </w:r>
      <w:r>
        <w:rPr>
          <w:sz w:val="22"/>
          <w:szCs w:val="22"/>
        </w:rPr>
        <w:t>.</w:t>
      </w:r>
    </w:p>
    <w:p w:rsidR="000C0D30" w:rsidRDefault="000C0D30" w:rsidP="008C71B7">
      <w:pPr>
        <w:jc w:val="both"/>
        <w:rPr>
          <w:b/>
          <w:sz w:val="22"/>
          <w:szCs w:val="22"/>
        </w:rPr>
      </w:pPr>
    </w:p>
    <w:p w:rsidR="008C71B7" w:rsidRDefault="008C71B7" w:rsidP="008C71B7">
      <w:pPr>
        <w:jc w:val="both"/>
        <w:rPr>
          <w:b/>
          <w:sz w:val="22"/>
          <w:szCs w:val="22"/>
        </w:rPr>
      </w:pPr>
      <w:r>
        <w:rPr>
          <w:b/>
          <w:sz w:val="22"/>
          <w:szCs w:val="22"/>
        </w:rPr>
        <w:t>PS IS a monitorování</w:t>
      </w:r>
    </w:p>
    <w:p w:rsidR="00E76197" w:rsidRPr="00207DC8" w:rsidRDefault="00E76197" w:rsidP="008C71B7">
      <w:pPr>
        <w:jc w:val="both"/>
        <w:rPr>
          <w:bCs/>
          <w:iCs/>
          <w:sz w:val="22"/>
          <w:szCs w:val="22"/>
        </w:rPr>
      </w:pPr>
      <w:r w:rsidRPr="00C71053">
        <w:rPr>
          <w:bCs/>
          <w:iCs/>
          <w:sz w:val="22"/>
          <w:szCs w:val="22"/>
        </w:rPr>
        <w:t>Pracovní skupin</w:t>
      </w:r>
      <w:r>
        <w:rPr>
          <w:bCs/>
          <w:iCs/>
          <w:sz w:val="22"/>
          <w:szCs w:val="22"/>
        </w:rPr>
        <w:t>a</w:t>
      </w:r>
      <w:r w:rsidRPr="00C71053">
        <w:rPr>
          <w:bCs/>
          <w:iCs/>
          <w:sz w:val="22"/>
          <w:szCs w:val="22"/>
        </w:rPr>
        <w:t xml:space="preserve"> se ve sledovaném období sešla </w:t>
      </w:r>
      <w:r w:rsidR="0005371D" w:rsidRPr="00C71053">
        <w:rPr>
          <w:bCs/>
          <w:iCs/>
          <w:sz w:val="22"/>
          <w:szCs w:val="22"/>
        </w:rPr>
        <w:t>25. 9. 2014</w:t>
      </w:r>
      <w:r w:rsidRPr="00C71053">
        <w:rPr>
          <w:bCs/>
          <w:iCs/>
          <w:sz w:val="22"/>
          <w:szCs w:val="22"/>
        </w:rPr>
        <w:t>. Jednání bylo zaměřené na proškolení uživatelů IS Monit7+ IOP v oblasti výstupních sestav a možnosti získávání dat z IS a jejich využití pro monitorování realizace programu a zjišťování potenciálních problémů a úzkých míst.</w:t>
      </w:r>
    </w:p>
    <w:p w:rsidR="008C71B7" w:rsidRDefault="008C71B7" w:rsidP="008C71B7">
      <w:pPr>
        <w:jc w:val="both"/>
        <w:rPr>
          <w:sz w:val="22"/>
          <w:szCs w:val="22"/>
        </w:rPr>
      </w:pPr>
    </w:p>
    <w:p w:rsidR="00696897" w:rsidRDefault="00696897" w:rsidP="009026D3">
      <w:pPr>
        <w:jc w:val="both"/>
        <w:rPr>
          <w:b/>
          <w:sz w:val="22"/>
          <w:szCs w:val="22"/>
        </w:rPr>
      </w:pPr>
      <w:r w:rsidRPr="009026D3">
        <w:rPr>
          <w:b/>
          <w:sz w:val="22"/>
          <w:szCs w:val="22"/>
        </w:rPr>
        <w:t xml:space="preserve">PS </w:t>
      </w:r>
      <w:r w:rsidR="00750F72" w:rsidRPr="009026D3">
        <w:rPr>
          <w:b/>
          <w:sz w:val="22"/>
          <w:szCs w:val="22"/>
        </w:rPr>
        <w:t>PILOT</w:t>
      </w:r>
    </w:p>
    <w:p w:rsidR="003347BD" w:rsidRPr="003347BD" w:rsidRDefault="003347BD" w:rsidP="009026D3">
      <w:pPr>
        <w:jc w:val="both"/>
        <w:rPr>
          <w:sz w:val="22"/>
          <w:szCs w:val="22"/>
        </w:rPr>
      </w:pPr>
      <w:r w:rsidRPr="003347BD">
        <w:rPr>
          <w:sz w:val="22"/>
          <w:szCs w:val="22"/>
        </w:rPr>
        <w:t>S ohledem na bezprob</w:t>
      </w:r>
      <w:r>
        <w:rPr>
          <w:sz w:val="22"/>
          <w:szCs w:val="22"/>
        </w:rPr>
        <w:t>lémovost realizace projektů v oblasti intervence</w:t>
      </w:r>
      <w:r w:rsidRPr="003347BD">
        <w:rPr>
          <w:sz w:val="22"/>
          <w:szCs w:val="22"/>
        </w:rPr>
        <w:t xml:space="preserve"> 5.2 nebylo nutné PS svolávat.</w:t>
      </w:r>
    </w:p>
    <w:p w:rsidR="00ED5A3D" w:rsidRDefault="00ED5A3D" w:rsidP="00B72CCA">
      <w:pPr>
        <w:rPr>
          <w:rStyle w:val="Siln"/>
          <w:b w:val="0"/>
          <w:bCs/>
        </w:rPr>
      </w:pPr>
    </w:p>
    <w:p w:rsidR="00FC3458" w:rsidRDefault="00FC3458" w:rsidP="00B72CCA">
      <w:pPr>
        <w:rPr>
          <w:rStyle w:val="Siln"/>
          <w:b w:val="0"/>
          <w:bCs/>
        </w:rPr>
      </w:pPr>
    </w:p>
    <w:p w:rsidR="00FC3458" w:rsidRDefault="00FC3458" w:rsidP="00B72CCA">
      <w:pPr>
        <w:rPr>
          <w:rStyle w:val="Siln"/>
          <w:b w:val="0"/>
          <w:bCs/>
        </w:rPr>
      </w:pPr>
    </w:p>
    <w:p w:rsidR="00696897" w:rsidRPr="009026D3" w:rsidRDefault="00696897" w:rsidP="009026D3">
      <w:pPr>
        <w:jc w:val="both"/>
        <w:rPr>
          <w:b/>
          <w:sz w:val="22"/>
          <w:szCs w:val="22"/>
        </w:rPr>
      </w:pPr>
      <w:r w:rsidRPr="009026D3">
        <w:rPr>
          <w:b/>
          <w:sz w:val="22"/>
          <w:szCs w:val="22"/>
        </w:rPr>
        <w:lastRenderedPageBreak/>
        <w:t>PS Technická pomoc</w:t>
      </w:r>
    </w:p>
    <w:p w:rsidR="00696897" w:rsidRDefault="004E4892" w:rsidP="00B72CCA">
      <w:pPr>
        <w:rPr>
          <w:rStyle w:val="Siln"/>
          <w:b w:val="0"/>
          <w:bCs/>
        </w:rPr>
      </w:pPr>
      <w:r w:rsidRPr="004E4892">
        <w:rPr>
          <w:rFonts w:cs="Arial"/>
          <w:sz w:val="22"/>
          <w:szCs w:val="22"/>
        </w:rPr>
        <w:t>PS Technické pomoci se ve sledovaném obdo</w:t>
      </w:r>
      <w:r>
        <w:rPr>
          <w:rFonts w:cs="Arial"/>
          <w:sz w:val="22"/>
          <w:szCs w:val="22"/>
        </w:rPr>
        <w:t>bí nesešla. V roce 2014 proběhla</w:t>
      </w:r>
      <w:r w:rsidRPr="004E4892">
        <w:rPr>
          <w:rFonts w:cs="Arial"/>
          <w:sz w:val="22"/>
          <w:szCs w:val="22"/>
        </w:rPr>
        <w:t xml:space="preserve"> aktualizace příručky pro žadatele, o které byli žadatelé informováni, a aktuální verze příručky byla vyvěšena na webu SF. Jelikož v oblasti Technické pomoci nebyly žádné závažné problémy, případně otázky k řešení, které by se dotkly všech příjemců TP IOP, nebyl důvod svolávat setkání PS.</w:t>
      </w:r>
    </w:p>
    <w:p w:rsidR="00696897" w:rsidRDefault="00696897" w:rsidP="00B72CCA">
      <w:pPr>
        <w:rPr>
          <w:rStyle w:val="Siln"/>
          <w:b w:val="0"/>
          <w:bCs/>
        </w:rPr>
      </w:pPr>
    </w:p>
    <w:p w:rsidR="00696897" w:rsidRDefault="00696897" w:rsidP="009026D3">
      <w:pPr>
        <w:jc w:val="both"/>
        <w:rPr>
          <w:b/>
          <w:sz w:val="22"/>
          <w:szCs w:val="22"/>
        </w:rPr>
      </w:pPr>
      <w:r w:rsidRPr="009026D3">
        <w:rPr>
          <w:b/>
          <w:sz w:val="22"/>
          <w:szCs w:val="22"/>
        </w:rPr>
        <w:t>PS pro 5.2</w:t>
      </w:r>
    </w:p>
    <w:p w:rsidR="00750F72" w:rsidRDefault="003347BD" w:rsidP="009026D3">
      <w:pPr>
        <w:jc w:val="both"/>
        <w:rPr>
          <w:sz w:val="22"/>
          <w:szCs w:val="22"/>
        </w:rPr>
      </w:pPr>
      <w:r>
        <w:rPr>
          <w:sz w:val="22"/>
          <w:szCs w:val="22"/>
        </w:rPr>
        <w:t>Pracovní s</w:t>
      </w:r>
      <w:r w:rsidRPr="00176713">
        <w:rPr>
          <w:sz w:val="22"/>
          <w:szCs w:val="22"/>
        </w:rPr>
        <w:t>kupina se schází pouze na základě potřeby. Ve sledovaném období nebylo ta</w:t>
      </w:r>
      <w:r>
        <w:rPr>
          <w:sz w:val="22"/>
          <w:szCs w:val="22"/>
        </w:rPr>
        <w:t>k</w:t>
      </w:r>
      <w:r w:rsidRPr="00176713">
        <w:rPr>
          <w:sz w:val="22"/>
          <w:szCs w:val="22"/>
        </w:rPr>
        <w:t>ové jednání nutné svolat.</w:t>
      </w:r>
    </w:p>
    <w:p w:rsidR="00FC3458" w:rsidRPr="00F235AA" w:rsidRDefault="00FC3458" w:rsidP="009026D3">
      <w:pPr>
        <w:jc w:val="both"/>
        <w:rPr>
          <w:sz w:val="22"/>
          <w:szCs w:val="22"/>
        </w:rPr>
      </w:pPr>
    </w:p>
    <w:p w:rsidR="00A75862" w:rsidRPr="009026D3" w:rsidRDefault="00A75862" w:rsidP="009026D3">
      <w:pPr>
        <w:pStyle w:val="Nadpis1"/>
        <w:rPr>
          <w:rFonts w:ascii="Times New Roman" w:hAnsi="Times New Roman"/>
          <w:i/>
        </w:rPr>
      </w:pPr>
      <w:bookmarkStart w:id="289" w:name="_Toc417024906"/>
      <w:r w:rsidRPr="009026D3">
        <w:rPr>
          <w:rFonts w:ascii="Times New Roman" w:hAnsi="Times New Roman"/>
          <w:color w:val="76923C"/>
        </w:rPr>
        <w:t>7.2 Vzdělávání pracovníků ŘO IOP a ZS IOP</w:t>
      </w:r>
      <w:bookmarkEnd w:id="289"/>
    </w:p>
    <w:p w:rsidR="00374B20" w:rsidRPr="009026D3" w:rsidRDefault="00374B20" w:rsidP="000F2A6C">
      <w:pPr>
        <w:pStyle w:val="Nadpis3"/>
      </w:pPr>
      <w:bookmarkStart w:id="290" w:name="_Toc261615802"/>
      <w:bookmarkStart w:id="291" w:name="_Toc382407734"/>
      <w:bookmarkStart w:id="292" w:name="_Toc383084737"/>
      <w:bookmarkStart w:id="293" w:name="_Toc417024907"/>
      <w:r w:rsidRPr="009026D3">
        <w:t>7.2.1 Řídící orgán IOP</w:t>
      </w:r>
      <w:bookmarkEnd w:id="290"/>
      <w:bookmarkEnd w:id="291"/>
      <w:bookmarkEnd w:id="292"/>
      <w:bookmarkEnd w:id="293"/>
    </w:p>
    <w:p w:rsidR="00374B20" w:rsidRDefault="00374B20" w:rsidP="00374B20">
      <w:pPr>
        <w:jc w:val="both"/>
        <w:rPr>
          <w:sz w:val="22"/>
          <w:szCs w:val="22"/>
        </w:rPr>
      </w:pPr>
    </w:p>
    <w:p w:rsidR="00374B20" w:rsidRPr="00FC5A82" w:rsidRDefault="00374B20" w:rsidP="00374B20">
      <w:pPr>
        <w:jc w:val="both"/>
        <w:rPr>
          <w:sz w:val="22"/>
          <w:szCs w:val="22"/>
        </w:rPr>
      </w:pPr>
      <w:r w:rsidRPr="00FC5A82">
        <w:rPr>
          <w:sz w:val="22"/>
          <w:szCs w:val="22"/>
        </w:rPr>
        <w:t>Systém vzdělávání pracovníků na Ř</w:t>
      </w:r>
      <w:r>
        <w:rPr>
          <w:sz w:val="22"/>
          <w:szCs w:val="22"/>
        </w:rPr>
        <w:t>O</w:t>
      </w:r>
      <w:r w:rsidRPr="00FC5A82">
        <w:rPr>
          <w:sz w:val="22"/>
          <w:szCs w:val="22"/>
        </w:rPr>
        <w:t xml:space="preserve"> IOP byl v roce 20</w:t>
      </w:r>
      <w:r>
        <w:rPr>
          <w:sz w:val="22"/>
          <w:szCs w:val="22"/>
        </w:rPr>
        <w:t>14</w:t>
      </w:r>
      <w:r w:rsidRPr="00FC5A82">
        <w:rPr>
          <w:sz w:val="22"/>
          <w:szCs w:val="22"/>
        </w:rPr>
        <w:t xml:space="preserve"> zajištěn v těchto fázích:</w:t>
      </w:r>
    </w:p>
    <w:p w:rsidR="00374B20" w:rsidRPr="00FC5A82" w:rsidRDefault="00374B20" w:rsidP="00374B20">
      <w:pPr>
        <w:jc w:val="both"/>
        <w:rPr>
          <w:sz w:val="22"/>
          <w:szCs w:val="22"/>
        </w:rPr>
      </w:pPr>
    </w:p>
    <w:p w:rsidR="00374B20" w:rsidRPr="000D6FEB" w:rsidRDefault="00374B20" w:rsidP="002E608B">
      <w:pPr>
        <w:pStyle w:val="TextNOK"/>
        <w:numPr>
          <w:ilvl w:val="0"/>
          <w:numId w:val="10"/>
        </w:numPr>
        <w:spacing w:line="240" w:lineRule="auto"/>
        <w:ind w:left="709"/>
      </w:pPr>
      <w:r w:rsidRPr="00702468">
        <w:t>plánování vz</w:t>
      </w:r>
      <w:r w:rsidRPr="00CF0752">
        <w:t>dělávání prostřednictvím individuálních vzdělávacích plánů</w:t>
      </w:r>
      <w:r w:rsidRPr="008721F2">
        <w:t xml:space="preserve"> pro rok 201</w:t>
      </w:r>
      <w:r>
        <w:t>4</w:t>
      </w:r>
      <w:r w:rsidRPr="008721F2">
        <w:t>,</w:t>
      </w:r>
    </w:p>
    <w:p w:rsidR="00374B20" w:rsidRPr="004646F9" w:rsidRDefault="00374B20" w:rsidP="002E608B">
      <w:pPr>
        <w:pStyle w:val="TextNOK"/>
        <w:numPr>
          <w:ilvl w:val="0"/>
          <w:numId w:val="10"/>
        </w:numPr>
        <w:spacing w:line="240" w:lineRule="auto"/>
        <w:ind w:left="709"/>
      </w:pPr>
      <w:r w:rsidRPr="004646F9">
        <w:t>vzdělávání (interní, externí vzdělávací akce, e-</w:t>
      </w:r>
      <w:proofErr w:type="spellStart"/>
      <w:r w:rsidRPr="004646F9">
        <w:t>learning</w:t>
      </w:r>
      <w:proofErr w:type="spellEnd"/>
      <w:r w:rsidRPr="004646F9">
        <w:t>),</w:t>
      </w:r>
    </w:p>
    <w:p w:rsidR="00374B20" w:rsidRPr="002F3365" w:rsidRDefault="00374B20" w:rsidP="002E608B">
      <w:pPr>
        <w:pStyle w:val="TextNOK"/>
        <w:numPr>
          <w:ilvl w:val="0"/>
          <w:numId w:val="10"/>
        </w:numPr>
        <w:spacing w:line="240" w:lineRule="auto"/>
        <w:ind w:left="709"/>
      </w:pPr>
      <w:r w:rsidRPr="00C11026">
        <w:t>monitoring naplňování individuálních vzdělávacích plánů za rok 20</w:t>
      </w:r>
      <w:r w:rsidRPr="002F3365">
        <w:t>1</w:t>
      </w:r>
      <w:r>
        <w:t>4</w:t>
      </w:r>
      <w:r w:rsidRPr="002F3365">
        <w:t>,</w:t>
      </w:r>
    </w:p>
    <w:p w:rsidR="00374B20" w:rsidRPr="002F3365" w:rsidRDefault="00374B20" w:rsidP="002E608B">
      <w:pPr>
        <w:pStyle w:val="TextNOK"/>
        <w:numPr>
          <w:ilvl w:val="0"/>
          <w:numId w:val="10"/>
        </w:numPr>
        <w:spacing w:line="240" w:lineRule="auto"/>
        <w:ind w:left="709"/>
      </w:pPr>
      <w:r w:rsidRPr="002F3365">
        <w:t>roční hodnocení plnění vzdělávacího plánu Řídícího orgánu IOP,</w:t>
      </w:r>
    </w:p>
    <w:p w:rsidR="00374B20" w:rsidRPr="002F3365" w:rsidRDefault="00374B20" w:rsidP="002E608B">
      <w:pPr>
        <w:pStyle w:val="TextNOK"/>
        <w:numPr>
          <w:ilvl w:val="0"/>
          <w:numId w:val="10"/>
        </w:numPr>
        <w:spacing w:line="240" w:lineRule="auto"/>
        <w:ind w:left="709"/>
      </w:pPr>
      <w:r w:rsidRPr="002F3365">
        <w:t>hodnocení kvality vzdělávacích akcí.</w:t>
      </w:r>
    </w:p>
    <w:p w:rsidR="00374B20" w:rsidRPr="00FC5A82" w:rsidRDefault="00374B20" w:rsidP="00374B20">
      <w:pPr>
        <w:autoSpaceDE w:val="0"/>
        <w:autoSpaceDN w:val="0"/>
        <w:adjustRightInd w:val="0"/>
        <w:jc w:val="both"/>
        <w:rPr>
          <w:sz w:val="22"/>
          <w:szCs w:val="22"/>
        </w:rPr>
      </w:pPr>
    </w:p>
    <w:p w:rsidR="00374B20" w:rsidRDefault="00374B20" w:rsidP="00374B20">
      <w:pPr>
        <w:jc w:val="both"/>
        <w:rPr>
          <w:sz w:val="22"/>
          <w:szCs w:val="22"/>
        </w:rPr>
      </w:pPr>
      <w:r w:rsidRPr="00CB064D">
        <w:rPr>
          <w:sz w:val="22"/>
          <w:szCs w:val="22"/>
        </w:rPr>
        <w:t>V roce 201</w:t>
      </w:r>
      <w:r>
        <w:rPr>
          <w:sz w:val="22"/>
          <w:szCs w:val="22"/>
        </w:rPr>
        <w:t>4</w:t>
      </w:r>
      <w:r w:rsidRPr="00CB064D">
        <w:rPr>
          <w:sz w:val="22"/>
          <w:szCs w:val="22"/>
        </w:rPr>
        <w:t xml:space="preserve"> bylo realizováno </w:t>
      </w:r>
      <w:r>
        <w:rPr>
          <w:sz w:val="22"/>
          <w:szCs w:val="22"/>
        </w:rPr>
        <w:t>126</w:t>
      </w:r>
      <w:r w:rsidRPr="00CB064D">
        <w:rPr>
          <w:sz w:val="22"/>
          <w:szCs w:val="22"/>
        </w:rPr>
        <w:t xml:space="preserve"> vzdělávacích akcí, z toho </w:t>
      </w:r>
      <w:r>
        <w:rPr>
          <w:sz w:val="22"/>
          <w:szCs w:val="22"/>
        </w:rPr>
        <w:t>72</w:t>
      </w:r>
      <w:r w:rsidRPr="00CB064D">
        <w:rPr>
          <w:sz w:val="22"/>
          <w:szCs w:val="22"/>
        </w:rPr>
        <w:t xml:space="preserve"> zajištěných externími a </w:t>
      </w:r>
      <w:r>
        <w:rPr>
          <w:sz w:val="22"/>
          <w:szCs w:val="22"/>
        </w:rPr>
        <w:t>54</w:t>
      </w:r>
      <w:r w:rsidRPr="00CB064D">
        <w:rPr>
          <w:sz w:val="22"/>
          <w:szCs w:val="22"/>
        </w:rPr>
        <w:t xml:space="preserve"> interními lektory. Do interních vzdělávacích akcí byly zahrnuty vzdělávací akce pořádané Řídícím orgánem IOP a akce pořádané </w:t>
      </w:r>
      <w:r>
        <w:rPr>
          <w:sz w:val="22"/>
          <w:szCs w:val="22"/>
        </w:rPr>
        <w:t xml:space="preserve">v rámci </w:t>
      </w:r>
      <w:r w:rsidRPr="009601E5">
        <w:rPr>
          <w:sz w:val="22"/>
          <w:szCs w:val="22"/>
        </w:rPr>
        <w:t>Systém</w:t>
      </w:r>
      <w:r>
        <w:rPr>
          <w:sz w:val="22"/>
          <w:szCs w:val="22"/>
        </w:rPr>
        <w:t>u</w:t>
      </w:r>
      <w:r w:rsidRPr="009601E5">
        <w:rPr>
          <w:sz w:val="22"/>
          <w:szCs w:val="22"/>
        </w:rPr>
        <w:t xml:space="preserve"> vzdělávání zaměstnanců realizujících NSRR v období 2007- 2013</w:t>
      </w:r>
      <w:r>
        <w:rPr>
          <w:sz w:val="22"/>
          <w:szCs w:val="22"/>
        </w:rPr>
        <w:t xml:space="preserve"> </w:t>
      </w:r>
      <w:r w:rsidR="00690083">
        <w:rPr>
          <w:sz w:val="22"/>
          <w:szCs w:val="22"/>
        </w:rPr>
        <w:br/>
      </w:r>
      <w:r w:rsidRPr="00CB064D">
        <w:rPr>
          <w:sz w:val="22"/>
          <w:szCs w:val="22"/>
        </w:rPr>
        <w:t xml:space="preserve">a personálním odborem </w:t>
      </w:r>
      <w:r>
        <w:rPr>
          <w:sz w:val="22"/>
          <w:szCs w:val="22"/>
        </w:rPr>
        <w:t>MMR ČR</w:t>
      </w:r>
      <w:r w:rsidRPr="00CB064D">
        <w:rPr>
          <w:sz w:val="22"/>
          <w:szCs w:val="22"/>
        </w:rPr>
        <w:t>.</w:t>
      </w:r>
      <w:r>
        <w:rPr>
          <w:sz w:val="22"/>
          <w:szCs w:val="22"/>
        </w:rPr>
        <w:t xml:space="preserve"> </w:t>
      </w:r>
    </w:p>
    <w:p w:rsidR="00374B20" w:rsidRDefault="00374B20" w:rsidP="00B03F9D">
      <w:pPr>
        <w:pStyle w:val="tabulka"/>
      </w:pPr>
    </w:p>
    <w:p w:rsidR="00374B20" w:rsidRPr="00C275DD" w:rsidRDefault="00374B20" w:rsidP="00C275DD">
      <w:pPr>
        <w:pStyle w:val="Tabulkanzev"/>
      </w:pPr>
      <w:bookmarkStart w:id="294" w:name="_Toc416431878"/>
      <w:r w:rsidRPr="00C275DD">
        <w:t>Počet vzdělávacích akcí a proškolených osob</w:t>
      </w:r>
      <w:bookmarkEnd w:id="294"/>
    </w:p>
    <w:tbl>
      <w:tblPr>
        <w:tblW w:w="0" w:type="auto"/>
        <w:jc w:val="center"/>
        <w:tblInd w:w="-1134"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0A0" w:firstRow="1" w:lastRow="0" w:firstColumn="1" w:lastColumn="0" w:noHBand="0" w:noVBand="0"/>
      </w:tblPr>
      <w:tblGrid>
        <w:gridCol w:w="2634"/>
        <w:gridCol w:w="1869"/>
        <w:gridCol w:w="1789"/>
        <w:gridCol w:w="2725"/>
      </w:tblGrid>
      <w:tr w:rsidR="00374B20" w:rsidRPr="00CC3793" w:rsidTr="00374B20">
        <w:trPr>
          <w:jc w:val="center"/>
        </w:trPr>
        <w:tc>
          <w:tcPr>
            <w:tcW w:w="4503" w:type="dxa"/>
            <w:gridSpan w:val="2"/>
            <w:shd w:val="clear" w:color="auto" w:fill="C2D69B" w:themeFill="accent3" w:themeFillTint="99"/>
          </w:tcPr>
          <w:p w:rsidR="00374B20" w:rsidRPr="00450C67" w:rsidRDefault="00374B20" w:rsidP="001E35AF">
            <w:pPr>
              <w:jc w:val="center"/>
              <w:rPr>
                <w:b/>
              </w:rPr>
            </w:pPr>
            <w:r w:rsidRPr="00450C67">
              <w:rPr>
                <w:b/>
              </w:rPr>
              <w:t>Vzdělávací akce v roce 2014</w:t>
            </w:r>
          </w:p>
        </w:tc>
        <w:tc>
          <w:tcPr>
            <w:tcW w:w="4514" w:type="dxa"/>
            <w:gridSpan w:val="2"/>
            <w:shd w:val="clear" w:color="auto" w:fill="C2D69B" w:themeFill="accent3" w:themeFillTint="99"/>
          </w:tcPr>
          <w:p w:rsidR="00374B20" w:rsidRPr="00450C67" w:rsidRDefault="00374B20" w:rsidP="001E35AF">
            <w:pPr>
              <w:jc w:val="center"/>
              <w:rPr>
                <w:b/>
              </w:rPr>
            </w:pPr>
            <w:r w:rsidRPr="00450C67">
              <w:rPr>
                <w:b/>
              </w:rPr>
              <w:t>Proškolených osob v roce 2014</w:t>
            </w:r>
          </w:p>
        </w:tc>
      </w:tr>
      <w:tr w:rsidR="00374B20" w:rsidRPr="00CC3793" w:rsidTr="001E35AF">
        <w:trPr>
          <w:jc w:val="center"/>
        </w:trPr>
        <w:tc>
          <w:tcPr>
            <w:tcW w:w="4503" w:type="dxa"/>
            <w:gridSpan w:val="2"/>
          </w:tcPr>
          <w:p w:rsidR="00374B20" w:rsidRPr="00450C67" w:rsidRDefault="00374B20" w:rsidP="001E35AF">
            <w:pPr>
              <w:jc w:val="center"/>
            </w:pPr>
            <w:r w:rsidRPr="00450C67">
              <w:t>126</w:t>
            </w:r>
          </w:p>
        </w:tc>
        <w:tc>
          <w:tcPr>
            <w:tcW w:w="4514" w:type="dxa"/>
            <w:gridSpan w:val="2"/>
          </w:tcPr>
          <w:p w:rsidR="00374B20" w:rsidRPr="00450C67" w:rsidRDefault="00374B20" w:rsidP="001E35AF">
            <w:pPr>
              <w:jc w:val="center"/>
            </w:pPr>
            <w:r w:rsidRPr="00450C67">
              <w:t>544</w:t>
            </w:r>
          </w:p>
        </w:tc>
      </w:tr>
      <w:tr w:rsidR="00374B20" w:rsidRPr="00CC3793" w:rsidTr="00374B20">
        <w:trPr>
          <w:trHeight w:val="126"/>
          <w:jc w:val="center"/>
        </w:trPr>
        <w:tc>
          <w:tcPr>
            <w:tcW w:w="2634" w:type="dxa"/>
            <w:shd w:val="clear" w:color="auto" w:fill="D9D9D9" w:themeFill="background1" w:themeFillShade="D9"/>
          </w:tcPr>
          <w:p w:rsidR="00374B20" w:rsidRPr="00450C67" w:rsidRDefault="00374B20" w:rsidP="001E35AF">
            <w:pPr>
              <w:jc w:val="center"/>
              <w:rPr>
                <w:b/>
              </w:rPr>
            </w:pPr>
            <w:r w:rsidRPr="00450C67">
              <w:rPr>
                <w:b/>
              </w:rPr>
              <w:t>interní</w:t>
            </w:r>
          </w:p>
        </w:tc>
        <w:tc>
          <w:tcPr>
            <w:tcW w:w="1869" w:type="dxa"/>
            <w:shd w:val="clear" w:color="auto" w:fill="D9D9D9" w:themeFill="background1" w:themeFillShade="D9"/>
          </w:tcPr>
          <w:p w:rsidR="00374B20" w:rsidRPr="00450C67" w:rsidRDefault="00374B20" w:rsidP="001E35AF">
            <w:pPr>
              <w:jc w:val="center"/>
              <w:rPr>
                <w:b/>
              </w:rPr>
            </w:pPr>
            <w:r w:rsidRPr="00450C67">
              <w:rPr>
                <w:b/>
              </w:rPr>
              <w:t>externí</w:t>
            </w:r>
          </w:p>
        </w:tc>
        <w:tc>
          <w:tcPr>
            <w:tcW w:w="1789" w:type="dxa"/>
            <w:shd w:val="clear" w:color="auto" w:fill="D9D9D9" w:themeFill="background1" w:themeFillShade="D9"/>
          </w:tcPr>
          <w:p w:rsidR="00374B20" w:rsidRPr="00450C67" w:rsidRDefault="00374B20" w:rsidP="001E35AF">
            <w:pPr>
              <w:jc w:val="center"/>
              <w:rPr>
                <w:b/>
              </w:rPr>
            </w:pPr>
            <w:r w:rsidRPr="00450C67">
              <w:rPr>
                <w:b/>
              </w:rPr>
              <w:t>interní</w:t>
            </w:r>
          </w:p>
        </w:tc>
        <w:tc>
          <w:tcPr>
            <w:tcW w:w="2725" w:type="dxa"/>
            <w:shd w:val="clear" w:color="auto" w:fill="D9D9D9" w:themeFill="background1" w:themeFillShade="D9"/>
          </w:tcPr>
          <w:p w:rsidR="00374B20" w:rsidRPr="00450C67" w:rsidRDefault="00374B20" w:rsidP="001E35AF">
            <w:pPr>
              <w:jc w:val="center"/>
              <w:rPr>
                <w:b/>
              </w:rPr>
            </w:pPr>
            <w:r w:rsidRPr="00450C67">
              <w:rPr>
                <w:b/>
              </w:rPr>
              <w:t>externí</w:t>
            </w:r>
          </w:p>
        </w:tc>
      </w:tr>
      <w:tr w:rsidR="00374B20" w:rsidRPr="00CC3793" w:rsidTr="001E35AF">
        <w:trPr>
          <w:trHeight w:val="126"/>
          <w:jc w:val="center"/>
        </w:trPr>
        <w:tc>
          <w:tcPr>
            <w:tcW w:w="2634" w:type="dxa"/>
          </w:tcPr>
          <w:p w:rsidR="00374B20" w:rsidRPr="00450C67" w:rsidRDefault="00374B20" w:rsidP="001E35AF">
            <w:pPr>
              <w:jc w:val="center"/>
            </w:pPr>
            <w:r w:rsidRPr="00450C67">
              <w:t>54</w:t>
            </w:r>
          </w:p>
        </w:tc>
        <w:tc>
          <w:tcPr>
            <w:tcW w:w="1869" w:type="dxa"/>
          </w:tcPr>
          <w:p w:rsidR="00374B20" w:rsidRPr="00450C67" w:rsidRDefault="00374B20" w:rsidP="001E35AF">
            <w:pPr>
              <w:jc w:val="center"/>
            </w:pPr>
            <w:r w:rsidRPr="00450C67">
              <w:t>72</w:t>
            </w:r>
          </w:p>
        </w:tc>
        <w:tc>
          <w:tcPr>
            <w:tcW w:w="1789" w:type="dxa"/>
          </w:tcPr>
          <w:p w:rsidR="00374B20" w:rsidRPr="00450C67" w:rsidRDefault="00374B20" w:rsidP="001E35AF">
            <w:pPr>
              <w:jc w:val="center"/>
            </w:pPr>
            <w:r w:rsidRPr="00450C67">
              <w:t>353</w:t>
            </w:r>
          </w:p>
        </w:tc>
        <w:tc>
          <w:tcPr>
            <w:tcW w:w="2725" w:type="dxa"/>
          </w:tcPr>
          <w:p w:rsidR="00374B20" w:rsidRPr="00450C67" w:rsidRDefault="00374B20" w:rsidP="001E35AF">
            <w:pPr>
              <w:jc w:val="center"/>
            </w:pPr>
            <w:r w:rsidRPr="00450C67">
              <w:t>191</w:t>
            </w:r>
          </w:p>
        </w:tc>
      </w:tr>
    </w:tbl>
    <w:p w:rsidR="00374B20" w:rsidRPr="007873DE" w:rsidRDefault="00374B20" w:rsidP="00374B20">
      <w:pPr>
        <w:keepNext/>
        <w:rPr>
          <w:i/>
        </w:rPr>
      </w:pPr>
      <w:r w:rsidRPr="007873DE">
        <w:rPr>
          <w:i/>
        </w:rPr>
        <w:t>Zdroj: Vyhodnocení vzdělávacího plánu ŘO IOP 1.1.</w:t>
      </w:r>
      <w:r w:rsidR="0005371D" w:rsidRPr="007873DE">
        <w:rPr>
          <w:i/>
        </w:rPr>
        <w:t xml:space="preserve"> </w:t>
      </w:r>
      <w:r w:rsidRPr="007873DE">
        <w:rPr>
          <w:i/>
        </w:rPr>
        <w:t>-</w:t>
      </w:r>
      <w:r w:rsidR="0005371D" w:rsidRPr="007873DE">
        <w:rPr>
          <w:i/>
        </w:rPr>
        <w:t xml:space="preserve"> 31. 12. 2014</w:t>
      </w:r>
    </w:p>
    <w:p w:rsidR="00374B20" w:rsidRDefault="00374B20" w:rsidP="00374B20">
      <w:pPr>
        <w:jc w:val="both"/>
        <w:rPr>
          <w:sz w:val="22"/>
          <w:szCs w:val="22"/>
        </w:rPr>
      </w:pPr>
    </w:p>
    <w:p w:rsidR="00CC7080" w:rsidRDefault="00CC7080" w:rsidP="00374B20">
      <w:pPr>
        <w:jc w:val="both"/>
        <w:rPr>
          <w:sz w:val="22"/>
          <w:szCs w:val="22"/>
        </w:rPr>
      </w:pPr>
    </w:p>
    <w:p w:rsidR="00374B20" w:rsidRPr="00FC5A82" w:rsidRDefault="00374B20" w:rsidP="00374B20">
      <w:pPr>
        <w:jc w:val="both"/>
        <w:rPr>
          <w:sz w:val="22"/>
          <w:szCs w:val="22"/>
        </w:rPr>
      </w:pPr>
      <w:r>
        <w:rPr>
          <w:sz w:val="22"/>
          <w:szCs w:val="22"/>
        </w:rPr>
        <w:t>Do celkového počtu vzdělávacích akcí jsou zahrnuta veškerá školení, nejen hrazená z prostředků Technické pomoci IOP.</w:t>
      </w:r>
    </w:p>
    <w:p w:rsidR="00374B20" w:rsidRPr="00FC5A82" w:rsidRDefault="00374B20" w:rsidP="00374B20">
      <w:pPr>
        <w:jc w:val="both"/>
        <w:rPr>
          <w:sz w:val="22"/>
          <w:szCs w:val="22"/>
        </w:rPr>
      </w:pPr>
    </w:p>
    <w:p w:rsidR="00374B20" w:rsidRPr="0052172A" w:rsidRDefault="00692B19" w:rsidP="00DF342F">
      <w:pPr>
        <w:pStyle w:val="Graf"/>
      </w:pPr>
      <w:bookmarkStart w:id="295" w:name="_Toc414865576"/>
      <w:r>
        <w:lastRenderedPageBreak/>
        <w:t xml:space="preserve">Počet </w:t>
      </w:r>
      <w:r w:rsidR="00374B20" w:rsidRPr="008C4750">
        <w:t>proškolených osob na poč</w:t>
      </w:r>
      <w:r w:rsidR="00374B20">
        <w:t>e</w:t>
      </w:r>
      <w:r w:rsidR="00374B20" w:rsidRPr="008C4750">
        <w:t xml:space="preserve">t pracovníků </w:t>
      </w:r>
      <w:r>
        <w:t>ŘO</w:t>
      </w:r>
      <w:r w:rsidR="00374B20" w:rsidRPr="008C4750">
        <w:t xml:space="preserve"> IOP v letech 201</w:t>
      </w:r>
      <w:r w:rsidR="00374B20">
        <w:t>3</w:t>
      </w:r>
      <w:r w:rsidR="00374B20" w:rsidRPr="008C4750">
        <w:t xml:space="preserve"> až 201</w:t>
      </w:r>
      <w:r w:rsidR="00374B20">
        <w:t>4</w:t>
      </w:r>
      <w:bookmarkEnd w:id="295"/>
    </w:p>
    <w:p w:rsidR="00374B20" w:rsidRDefault="00374B20" w:rsidP="00374B20">
      <w:pPr>
        <w:jc w:val="center"/>
      </w:pPr>
      <w:r>
        <w:rPr>
          <w:noProof/>
        </w:rPr>
        <w:drawing>
          <wp:inline distT="0" distB="0" distL="0" distR="0" wp14:anchorId="0CBB8129" wp14:editId="1056CB41">
            <wp:extent cx="5762625" cy="2657475"/>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74B20" w:rsidRPr="0003515C" w:rsidRDefault="00374B20" w:rsidP="00C903D9">
      <w:pPr>
        <w:keepNext/>
        <w:rPr>
          <w:i/>
        </w:rPr>
      </w:pPr>
      <w:r w:rsidRPr="0003515C">
        <w:rPr>
          <w:i/>
        </w:rPr>
        <w:t xml:space="preserve">  Zdroj: ŘO IOP</w:t>
      </w:r>
    </w:p>
    <w:p w:rsidR="00B6661C" w:rsidRDefault="00B6661C" w:rsidP="00374B20">
      <w:pPr>
        <w:jc w:val="both"/>
        <w:rPr>
          <w:sz w:val="22"/>
          <w:szCs w:val="22"/>
        </w:rPr>
      </w:pPr>
    </w:p>
    <w:p w:rsidR="00FC3458" w:rsidRDefault="00FC3458" w:rsidP="00374B20">
      <w:pPr>
        <w:jc w:val="both"/>
        <w:rPr>
          <w:sz w:val="22"/>
          <w:szCs w:val="22"/>
        </w:rPr>
      </w:pPr>
    </w:p>
    <w:p w:rsidR="00374B20" w:rsidRDefault="00374B20" w:rsidP="00374B20">
      <w:pPr>
        <w:jc w:val="both"/>
        <w:rPr>
          <w:b/>
          <w:szCs w:val="24"/>
        </w:rPr>
      </w:pPr>
      <w:r w:rsidRPr="00FC1C24">
        <w:rPr>
          <w:sz w:val="22"/>
          <w:szCs w:val="22"/>
        </w:rPr>
        <w:t>V roce 201</w:t>
      </w:r>
      <w:r>
        <w:rPr>
          <w:sz w:val="22"/>
          <w:szCs w:val="22"/>
        </w:rPr>
        <w:t>4</w:t>
      </w:r>
      <w:r w:rsidRPr="00FC1C24">
        <w:rPr>
          <w:sz w:val="22"/>
          <w:szCs w:val="22"/>
        </w:rPr>
        <w:t xml:space="preserve"> bylo nejvíce vzdělávacích akcí zaměřeno na </w:t>
      </w:r>
      <w:r>
        <w:rPr>
          <w:sz w:val="22"/>
          <w:szCs w:val="22"/>
        </w:rPr>
        <w:t>povinné školení ŘO IOP, finanční a řídící kontrolu a veřejné zakázky.</w:t>
      </w:r>
    </w:p>
    <w:p w:rsidR="00374B20" w:rsidRDefault="00374B20" w:rsidP="00A43846"/>
    <w:p w:rsidR="00374B20" w:rsidRPr="006A704C" w:rsidRDefault="00374B20" w:rsidP="00DF342F">
      <w:pPr>
        <w:pStyle w:val="Graf"/>
      </w:pPr>
      <w:bookmarkStart w:id="296" w:name="_Toc414865577"/>
      <w:r w:rsidRPr="006A704C">
        <w:t>Přehled tematických oblastí vzdělávání v roce 2014</w:t>
      </w:r>
      <w:bookmarkEnd w:id="296"/>
    </w:p>
    <w:p w:rsidR="00374B20" w:rsidRPr="00B6661C" w:rsidRDefault="00374B20" w:rsidP="00B6661C">
      <w:pPr>
        <w:jc w:val="both"/>
        <w:rPr>
          <w:b/>
          <w:szCs w:val="24"/>
        </w:rPr>
      </w:pPr>
      <w:r w:rsidRPr="00676A13">
        <w:rPr>
          <w:rFonts w:asciiTheme="minorHAnsi" w:hAnsiTheme="minorHAnsi"/>
          <w:noProof/>
          <w:sz w:val="16"/>
          <w:szCs w:val="16"/>
        </w:rPr>
        <w:drawing>
          <wp:inline distT="0" distB="0" distL="0" distR="0" wp14:anchorId="6CC0296B" wp14:editId="2301DF8A">
            <wp:extent cx="5759450" cy="3016272"/>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74B20" w:rsidRDefault="00374B20" w:rsidP="00B6661C">
      <w:pPr>
        <w:keepNext/>
        <w:autoSpaceDE w:val="0"/>
        <w:autoSpaceDN w:val="0"/>
        <w:adjustRightInd w:val="0"/>
        <w:jc w:val="both"/>
        <w:rPr>
          <w:b/>
          <w:i/>
          <w:sz w:val="18"/>
          <w:szCs w:val="18"/>
        </w:rPr>
      </w:pPr>
      <w:r>
        <w:rPr>
          <w:b/>
          <w:i/>
          <w:sz w:val="18"/>
          <w:szCs w:val="18"/>
        </w:rPr>
        <w:t>Pozn.: zelená barva - nejvyšší počet školení</w:t>
      </w:r>
    </w:p>
    <w:p w:rsidR="00374B20" w:rsidRPr="007722D0" w:rsidRDefault="00374B20" w:rsidP="00B6661C">
      <w:pPr>
        <w:keepNext/>
        <w:rPr>
          <w:i/>
          <w:sz w:val="18"/>
          <w:szCs w:val="18"/>
        </w:rPr>
      </w:pPr>
      <w:r w:rsidRPr="007722D0">
        <w:rPr>
          <w:i/>
          <w:sz w:val="18"/>
          <w:szCs w:val="18"/>
        </w:rPr>
        <w:t xml:space="preserve">Zdroj: </w:t>
      </w:r>
      <w:r>
        <w:rPr>
          <w:i/>
          <w:sz w:val="18"/>
          <w:szCs w:val="18"/>
        </w:rPr>
        <w:t>ŘO IOP</w:t>
      </w:r>
    </w:p>
    <w:p w:rsidR="00CC7080" w:rsidRDefault="00CC7080" w:rsidP="00374B20">
      <w:pPr>
        <w:autoSpaceDE w:val="0"/>
        <w:autoSpaceDN w:val="0"/>
        <w:adjustRightInd w:val="0"/>
        <w:jc w:val="both"/>
        <w:rPr>
          <w:sz w:val="22"/>
          <w:szCs w:val="22"/>
        </w:rPr>
      </w:pPr>
    </w:p>
    <w:p w:rsidR="00374B20" w:rsidRPr="009026D3" w:rsidRDefault="00374B20" w:rsidP="000F2A6C">
      <w:pPr>
        <w:pStyle w:val="Nadpis3"/>
      </w:pPr>
      <w:bookmarkStart w:id="297" w:name="_Toc261615803"/>
      <w:bookmarkStart w:id="298" w:name="_Toc382407735"/>
      <w:bookmarkStart w:id="299" w:name="_Toc383084738"/>
      <w:bookmarkStart w:id="300" w:name="_Toc417024908"/>
      <w:r w:rsidRPr="009026D3">
        <w:t>7.2.2 Zprostředkující subjekty IOP</w:t>
      </w:r>
      <w:bookmarkEnd w:id="297"/>
      <w:bookmarkEnd w:id="298"/>
      <w:bookmarkEnd w:id="299"/>
      <w:bookmarkEnd w:id="300"/>
    </w:p>
    <w:p w:rsidR="00374B20" w:rsidRDefault="00374B20" w:rsidP="00374B20">
      <w:pPr>
        <w:autoSpaceDE w:val="0"/>
        <w:autoSpaceDN w:val="0"/>
        <w:adjustRightInd w:val="0"/>
        <w:jc w:val="both"/>
        <w:rPr>
          <w:sz w:val="22"/>
          <w:szCs w:val="22"/>
        </w:rPr>
      </w:pPr>
      <w:r w:rsidRPr="00312117">
        <w:rPr>
          <w:sz w:val="22"/>
          <w:szCs w:val="22"/>
        </w:rPr>
        <w:t>Zprostředkující subjekty hradí náklady</w:t>
      </w:r>
      <w:r w:rsidRPr="00FC5A82">
        <w:rPr>
          <w:sz w:val="22"/>
          <w:szCs w:val="22"/>
        </w:rPr>
        <w:t xml:space="preserve"> na vzdělávání v rámci svých projektů</w:t>
      </w:r>
      <w:r>
        <w:rPr>
          <w:sz w:val="22"/>
          <w:szCs w:val="22"/>
        </w:rPr>
        <w:t xml:space="preserve"> v TP IOP</w:t>
      </w:r>
      <w:r w:rsidRPr="00FC5A82">
        <w:rPr>
          <w:sz w:val="22"/>
          <w:szCs w:val="22"/>
        </w:rPr>
        <w:t>, případně jsou zván</w:t>
      </w:r>
      <w:r>
        <w:rPr>
          <w:sz w:val="22"/>
          <w:szCs w:val="22"/>
        </w:rPr>
        <w:t>y</w:t>
      </w:r>
      <w:r w:rsidRPr="00FC5A82">
        <w:rPr>
          <w:sz w:val="22"/>
          <w:szCs w:val="22"/>
        </w:rPr>
        <w:t xml:space="preserve"> na školení pořádané </w:t>
      </w:r>
      <w:r>
        <w:rPr>
          <w:sz w:val="22"/>
          <w:szCs w:val="22"/>
        </w:rPr>
        <w:t>Ř</w:t>
      </w:r>
      <w:r w:rsidRPr="00FC5A82">
        <w:rPr>
          <w:sz w:val="22"/>
          <w:szCs w:val="22"/>
        </w:rPr>
        <w:t>ídícím orgánem</w:t>
      </w:r>
      <w:r>
        <w:rPr>
          <w:sz w:val="22"/>
          <w:szCs w:val="22"/>
        </w:rPr>
        <w:t xml:space="preserve"> IOP</w:t>
      </w:r>
      <w:r w:rsidRPr="00FC5A82">
        <w:rPr>
          <w:sz w:val="22"/>
          <w:szCs w:val="22"/>
        </w:rPr>
        <w:t>.</w:t>
      </w:r>
    </w:p>
    <w:p w:rsidR="00374B20" w:rsidRDefault="00374B20" w:rsidP="00374B20">
      <w:pPr>
        <w:autoSpaceDE w:val="0"/>
        <w:autoSpaceDN w:val="0"/>
        <w:adjustRightInd w:val="0"/>
        <w:jc w:val="both"/>
        <w:rPr>
          <w:sz w:val="22"/>
          <w:szCs w:val="22"/>
        </w:rPr>
      </w:pPr>
    </w:p>
    <w:p w:rsidR="00374B20" w:rsidRDefault="00374B20" w:rsidP="00374B20">
      <w:pPr>
        <w:pStyle w:val="Prosttext"/>
        <w:jc w:val="both"/>
        <w:rPr>
          <w:rFonts w:ascii="Times New Roman" w:hAnsi="Times New Roman"/>
          <w:sz w:val="22"/>
          <w:szCs w:val="22"/>
        </w:rPr>
      </w:pPr>
      <w:r w:rsidRPr="004B473A">
        <w:rPr>
          <w:rFonts w:ascii="Times New Roman" w:hAnsi="Times New Roman"/>
          <w:sz w:val="22"/>
          <w:szCs w:val="22"/>
        </w:rPr>
        <w:t>V roce 201</w:t>
      </w:r>
      <w:r>
        <w:rPr>
          <w:rFonts w:ascii="Times New Roman" w:hAnsi="Times New Roman"/>
          <w:sz w:val="22"/>
          <w:szCs w:val="22"/>
        </w:rPr>
        <w:t>4</w:t>
      </w:r>
      <w:r w:rsidRPr="004B473A">
        <w:rPr>
          <w:rFonts w:ascii="Times New Roman" w:hAnsi="Times New Roman"/>
          <w:sz w:val="22"/>
          <w:szCs w:val="22"/>
        </w:rPr>
        <w:t xml:space="preserve"> uspořádal ŘO IOP pro ZS </w:t>
      </w:r>
      <w:r>
        <w:rPr>
          <w:rFonts w:ascii="Times New Roman" w:hAnsi="Times New Roman"/>
          <w:sz w:val="22"/>
          <w:szCs w:val="22"/>
        </w:rPr>
        <w:t xml:space="preserve">12 </w:t>
      </w:r>
      <w:r w:rsidRPr="004B473A">
        <w:rPr>
          <w:rFonts w:ascii="Times New Roman" w:hAnsi="Times New Roman"/>
          <w:sz w:val="22"/>
          <w:szCs w:val="22"/>
        </w:rPr>
        <w:t xml:space="preserve">vzdělávacích akcí. Proškoleno v nich bylo </w:t>
      </w:r>
      <w:r>
        <w:rPr>
          <w:rFonts w:ascii="Times New Roman" w:hAnsi="Times New Roman"/>
          <w:sz w:val="22"/>
          <w:szCs w:val="22"/>
        </w:rPr>
        <w:t>105</w:t>
      </w:r>
      <w:r w:rsidRPr="004B473A">
        <w:rPr>
          <w:rFonts w:ascii="Times New Roman" w:hAnsi="Times New Roman"/>
          <w:sz w:val="22"/>
          <w:szCs w:val="22"/>
        </w:rPr>
        <w:t xml:space="preserve"> osob. Poměr proškolených osob k počtu pracovníků je uveden v následující tabulce. Pro přesnější kvantifikaci je uvedeno srovnání s rokem 201</w:t>
      </w:r>
      <w:r>
        <w:rPr>
          <w:rFonts w:ascii="Times New Roman" w:hAnsi="Times New Roman"/>
          <w:sz w:val="22"/>
          <w:szCs w:val="22"/>
        </w:rPr>
        <w:t>3</w:t>
      </w:r>
      <w:r w:rsidRPr="004B473A">
        <w:rPr>
          <w:rFonts w:ascii="Times New Roman" w:hAnsi="Times New Roman"/>
          <w:sz w:val="22"/>
          <w:szCs w:val="22"/>
        </w:rPr>
        <w:t xml:space="preserve">. </w:t>
      </w:r>
    </w:p>
    <w:p w:rsidR="00374B20" w:rsidRDefault="00374B20" w:rsidP="00374B20">
      <w:pPr>
        <w:pStyle w:val="Prosttext"/>
        <w:jc w:val="both"/>
        <w:rPr>
          <w:rFonts w:ascii="Times New Roman" w:hAnsi="Times New Roman"/>
          <w:sz w:val="22"/>
          <w:szCs w:val="22"/>
        </w:rPr>
      </w:pPr>
    </w:p>
    <w:p w:rsidR="00374B20" w:rsidRPr="00676A13" w:rsidRDefault="00374B20" w:rsidP="00D82005">
      <w:pPr>
        <w:pStyle w:val="Tabulkanzev"/>
      </w:pPr>
      <w:bookmarkStart w:id="301" w:name="_Toc416431879"/>
      <w:r w:rsidRPr="00F95266">
        <w:lastRenderedPageBreak/>
        <w:t>Poměr proškolených osob k počtu pracovníků – zprostředkující subjekty</w:t>
      </w:r>
      <w:bookmarkEnd w:id="301"/>
    </w:p>
    <w:tbl>
      <w:tblPr>
        <w:tblW w:w="9180"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0A0" w:firstRow="1" w:lastRow="0" w:firstColumn="1" w:lastColumn="0" w:noHBand="0" w:noVBand="0"/>
      </w:tblPr>
      <w:tblGrid>
        <w:gridCol w:w="3510"/>
        <w:gridCol w:w="1418"/>
        <w:gridCol w:w="1417"/>
        <w:gridCol w:w="1418"/>
        <w:gridCol w:w="1417"/>
      </w:tblGrid>
      <w:tr w:rsidR="00374B20" w:rsidRPr="00CC3793" w:rsidTr="00D1013E">
        <w:tc>
          <w:tcPr>
            <w:tcW w:w="3510" w:type="dxa"/>
            <w:vMerge w:val="restart"/>
            <w:shd w:val="clear" w:color="auto" w:fill="C2D69B" w:themeFill="accent3" w:themeFillTint="99"/>
            <w:vAlign w:val="center"/>
          </w:tcPr>
          <w:p w:rsidR="00374B20" w:rsidRPr="00D1013E" w:rsidRDefault="00374B20" w:rsidP="00D1013E">
            <w:pPr>
              <w:jc w:val="center"/>
              <w:rPr>
                <w:b/>
                <w:sz w:val="22"/>
                <w:szCs w:val="22"/>
              </w:rPr>
            </w:pPr>
            <w:r w:rsidRPr="00D1013E">
              <w:rPr>
                <w:b/>
                <w:sz w:val="22"/>
                <w:szCs w:val="22"/>
              </w:rPr>
              <w:t>Název zprostředkujícího subjektu</w:t>
            </w:r>
          </w:p>
        </w:tc>
        <w:tc>
          <w:tcPr>
            <w:tcW w:w="2835" w:type="dxa"/>
            <w:gridSpan w:val="2"/>
            <w:shd w:val="clear" w:color="auto" w:fill="C2D69B" w:themeFill="accent3" w:themeFillTint="99"/>
          </w:tcPr>
          <w:p w:rsidR="00374B20" w:rsidRPr="00D1013E" w:rsidRDefault="00374B20" w:rsidP="001E35AF">
            <w:pPr>
              <w:jc w:val="center"/>
              <w:rPr>
                <w:b/>
                <w:sz w:val="22"/>
                <w:szCs w:val="22"/>
              </w:rPr>
            </w:pPr>
            <w:r w:rsidRPr="00D1013E">
              <w:rPr>
                <w:b/>
                <w:sz w:val="22"/>
                <w:szCs w:val="22"/>
              </w:rPr>
              <w:t>Proškolených osob</w:t>
            </w:r>
          </w:p>
        </w:tc>
        <w:tc>
          <w:tcPr>
            <w:tcW w:w="2835" w:type="dxa"/>
            <w:gridSpan w:val="2"/>
            <w:shd w:val="clear" w:color="auto" w:fill="C2D69B" w:themeFill="accent3" w:themeFillTint="99"/>
          </w:tcPr>
          <w:p w:rsidR="00374B20" w:rsidRPr="00D1013E" w:rsidRDefault="00374B20" w:rsidP="001E35AF">
            <w:pPr>
              <w:jc w:val="center"/>
              <w:rPr>
                <w:b/>
                <w:sz w:val="22"/>
                <w:szCs w:val="22"/>
              </w:rPr>
            </w:pPr>
            <w:r w:rsidRPr="00D1013E">
              <w:rPr>
                <w:b/>
                <w:sz w:val="22"/>
                <w:szCs w:val="22"/>
              </w:rPr>
              <w:t>Počet pracovníků v ZS</w:t>
            </w:r>
          </w:p>
        </w:tc>
      </w:tr>
      <w:tr w:rsidR="00374B20" w:rsidRPr="00CC3793" w:rsidTr="00CC7080">
        <w:tc>
          <w:tcPr>
            <w:tcW w:w="3510" w:type="dxa"/>
            <w:vMerge/>
          </w:tcPr>
          <w:p w:rsidR="00374B20" w:rsidRPr="00D1013E" w:rsidRDefault="00374B20" w:rsidP="001E35AF">
            <w:pPr>
              <w:jc w:val="both"/>
              <w:rPr>
                <w:sz w:val="22"/>
                <w:szCs w:val="22"/>
              </w:rPr>
            </w:pPr>
          </w:p>
        </w:tc>
        <w:tc>
          <w:tcPr>
            <w:tcW w:w="1418" w:type="dxa"/>
            <w:shd w:val="clear" w:color="auto" w:fill="D9D9D9" w:themeFill="background1" w:themeFillShade="D9"/>
          </w:tcPr>
          <w:p w:rsidR="00374B20" w:rsidRPr="00D1013E" w:rsidRDefault="00374B20" w:rsidP="001E35AF">
            <w:pPr>
              <w:jc w:val="center"/>
              <w:rPr>
                <w:b/>
                <w:sz w:val="22"/>
                <w:szCs w:val="22"/>
              </w:rPr>
            </w:pPr>
            <w:r w:rsidRPr="00D1013E">
              <w:rPr>
                <w:b/>
                <w:sz w:val="22"/>
                <w:szCs w:val="22"/>
              </w:rPr>
              <w:t>2013</w:t>
            </w:r>
          </w:p>
        </w:tc>
        <w:tc>
          <w:tcPr>
            <w:tcW w:w="1417" w:type="dxa"/>
            <w:shd w:val="clear" w:color="auto" w:fill="D9D9D9" w:themeFill="background1" w:themeFillShade="D9"/>
          </w:tcPr>
          <w:p w:rsidR="00374B20" w:rsidRPr="00D1013E" w:rsidRDefault="00374B20" w:rsidP="001E35AF">
            <w:pPr>
              <w:jc w:val="center"/>
              <w:rPr>
                <w:b/>
                <w:sz w:val="22"/>
                <w:szCs w:val="22"/>
              </w:rPr>
            </w:pPr>
            <w:r w:rsidRPr="00D1013E">
              <w:rPr>
                <w:b/>
                <w:sz w:val="22"/>
                <w:szCs w:val="22"/>
              </w:rPr>
              <w:t>2014</w:t>
            </w:r>
          </w:p>
        </w:tc>
        <w:tc>
          <w:tcPr>
            <w:tcW w:w="1418" w:type="dxa"/>
            <w:shd w:val="clear" w:color="auto" w:fill="D9D9D9" w:themeFill="background1" w:themeFillShade="D9"/>
          </w:tcPr>
          <w:p w:rsidR="00374B20" w:rsidRPr="00D1013E" w:rsidRDefault="00374B20" w:rsidP="001E35AF">
            <w:pPr>
              <w:jc w:val="center"/>
              <w:rPr>
                <w:b/>
                <w:sz w:val="22"/>
                <w:szCs w:val="22"/>
              </w:rPr>
            </w:pPr>
            <w:r w:rsidRPr="00D1013E">
              <w:rPr>
                <w:b/>
                <w:sz w:val="22"/>
                <w:szCs w:val="22"/>
              </w:rPr>
              <w:t>2013</w:t>
            </w:r>
          </w:p>
        </w:tc>
        <w:tc>
          <w:tcPr>
            <w:tcW w:w="1417" w:type="dxa"/>
            <w:shd w:val="clear" w:color="auto" w:fill="D9D9D9" w:themeFill="background1" w:themeFillShade="D9"/>
          </w:tcPr>
          <w:p w:rsidR="00374B20" w:rsidRPr="00D1013E" w:rsidRDefault="00374B20" w:rsidP="001E35AF">
            <w:pPr>
              <w:jc w:val="center"/>
              <w:rPr>
                <w:b/>
                <w:sz w:val="22"/>
                <w:szCs w:val="22"/>
              </w:rPr>
            </w:pPr>
            <w:r w:rsidRPr="00D1013E">
              <w:rPr>
                <w:b/>
                <w:sz w:val="22"/>
                <w:szCs w:val="22"/>
              </w:rPr>
              <w:t>2014</w:t>
            </w:r>
          </w:p>
        </w:tc>
      </w:tr>
      <w:tr w:rsidR="00374B20" w:rsidRPr="00CC3793" w:rsidTr="00D1013E">
        <w:tc>
          <w:tcPr>
            <w:tcW w:w="3510" w:type="dxa"/>
          </w:tcPr>
          <w:p w:rsidR="00374B20" w:rsidRPr="00D1013E" w:rsidRDefault="00374B20" w:rsidP="001E35AF">
            <w:pPr>
              <w:jc w:val="both"/>
              <w:rPr>
                <w:sz w:val="22"/>
                <w:szCs w:val="22"/>
              </w:rPr>
            </w:pPr>
            <w:r w:rsidRPr="00D1013E">
              <w:rPr>
                <w:sz w:val="22"/>
                <w:szCs w:val="22"/>
              </w:rPr>
              <w:t>Ministerstvo zdravotnictví</w:t>
            </w:r>
          </w:p>
        </w:tc>
        <w:tc>
          <w:tcPr>
            <w:tcW w:w="1418" w:type="dxa"/>
          </w:tcPr>
          <w:p w:rsidR="00374B20" w:rsidRPr="00D1013E" w:rsidRDefault="00374B20" w:rsidP="001E35AF">
            <w:pPr>
              <w:jc w:val="center"/>
              <w:rPr>
                <w:sz w:val="22"/>
                <w:szCs w:val="22"/>
              </w:rPr>
            </w:pPr>
            <w:r w:rsidRPr="00D1013E">
              <w:rPr>
                <w:sz w:val="22"/>
                <w:szCs w:val="22"/>
              </w:rPr>
              <w:t>12</w:t>
            </w:r>
          </w:p>
        </w:tc>
        <w:tc>
          <w:tcPr>
            <w:tcW w:w="1417" w:type="dxa"/>
          </w:tcPr>
          <w:p w:rsidR="00374B20" w:rsidRPr="00D1013E" w:rsidRDefault="00374B20" w:rsidP="001E35AF">
            <w:pPr>
              <w:jc w:val="center"/>
              <w:rPr>
                <w:sz w:val="22"/>
                <w:szCs w:val="22"/>
              </w:rPr>
            </w:pPr>
            <w:r w:rsidRPr="00D1013E">
              <w:rPr>
                <w:sz w:val="22"/>
                <w:szCs w:val="22"/>
              </w:rPr>
              <w:t>17</w:t>
            </w:r>
          </w:p>
        </w:tc>
        <w:tc>
          <w:tcPr>
            <w:tcW w:w="1418" w:type="dxa"/>
            <w:vAlign w:val="center"/>
          </w:tcPr>
          <w:p w:rsidR="00374B20" w:rsidRPr="00D1013E" w:rsidRDefault="00374B20" w:rsidP="00D1013E">
            <w:pPr>
              <w:jc w:val="center"/>
              <w:rPr>
                <w:sz w:val="22"/>
                <w:szCs w:val="22"/>
              </w:rPr>
            </w:pPr>
            <w:r w:rsidRPr="00D1013E">
              <w:rPr>
                <w:sz w:val="22"/>
                <w:szCs w:val="22"/>
              </w:rPr>
              <w:t>24,00</w:t>
            </w:r>
          </w:p>
        </w:tc>
        <w:tc>
          <w:tcPr>
            <w:tcW w:w="1417" w:type="dxa"/>
          </w:tcPr>
          <w:p w:rsidR="00374B20" w:rsidRPr="00D1013E" w:rsidRDefault="00374B20" w:rsidP="001E35AF">
            <w:pPr>
              <w:jc w:val="center"/>
              <w:rPr>
                <w:sz w:val="22"/>
                <w:szCs w:val="22"/>
              </w:rPr>
            </w:pPr>
            <w:r w:rsidRPr="00D1013E">
              <w:rPr>
                <w:sz w:val="22"/>
                <w:szCs w:val="22"/>
              </w:rPr>
              <w:t>22,00</w:t>
            </w:r>
          </w:p>
        </w:tc>
      </w:tr>
      <w:tr w:rsidR="00374B20" w:rsidRPr="00CC3793" w:rsidTr="00D1013E">
        <w:tc>
          <w:tcPr>
            <w:tcW w:w="3510" w:type="dxa"/>
          </w:tcPr>
          <w:p w:rsidR="00374B20" w:rsidRPr="00D1013E" w:rsidRDefault="00374B20" w:rsidP="001E35AF">
            <w:pPr>
              <w:jc w:val="both"/>
              <w:rPr>
                <w:sz w:val="22"/>
                <w:szCs w:val="22"/>
              </w:rPr>
            </w:pPr>
            <w:r w:rsidRPr="00D1013E">
              <w:rPr>
                <w:sz w:val="22"/>
                <w:szCs w:val="22"/>
              </w:rPr>
              <w:t>Ministerstvo práce a sociálních věcí</w:t>
            </w:r>
          </w:p>
        </w:tc>
        <w:tc>
          <w:tcPr>
            <w:tcW w:w="1418" w:type="dxa"/>
          </w:tcPr>
          <w:p w:rsidR="00374B20" w:rsidRPr="00D1013E" w:rsidRDefault="00374B20" w:rsidP="001E35AF">
            <w:pPr>
              <w:jc w:val="center"/>
              <w:rPr>
                <w:sz w:val="22"/>
                <w:szCs w:val="22"/>
              </w:rPr>
            </w:pPr>
            <w:r w:rsidRPr="00D1013E">
              <w:rPr>
                <w:sz w:val="22"/>
                <w:szCs w:val="22"/>
              </w:rPr>
              <w:t>13</w:t>
            </w:r>
          </w:p>
        </w:tc>
        <w:tc>
          <w:tcPr>
            <w:tcW w:w="1417" w:type="dxa"/>
          </w:tcPr>
          <w:p w:rsidR="00374B20" w:rsidRPr="00D1013E" w:rsidRDefault="00374B20" w:rsidP="001E35AF">
            <w:pPr>
              <w:jc w:val="center"/>
              <w:rPr>
                <w:sz w:val="22"/>
                <w:szCs w:val="22"/>
              </w:rPr>
            </w:pPr>
            <w:r w:rsidRPr="00D1013E">
              <w:rPr>
                <w:sz w:val="22"/>
                <w:szCs w:val="22"/>
              </w:rPr>
              <w:t>24</w:t>
            </w:r>
          </w:p>
        </w:tc>
        <w:tc>
          <w:tcPr>
            <w:tcW w:w="1418" w:type="dxa"/>
            <w:vAlign w:val="center"/>
          </w:tcPr>
          <w:p w:rsidR="00374B20" w:rsidRPr="00D1013E" w:rsidRDefault="00374B20" w:rsidP="00D1013E">
            <w:pPr>
              <w:jc w:val="center"/>
              <w:rPr>
                <w:sz w:val="22"/>
                <w:szCs w:val="22"/>
              </w:rPr>
            </w:pPr>
            <w:r w:rsidRPr="00D1013E">
              <w:rPr>
                <w:sz w:val="22"/>
                <w:szCs w:val="22"/>
              </w:rPr>
              <w:t>21,61</w:t>
            </w:r>
          </w:p>
        </w:tc>
        <w:tc>
          <w:tcPr>
            <w:tcW w:w="1417" w:type="dxa"/>
          </w:tcPr>
          <w:p w:rsidR="00374B20" w:rsidRPr="00D1013E" w:rsidRDefault="00374B20" w:rsidP="001E35AF">
            <w:pPr>
              <w:jc w:val="center"/>
              <w:rPr>
                <w:sz w:val="22"/>
                <w:szCs w:val="22"/>
              </w:rPr>
            </w:pPr>
            <w:r w:rsidRPr="00D1013E">
              <w:rPr>
                <w:sz w:val="22"/>
                <w:szCs w:val="22"/>
              </w:rPr>
              <w:t>20,40</w:t>
            </w:r>
          </w:p>
        </w:tc>
      </w:tr>
      <w:tr w:rsidR="00374B20" w:rsidRPr="00CC3793" w:rsidTr="00D1013E">
        <w:tc>
          <w:tcPr>
            <w:tcW w:w="3510" w:type="dxa"/>
          </w:tcPr>
          <w:p w:rsidR="00374B20" w:rsidRPr="00D1013E" w:rsidRDefault="00374B20" w:rsidP="001E35AF">
            <w:pPr>
              <w:jc w:val="both"/>
              <w:rPr>
                <w:sz w:val="22"/>
                <w:szCs w:val="22"/>
              </w:rPr>
            </w:pPr>
            <w:r w:rsidRPr="00D1013E">
              <w:rPr>
                <w:sz w:val="22"/>
                <w:szCs w:val="22"/>
              </w:rPr>
              <w:t>Ministerstvo kultury</w:t>
            </w:r>
          </w:p>
        </w:tc>
        <w:tc>
          <w:tcPr>
            <w:tcW w:w="1418" w:type="dxa"/>
          </w:tcPr>
          <w:p w:rsidR="00374B20" w:rsidRPr="00D1013E" w:rsidRDefault="00374B20" w:rsidP="001E35AF">
            <w:pPr>
              <w:jc w:val="center"/>
              <w:rPr>
                <w:sz w:val="22"/>
                <w:szCs w:val="22"/>
              </w:rPr>
            </w:pPr>
            <w:r w:rsidRPr="00D1013E">
              <w:rPr>
                <w:sz w:val="22"/>
                <w:szCs w:val="22"/>
              </w:rPr>
              <w:t>6</w:t>
            </w:r>
          </w:p>
        </w:tc>
        <w:tc>
          <w:tcPr>
            <w:tcW w:w="1417" w:type="dxa"/>
          </w:tcPr>
          <w:p w:rsidR="00374B20" w:rsidRPr="00D1013E" w:rsidRDefault="00374B20" w:rsidP="001E35AF">
            <w:pPr>
              <w:jc w:val="center"/>
              <w:rPr>
                <w:sz w:val="22"/>
                <w:szCs w:val="22"/>
              </w:rPr>
            </w:pPr>
            <w:r w:rsidRPr="00D1013E">
              <w:rPr>
                <w:sz w:val="22"/>
                <w:szCs w:val="22"/>
              </w:rPr>
              <w:t>0</w:t>
            </w:r>
          </w:p>
        </w:tc>
        <w:tc>
          <w:tcPr>
            <w:tcW w:w="1418" w:type="dxa"/>
            <w:vAlign w:val="center"/>
          </w:tcPr>
          <w:p w:rsidR="00374B20" w:rsidRPr="00D1013E" w:rsidRDefault="00D1013E" w:rsidP="00D1013E">
            <w:pPr>
              <w:jc w:val="center"/>
              <w:rPr>
                <w:sz w:val="22"/>
                <w:szCs w:val="22"/>
              </w:rPr>
            </w:pPr>
            <w:r>
              <w:rPr>
                <w:sz w:val="22"/>
                <w:szCs w:val="22"/>
              </w:rPr>
              <w:t xml:space="preserve">   </w:t>
            </w:r>
            <w:r w:rsidR="00374B20" w:rsidRPr="00D1013E">
              <w:rPr>
                <w:sz w:val="22"/>
                <w:szCs w:val="22"/>
              </w:rPr>
              <w:t>15,75</w:t>
            </w:r>
            <w:r w:rsidR="00374B20" w:rsidRPr="00D1013E">
              <w:rPr>
                <w:rStyle w:val="Znakapoznpodarou"/>
                <w:sz w:val="22"/>
                <w:szCs w:val="22"/>
              </w:rPr>
              <w:footnoteReference w:id="12"/>
            </w:r>
          </w:p>
        </w:tc>
        <w:tc>
          <w:tcPr>
            <w:tcW w:w="1417" w:type="dxa"/>
          </w:tcPr>
          <w:p w:rsidR="00374B20" w:rsidRPr="00D1013E" w:rsidRDefault="00D1013E" w:rsidP="001E35AF">
            <w:pPr>
              <w:jc w:val="center"/>
              <w:rPr>
                <w:sz w:val="22"/>
                <w:szCs w:val="22"/>
              </w:rPr>
            </w:pPr>
            <w:r>
              <w:rPr>
                <w:sz w:val="22"/>
                <w:szCs w:val="22"/>
              </w:rPr>
              <w:t xml:space="preserve">  </w:t>
            </w:r>
            <w:r w:rsidR="00374B20" w:rsidRPr="00D1013E">
              <w:rPr>
                <w:sz w:val="22"/>
                <w:szCs w:val="22"/>
              </w:rPr>
              <w:t>0,00</w:t>
            </w:r>
          </w:p>
        </w:tc>
      </w:tr>
      <w:tr w:rsidR="00374B20" w:rsidRPr="00CC3793" w:rsidTr="00D1013E">
        <w:trPr>
          <w:trHeight w:val="126"/>
        </w:trPr>
        <w:tc>
          <w:tcPr>
            <w:tcW w:w="3510" w:type="dxa"/>
          </w:tcPr>
          <w:p w:rsidR="00374B20" w:rsidRPr="00D1013E" w:rsidRDefault="00374B20" w:rsidP="001E35AF">
            <w:pPr>
              <w:jc w:val="both"/>
              <w:rPr>
                <w:sz w:val="22"/>
                <w:szCs w:val="22"/>
              </w:rPr>
            </w:pPr>
            <w:r w:rsidRPr="00D1013E">
              <w:rPr>
                <w:sz w:val="22"/>
                <w:szCs w:val="22"/>
              </w:rPr>
              <w:t>Ministerstvo vnitra</w:t>
            </w:r>
          </w:p>
        </w:tc>
        <w:tc>
          <w:tcPr>
            <w:tcW w:w="1418" w:type="dxa"/>
          </w:tcPr>
          <w:p w:rsidR="00374B20" w:rsidRPr="00D1013E" w:rsidRDefault="00374B20" w:rsidP="001E35AF">
            <w:pPr>
              <w:jc w:val="center"/>
              <w:rPr>
                <w:sz w:val="22"/>
                <w:szCs w:val="22"/>
              </w:rPr>
            </w:pPr>
            <w:r w:rsidRPr="00D1013E">
              <w:rPr>
                <w:sz w:val="22"/>
                <w:szCs w:val="22"/>
              </w:rPr>
              <w:t>11</w:t>
            </w:r>
          </w:p>
        </w:tc>
        <w:tc>
          <w:tcPr>
            <w:tcW w:w="1417" w:type="dxa"/>
          </w:tcPr>
          <w:p w:rsidR="00374B20" w:rsidRPr="00D1013E" w:rsidRDefault="00374B20" w:rsidP="001E35AF">
            <w:pPr>
              <w:jc w:val="center"/>
              <w:rPr>
                <w:sz w:val="22"/>
                <w:szCs w:val="22"/>
              </w:rPr>
            </w:pPr>
            <w:r w:rsidRPr="00D1013E">
              <w:rPr>
                <w:sz w:val="22"/>
                <w:szCs w:val="22"/>
              </w:rPr>
              <w:t>23</w:t>
            </w:r>
          </w:p>
        </w:tc>
        <w:tc>
          <w:tcPr>
            <w:tcW w:w="1418" w:type="dxa"/>
            <w:vAlign w:val="center"/>
          </w:tcPr>
          <w:p w:rsidR="00374B20" w:rsidRPr="00D1013E" w:rsidRDefault="00374B20" w:rsidP="00D1013E">
            <w:pPr>
              <w:jc w:val="center"/>
              <w:rPr>
                <w:sz w:val="22"/>
                <w:szCs w:val="22"/>
              </w:rPr>
            </w:pPr>
            <w:r w:rsidRPr="00D1013E">
              <w:rPr>
                <w:sz w:val="22"/>
                <w:szCs w:val="22"/>
              </w:rPr>
              <w:t>22,23</w:t>
            </w:r>
          </w:p>
        </w:tc>
        <w:tc>
          <w:tcPr>
            <w:tcW w:w="1417" w:type="dxa"/>
          </w:tcPr>
          <w:p w:rsidR="00374B20" w:rsidRPr="00D1013E" w:rsidRDefault="00374B20" w:rsidP="001E35AF">
            <w:pPr>
              <w:jc w:val="center"/>
              <w:rPr>
                <w:sz w:val="22"/>
                <w:szCs w:val="22"/>
              </w:rPr>
            </w:pPr>
            <w:r w:rsidRPr="00D1013E">
              <w:rPr>
                <w:sz w:val="22"/>
                <w:szCs w:val="22"/>
              </w:rPr>
              <w:t>24,68</w:t>
            </w:r>
          </w:p>
        </w:tc>
      </w:tr>
      <w:tr w:rsidR="00374B20" w:rsidRPr="00CC3793" w:rsidTr="00D1013E">
        <w:trPr>
          <w:trHeight w:val="126"/>
        </w:trPr>
        <w:tc>
          <w:tcPr>
            <w:tcW w:w="3510" w:type="dxa"/>
          </w:tcPr>
          <w:p w:rsidR="00374B20" w:rsidRPr="00D1013E" w:rsidRDefault="00374B20" w:rsidP="001E35AF">
            <w:pPr>
              <w:jc w:val="both"/>
              <w:rPr>
                <w:sz w:val="22"/>
                <w:szCs w:val="22"/>
              </w:rPr>
            </w:pPr>
            <w:r w:rsidRPr="00D1013E">
              <w:rPr>
                <w:sz w:val="22"/>
                <w:szCs w:val="22"/>
              </w:rPr>
              <w:t xml:space="preserve">Centrum pro regionální rozvoj </w:t>
            </w:r>
          </w:p>
        </w:tc>
        <w:tc>
          <w:tcPr>
            <w:tcW w:w="1418" w:type="dxa"/>
          </w:tcPr>
          <w:p w:rsidR="00374B20" w:rsidRPr="00D1013E" w:rsidRDefault="00374B20" w:rsidP="001E35AF">
            <w:pPr>
              <w:jc w:val="center"/>
              <w:rPr>
                <w:sz w:val="22"/>
                <w:szCs w:val="22"/>
              </w:rPr>
            </w:pPr>
            <w:r w:rsidRPr="00D1013E">
              <w:rPr>
                <w:sz w:val="22"/>
                <w:szCs w:val="22"/>
              </w:rPr>
              <w:t>21</w:t>
            </w:r>
          </w:p>
        </w:tc>
        <w:tc>
          <w:tcPr>
            <w:tcW w:w="1417" w:type="dxa"/>
          </w:tcPr>
          <w:p w:rsidR="00374B20" w:rsidRPr="00D1013E" w:rsidRDefault="00374B20" w:rsidP="001E35AF">
            <w:pPr>
              <w:jc w:val="center"/>
              <w:rPr>
                <w:sz w:val="22"/>
                <w:szCs w:val="22"/>
              </w:rPr>
            </w:pPr>
            <w:r w:rsidRPr="00D1013E">
              <w:rPr>
                <w:sz w:val="22"/>
                <w:szCs w:val="22"/>
              </w:rPr>
              <w:t>41</w:t>
            </w:r>
          </w:p>
        </w:tc>
        <w:tc>
          <w:tcPr>
            <w:tcW w:w="1418" w:type="dxa"/>
            <w:vAlign w:val="center"/>
          </w:tcPr>
          <w:p w:rsidR="00374B20" w:rsidRPr="00D1013E" w:rsidRDefault="00374B20" w:rsidP="00D1013E">
            <w:pPr>
              <w:jc w:val="center"/>
              <w:rPr>
                <w:sz w:val="22"/>
                <w:szCs w:val="22"/>
              </w:rPr>
            </w:pPr>
            <w:r w:rsidRPr="00D1013E">
              <w:rPr>
                <w:sz w:val="22"/>
                <w:szCs w:val="22"/>
              </w:rPr>
              <w:t>46,76</w:t>
            </w:r>
          </w:p>
        </w:tc>
        <w:tc>
          <w:tcPr>
            <w:tcW w:w="1417" w:type="dxa"/>
          </w:tcPr>
          <w:p w:rsidR="00374B20" w:rsidRPr="00D1013E" w:rsidRDefault="00374B20" w:rsidP="001E35AF">
            <w:pPr>
              <w:jc w:val="center"/>
              <w:rPr>
                <w:sz w:val="22"/>
                <w:szCs w:val="22"/>
              </w:rPr>
            </w:pPr>
            <w:r w:rsidRPr="00D1013E">
              <w:rPr>
                <w:sz w:val="22"/>
                <w:szCs w:val="22"/>
              </w:rPr>
              <w:t>56,00</w:t>
            </w:r>
          </w:p>
        </w:tc>
      </w:tr>
    </w:tbl>
    <w:p w:rsidR="00374B20" w:rsidRPr="00D1013E" w:rsidRDefault="00374B20" w:rsidP="00374B20">
      <w:pPr>
        <w:rPr>
          <w:i/>
          <w:sz w:val="18"/>
          <w:szCs w:val="18"/>
        </w:rPr>
      </w:pPr>
      <w:r w:rsidRPr="00D1013E">
        <w:rPr>
          <w:i/>
          <w:sz w:val="18"/>
          <w:szCs w:val="18"/>
        </w:rPr>
        <w:t>Zdroj: ŘO IOP</w:t>
      </w:r>
    </w:p>
    <w:p w:rsidR="00374B20" w:rsidRDefault="00374B20" w:rsidP="00374B20">
      <w:pPr>
        <w:jc w:val="center"/>
        <w:rPr>
          <w:smallCaps/>
        </w:rPr>
      </w:pPr>
    </w:p>
    <w:p w:rsidR="00D1013E" w:rsidRDefault="00D1013E" w:rsidP="00374B20">
      <w:pPr>
        <w:jc w:val="center"/>
        <w:rPr>
          <w:b/>
          <w:szCs w:val="24"/>
        </w:rPr>
      </w:pPr>
    </w:p>
    <w:p w:rsidR="00374B20" w:rsidRDefault="00374B20" w:rsidP="00374B20">
      <w:pPr>
        <w:jc w:val="center"/>
        <w:rPr>
          <w:b/>
          <w:szCs w:val="24"/>
        </w:rPr>
      </w:pPr>
    </w:p>
    <w:p w:rsidR="00374B20" w:rsidRPr="005E0D84" w:rsidRDefault="00374B20" w:rsidP="00CD74C0">
      <w:pPr>
        <w:pStyle w:val="Graf"/>
      </w:pPr>
      <w:bookmarkStart w:id="302" w:name="_Toc414865578"/>
      <w:r w:rsidRPr="005E0D84">
        <w:t>Přehled tematických oblastí vzdělávání ŘO IOP pro ZS IOP v roce 2014</w:t>
      </w:r>
      <w:bookmarkEnd w:id="302"/>
    </w:p>
    <w:p w:rsidR="00374B20" w:rsidRPr="00F6671D" w:rsidRDefault="00374B20" w:rsidP="00374B20">
      <w:pPr>
        <w:ind w:right="-144"/>
        <w:jc w:val="center"/>
      </w:pPr>
      <w:r w:rsidRPr="00380133">
        <w:rPr>
          <w:rFonts w:asciiTheme="minorHAnsi" w:hAnsiTheme="minorHAnsi"/>
          <w:noProof/>
        </w:rPr>
        <w:drawing>
          <wp:inline distT="0" distB="0" distL="0" distR="0" wp14:anchorId="1826142B" wp14:editId="07E07F21">
            <wp:extent cx="5886450" cy="2409825"/>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74B20" w:rsidRPr="00380133" w:rsidRDefault="00374B20" w:rsidP="00444877">
      <w:pPr>
        <w:autoSpaceDE w:val="0"/>
        <w:autoSpaceDN w:val="0"/>
        <w:adjustRightInd w:val="0"/>
        <w:jc w:val="both"/>
        <w:rPr>
          <w:b/>
          <w:i/>
          <w:sz w:val="18"/>
          <w:szCs w:val="18"/>
        </w:rPr>
      </w:pPr>
      <w:r w:rsidRPr="00380133">
        <w:rPr>
          <w:b/>
          <w:i/>
          <w:sz w:val="18"/>
          <w:szCs w:val="18"/>
        </w:rPr>
        <w:t>Pozn.: zelená barva - nejvyšší počet školení</w:t>
      </w:r>
    </w:p>
    <w:p w:rsidR="00374B20" w:rsidRPr="00F6671D" w:rsidRDefault="00374B20" w:rsidP="00444877">
      <w:pPr>
        <w:rPr>
          <w:i/>
          <w:sz w:val="18"/>
          <w:szCs w:val="18"/>
        </w:rPr>
      </w:pPr>
      <w:r>
        <w:rPr>
          <w:i/>
          <w:sz w:val="18"/>
          <w:szCs w:val="18"/>
        </w:rPr>
        <w:t xml:space="preserve"> </w:t>
      </w:r>
      <w:r w:rsidRPr="00F6671D">
        <w:rPr>
          <w:i/>
          <w:sz w:val="18"/>
          <w:szCs w:val="18"/>
        </w:rPr>
        <w:t>Zdroj: ŘO IOP</w:t>
      </w:r>
    </w:p>
    <w:p w:rsidR="00374B20" w:rsidRDefault="00374B20" w:rsidP="005C768F">
      <w:pPr>
        <w:autoSpaceDE w:val="0"/>
        <w:autoSpaceDN w:val="0"/>
        <w:adjustRightInd w:val="0"/>
        <w:jc w:val="both"/>
        <w:rPr>
          <w:i/>
          <w:sz w:val="18"/>
          <w:szCs w:val="18"/>
        </w:rPr>
      </w:pPr>
    </w:p>
    <w:p w:rsidR="00374B20" w:rsidRDefault="00374B20" w:rsidP="005C768F">
      <w:pPr>
        <w:autoSpaceDE w:val="0"/>
        <w:autoSpaceDN w:val="0"/>
        <w:adjustRightInd w:val="0"/>
        <w:jc w:val="both"/>
        <w:rPr>
          <w:i/>
          <w:sz w:val="18"/>
          <w:szCs w:val="18"/>
        </w:rPr>
      </w:pPr>
    </w:p>
    <w:p w:rsidR="0015228C" w:rsidRDefault="0015228C" w:rsidP="0015228C"/>
    <w:p w:rsidR="007F4BD6" w:rsidRDefault="007F4BD6" w:rsidP="0015228C"/>
    <w:p w:rsidR="007F4BD6" w:rsidRDefault="007F4BD6" w:rsidP="0015228C"/>
    <w:p w:rsidR="007F4BD6" w:rsidRDefault="007F4BD6" w:rsidP="0015228C"/>
    <w:p w:rsidR="00CC7080" w:rsidRDefault="00CC7080" w:rsidP="0015228C"/>
    <w:p w:rsidR="00CC7080" w:rsidRDefault="00CC7080"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207DC8" w:rsidRDefault="00207DC8" w:rsidP="0015228C"/>
    <w:p w:rsidR="00CC7080" w:rsidRDefault="00CC7080" w:rsidP="0015228C"/>
    <w:p w:rsidR="00A75862" w:rsidRPr="002C7CDB" w:rsidRDefault="00A75862" w:rsidP="00415226">
      <w:pPr>
        <w:pStyle w:val="Nadpis1"/>
        <w:spacing w:before="0" w:after="0"/>
        <w:rPr>
          <w:rFonts w:ascii="Times New Roman" w:hAnsi="Times New Roman"/>
          <w:sz w:val="28"/>
          <w:szCs w:val="28"/>
        </w:rPr>
      </w:pPr>
      <w:bookmarkStart w:id="303" w:name="_Toc417024909"/>
      <w:r w:rsidRPr="002C7CDB">
        <w:rPr>
          <w:rFonts w:ascii="Times New Roman" w:hAnsi="Times New Roman"/>
          <w:b w:val="0"/>
          <w:bCs w:val="0"/>
          <w:sz w:val="28"/>
          <w:szCs w:val="28"/>
        </w:rPr>
        <w:lastRenderedPageBreak/>
        <w:t>SEZNAM ZKRATEK</w:t>
      </w:r>
      <w:bookmarkEnd w:id="303"/>
    </w:p>
    <w:tbl>
      <w:tblPr>
        <w:tblW w:w="9356"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1717"/>
        <w:gridCol w:w="7639"/>
      </w:tblGrid>
      <w:tr w:rsidR="005128E9" w:rsidRPr="00426689" w:rsidTr="00CA6927">
        <w:trPr>
          <w:trHeight w:hRule="exact" w:val="454"/>
          <w:tblHeader/>
          <w:jc w:val="center"/>
        </w:trPr>
        <w:tc>
          <w:tcPr>
            <w:tcW w:w="1717" w:type="dxa"/>
            <w:tcBorders>
              <w:top w:val="double" w:sz="4" w:space="0" w:color="4F6228"/>
              <w:left w:val="double" w:sz="4" w:space="0" w:color="4F6228"/>
              <w:bottom w:val="single" w:sz="6" w:space="0" w:color="4F6228"/>
              <w:right w:val="single" w:sz="6" w:space="0" w:color="4F6228"/>
            </w:tcBorders>
            <w:shd w:val="clear" w:color="auto" w:fill="D6E3BC" w:themeFill="accent3" w:themeFillTint="66"/>
            <w:vAlign w:val="center"/>
          </w:tcPr>
          <w:p w:rsidR="005128E9" w:rsidRPr="0039431F" w:rsidRDefault="005128E9" w:rsidP="002C7CDB">
            <w:pPr>
              <w:pStyle w:val="Seznam2"/>
              <w:ind w:left="0" w:firstLine="0"/>
              <w:jc w:val="center"/>
              <w:rPr>
                <w:b/>
                <w:sz w:val="22"/>
                <w:szCs w:val="22"/>
              </w:rPr>
            </w:pPr>
            <w:r w:rsidRPr="0039431F">
              <w:rPr>
                <w:b/>
                <w:sz w:val="22"/>
                <w:szCs w:val="22"/>
              </w:rPr>
              <w:t>Zkratka</w:t>
            </w:r>
          </w:p>
        </w:tc>
        <w:tc>
          <w:tcPr>
            <w:tcW w:w="7639" w:type="dxa"/>
            <w:tcBorders>
              <w:top w:val="double" w:sz="4" w:space="0" w:color="4F6228"/>
              <w:left w:val="single" w:sz="6" w:space="0" w:color="4F6228"/>
              <w:bottom w:val="single" w:sz="6" w:space="0" w:color="4F6228"/>
              <w:right w:val="double" w:sz="4" w:space="0" w:color="4F6228"/>
            </w:tcBorders>
            <w:shd w:val="clear" w:color="auto" w:fill="D6E3BC" w:themeFill="accent3" w:themeFillTint="66"/>
            <w:vAlign w:val="center"/>
          </w:tcPr>
          <w:p w:rsidR="005128E9" w:rsidRPr="0039431F" w:rsidRDefault="005128E9" w:rsidP="002C7CDB">
            <w:pPr>
              <w:pStyle w:val="Seznam2"/>
              <w:ind w:left="0" w:firstLine="0"/>
              <w:rPr>
                <w:b/>
                <w:sz w:val="22"/>
                <w:szCs w:val="22"/>
              </w:rPr>
            </w:pPr>
            <w:r w:rsidRPr="0039431F">
              <w:rPr>
                <w:b/>
                <w:sz w:val="22"/>
                <w:szCs w:val="22"/>
              </w:rPr>
              <w:t>Plný název</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pStyle w:val="Seznam2"/>
              <w:ind w:left="0" w:firstLine="0"/>
              <w:jc w:val="center"/>
              <w:rPr>
                <w:sz w:val="22"/>
                <w:szCs w:val="22"/>
              </w:rPr>
            </w:pPr>
            <w:r w:rsidRPr="0039431F">
              <w:rPr>
                <w:sz w:val="22"/>
                <w:szCs w:val="22"/>
              </w:rPr>
              <w:t>AK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 xml:space="preserve">Asociace krajů </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AO</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F25198" w:rsidP="002C7CDB">
            <w:pPr>
              <w:pStyle w:val="Seznam2"/>
              <w:ind w:left="0" w:firstLine="0"/>
              <w:rPr>
                <w:sz w:val="22"/>
                <w:szCs w:val="22"/>
              </w:rPr>
            </w:pPr>
            <w:r w:rsidRPr="0039431F">
              <w:rPr>
                <w:sz w:val="22"/>
                <w:szCs w:val="22"/>
              </w:rPr>
              <w:t>Auditní orgán</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CR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Cestovní ruch</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CRR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 xml:space="preserve">Centrum pro regionální rozvoj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proofErr w:type="spellStart"/>
            <w:r w:rsidRPr="0039431F">
              <w:rPr>
                <w:sz w:val="22"/>
                <w:szCs w:val="22"/>
              </w:rPr>
              <w:t>CzT</w:t>
            </w:r>
            <w:proofErr w:type="spellEnd"/>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proofErr w:type="spellStart"/>
            <w:r w:rsidRPr="0039431F">
              <w:rPr>
                <w:sz w:val="22"/>
                <w:szCs w:val="22"/>
              </w:rPr>
              <w:t>CzechTourism</w:t>
            </w:r>
            <w:proofErr w:type="spellEnd"/>
          </w:p>
        </w:tc>
      </w:tr>
      <w:tr w:rsidR="00B6522E"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B6522E" w:rsidRPr="0039431F" w:rsidRDefault="00B6522E" w:rsidP="002C7CDB">
            <w:pPr>
              <w:autoSpaceDE w:val="0"/>
              <w:autoSpaceDN w:val="0"/>
              <w:adjustRightInd w:val="0"/>
              <w:jc w:val="center"/>
              <w:rPr>
                <w:sz w:val="22"/>
                <w:szCs w:val="22"/>
              </w:rPr>
            </w:pPr>
            <w:r>
              <w:rPr>
                <w:sz w:val="22"/>
                <w:szCs w:val="22"/>
              </w:rPr>
              <w:t>ČR</w:t>
            </w:r>
          </w:p>
        </w:tc>
        <w:tc>
          <w:tcPr>
            <w:tcW w:w="7639" w:type="dxa"/>
            <w:tcBorders>
              <w:top w:val="single" w:sz="6" w:space="0" w:color="4F6228"/>
              <w:left w:val="single" w:sz="6" w:space="0" w:color="4F6228"/>
              <w:bottom w:val="single" w:sz="6" w:space="0" w:color="4F6228"/>
              <w:right w:val="double" w:sz="4" w:space="0" w:color="4F6228"/>
            </w:tcBorders>
            <w:vAlign w:val="center"/>
          </w:tcPr>
          <w:p w:rsidR="00B6522E" w:rsidRPr="0039431F" w:rsidRDefault="00B6522E" w:rsidP="002C7CDB">
            <w:pPr>
              <w:pStyle w:val="Seznam2"/>
              <w:ind w:left="0" w:firstLine="0"/>
              <w:rPr>
                <w:sz w:val="22"/>
                <w:szCs w:val="22"/>
              </w:rPr>
            </w:pPr>
            <w:r>
              <w:rPr>
                <w:sz w:val="22"/>
                <w:szCs w:val="22"/>
              </w:rPr>
              <w:t>Česká republika</w:t>
            </w:r>
          </w:p>
        </w:tc>
      </w:tr>
      <w:tr w:rsidR="001E49F7"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1E49F7" w:rsidRPr="0039431F" w:rsidRDefault="001E49F7" w:rsidP="002C7CDB">
            <w:pPr>
              <w:autoSpaceDE w:val="0"/>
              <w:autoSpaceDN w:val="0"/>
              <w:adjustRightInd w:val="0"/>
              <w:jc w:val="center"/>
              <w:rPr>
                <w:sz w:val="22"/>
                <w:szCs w:val="22"/>
              </w:rPr>
            </w:pPr>
            <w:r w:rsidRPr="0039431F">
              <w:rPr>
                <w:sz w:val="22"/>
                <w:szCs w:val="22"/>
              </w:rPr>
              <w:t>ČSÚ</w:t>
            </w:r>
          </w:p>
        </w:tc>
        <w:tc>
          <w:tcPr>
            <w:tcW w:w="7639" w:type="dxa"/>
            <w:tcBorders>
              <w:top w:val="single" w:sz="6" w:space="0" w:color="4F6228"/>
              <w:left w:val="single" w:sz="6" w:space="0" w:color="4F6228"/>
              <w:bottom w:val="single" w:sz="6" w:space="0" w:color="4F6228"/>
              <w:right w:val="double" w:sz="4" w:space="0" w:color="4F6228"/>
            </w:tcBorders>
            <w:vAlign w:val="center"/>
          </w:tcPr>
          <w:p w:rsidR="001E49F7" w:rsidRPr="0039431F" w:rsidRDefault="001E49F7" w:rsidP="002C7CDB">
            <w:pPr>
              <w:pStyle w:val="Seznam2"/>
              <w:ind w:left="0" w:firstLine="0"/>
              <w:rPr>
                <w:sz w:val="22"/>
                <w:szCs w:val="22"/>
              </w:rPr>
            </w:pPr>
            <w:r w:rsidRPr="0039431F">
              <w:rPr>
                <w:sz w:val="22"/>
                <w:szCs w:val="22"/>
              </w:rPr>
              <w:t>Český statistický úřad</w:t>
            </w:r>
          </w:p>
        </w:tc>
      </w:tr>
      <w:tr w:rsidR="000F5B64"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0F5B64" w:rsidRPr="0039431F" w:rsidRDefault="000F5B64" w:rsidP="002C7CDB">
            <w:pPr>
              <w:autoSpaceDE w:val="0"/>
              <w:autoSpaceDN w:val="0"/>
              <w:adjustRightInd w:val="0"/>
              <w:jc w:val="center"/>
              <w:rPr>
                <w:sz w:val="22"/>
                <w:szCs w:val="22"/>
              </w:rPr>
            </w:pPr>
            <w:r>
              <w:rPr>
                <w:sz w:val="22"/>
                <w:szCs w:val="22"/>
              </w:rPr>
              <w:t>ČUZK</w:t>
            </w:r>
          </w:p>
        </w:tc>
        <w:tc>
          <w:tcPr>
            <w:tcW w:w="7639" w:type="dxa"/>
            <w:tcBorders>
              <w:top w:val="single" w:sz="6" w:space="0" w:color="4F6228"/>
              <w:left w:val="single" w:sz="6" w:space="0" w:color="4F6228"/>
              <w:bottom w:val="single" w:sz="6" w:space="0" w:color="4F6228"/>
              <w:right w:val="double" w:sz="4" w:space="0" w:color="4F6228"/>
            </w:tcBorders>
            <w:vAlign w:val="center"/>
          </w:tcPr>
          <w:p w:rsidR="000F5B64" w:rsidRPr="0039431F" w:rsidRDefault="000F5B64" w:rsidP="000F5B64">
            <w:pPr>
              <w:pStyle w:val="Seznam2"/>
              <w:ind w:left="0" w:firstLine="0"/>
              <w:rPr>
                <w:sz w:val="22"/>
                <w:szCs w:val="22"/>
              </w:rPr>
            </w:pPr>
            <w:r>
              <w:rPr>
                <w:sz w:val="22"/>
                <w:szCs w:val="22"/>
              </w:rPr>
              <w:t>Český úřad zeměměřičský</w:t>
            </w:r>
            <w:r w:rsidRPr="001F3757">
              <w:rPr>
                <w:sz w:val="22"/>
                <w:szCs w:val="22"/>
              </w:rPr>
              <w:t xml:space="preserve"> a katastrální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DG</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proofErr w:type="spellStart"/>
            <w:r w:rsidRPr="0039431F">
              <w:rPr>
                <w:sz w:val="22"/>
                <w:szCs w:val="22"/>
              </w:rPr>
              <w:t>Directorate</w:t>
            </w:r>
            <w:proofErr w:type="spellEnd"/>
            <w:r w:rsidRPr="0039431F">
              <w:rPr>
                <w:sz w:val="22"/>
                <w:szCs w:val="22"/>
              </w:rPr>
              <w:t xml:space="preserve"> General (Evropská komise – generální ředitelství)</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DS</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F25198" w:rsidP="002C7CDB">
            <w:pPr>
              <w:pStyle w:val="Seznam2"/>
              <w:ind w:left="0" w:firstLine="0"/>
              <w:rPr>
                <w:sz w:val="22"/>
                <w:szCs w:val="22"/>
              </w:rPr>
            </w:pPr>
            <w:r w:rsidRPr="0039431F">
              <w:rPr>
                <w:sz w:val="22"/>
                <w:szCs w:val="22"/>
              </w:rPr>
              <w:t>Datová schránka</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ČP</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F25198" w:rsidP="002C7CDB">
            <w:pPr>
              <w:pStyle w:val="Seznam2"/>
              <w:ind w:left="0" w:firstLine="0"/>
              <w:rPr>
                <w:sz w:val="22"/>
                <w:szCs w:val="22"/>
              </w:rPr>
            </w:pPr>
            <w:r w:rsidRPr="0039431F">
              <w:rPr>
                <w:sz w:val="22"/>
                <w:szCs w:val="22"/>
              </w:rPr>
              <w:t>Česká pošta</w:t>
            </w:r>
          </w:p>
        </w:tc>
      </w:tr>
      <w:tr w:rsidR="00A75862" w:rsidRPr="00426689" w:rsidTr="0015228C">
        <w:trPr>
          <w:trHeight w:hRule="exact" w:val="537"/>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EAFRD</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proofErr w:type="spellStart"/>
            <w:r w:rsidRPr="0039431F">
              <w:rPr>
                <w:sz w:val="22"/>
                <w:szCs w:val="22"/>
              </w:rPr>
              <w:t>European</w:t>
            </w:r>
            <w:proofErr w:type="spellEnd"/>
            <w:r w:rsidRPr="0039431F">
              <w:rPr>
                <w:sz w:val="22"/>
                <w:szCs w:val="22"/>
              </w:rPr>
              <w:t xml:space="preserve"> </w:t>
            </w:r>
            <w:proofErr w:type="spellStart"/>
            <w:r w:rsidRPr="0039431F">
              <w:rPr>
                <w:sz w:val="22"/>
                <w:szCs w:val="22"/>
              </w:rPr>
              <w:t>Agriculture</w:t>
            </w:r>
            <w:proofErr w:type="spellEnd"/>
            <w:r w:rsidRPr="0039431F">
              <w:rPr>
                <w:sz w:val="22"/>
                <w:szCs w:val="22"/>
              </w:rPr>
              <w:t xml:space="preserve"> </w:t>
            </w:r>
            <w:proofErr w:type="spellStart"/>
            <w:r w:rsidRPr="0039431F">
              <w:rPr>
                <w:sz w:val="22"/>
                <w:szCs w:val="22"/>
              </w:rPr>
              <w:t>Fund</w:t>
            </w:r>
            <w:proofErr w:type="spellEnd"/>
            <w:r w:rsidRPr="0039431F">
              <w:rPr>
                <w:sz w:val="22"/>
                <w:szCs w:val="22"/>
              </w:rPr>
              <w:t xml:space="preserve"> </w:t>
            </w:r>
            <w:proofErr w:type="spellStart"/>
            <w:r w:rsidRPr="0039431F">
              <w:rPr>
                <w:sz w:val="22"/>
                <w:szCs w:val="22"/>
              </w:rPr>
              <w:t>for</w:t>
            </w:r>
            <w:proofErr w:type="spellEnd"/>
            <w:r w:rsidRPr="0039431F">
              <w:rPr>
                <w:sz w:val="22"/>
                <w:szCs w:val="22"/>
              </w:rPr>
              <w:t xml:space="preserve"> </w:t>
            </w:r>
            <w:proofErr w:type="spellStart"/>
            <w:r w:rsidRPr="0039431F">
              <w:rPr>
                <w:sz w:val="22"/>
                <w:szCs w:val="22"/>
              </w:rPr>
              <w:t>Rural</w:t>
            </w:r>
            <w:proofErr w:type="spellEnd"/>
            <w:r w:rsidRPr="0039431F">
              <w:rPr>
                <w:sz w:val="22"/>
                <w:szCs w:val="22"/>
              </w:rPr>
              <w:t xml:space="preserve"> </w:t>
            </w:r>
            <w:proofErr w:type="spellStart"/>
            <w:r w:rsidRPr="0039431F">
              <w:rPr>
                <w:sz w:val="22"/>
                <w:szCs w:val="22"/>
              </w:rPr>
              <w:t>Development</w:t>
            </w:r>
            <w:proofErr w:type="spellEnd"/>
            <w:r w:rsidRPr="0039431F">
              <w:rPr>
                <w:sz w:val="22"/>
                <w:szCs w:val="22"/>
              </w:rPr>
              <w:t xml:space="preserve"> (Evropský zemědělský fond pro rozvoj venkova)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Evropská komise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ERDF</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proofErr w:type="spellStart"/>
            <w:r w:rsidRPr="0039431F">
              <w:rPr>
                <w:sz w:val="22"/>
                <w:szCs w:val="22"/>
              </w:rPr>
              <w:t>European</w:t>
            </w:r>
            <w:proofErr w:type="spellEnd"/>
            <w:r w:rsidRPr="0039431F">
              <w:rPr>
                <w:sz w:val="22"/>
                <w:szCs w:val="22"/>
              </w:rPr>
              <w:t xml:space="preserve"> </w:t>
            </w:r>
            <w:proofErr w:type="spellStart"/>
            <w:r w:rsidRPr="0039431F">
              <w:rPr>
                <w:sz w:val="22"/>
                <w:szCs w:val="22"/>
              </w:rPr>
              <w:t>Regional</w:t>
            </w:r>
            <w:proofErr w:type="spellEnd"/>
            <w:r w:rsidRPr="0039431F">
              <w:rPr>
                <w:sz w:val="22"/>
                <w:szCs w:val="22"/>
              </w:rPr>
              <w:t xml:space="preserve"> </w:t>
            </w:r>
            <w:proofErr w:type="spellStart"/>
            <w:r w:rsidRPr="0039431F">
              <w:rPr>
                <w:sz w:val="22"/>
                <w:szCs w:val="22"/>
              </w:rPr>
              <w:t>Development</w:t>
            </w:r>
            <w:proofErr w:type="spellEnd"/>
            <w:r w:rsidRPr="0039431F">
              <w:rPr>
                <w:sz w:val="22"/>
                <w:szCs w:val="22"/>
              </w:rPr>
              <w:t xml:space="preserve"> </w:t>
            </w:r>
            <w:proofErr w:type="spellStart"/>
            <w:r w:rsidRPr="0039431F">
              <w:rPr>
                <w:sz w:val="22"/>
                <w:szCs w:val="22"/>
              </w:rPr>
              <w:t>Fund</w:t>
            </w:r>
            <w:proofErr w:type="spellEnd"/>
            <w:r w:rsidRPr="0039431F">
              <w:rPr>
                <w:sz w:val="22"/>
                <w:szCs w:val="22"/>
              </w:rPr>
              <w:t xml:space="preserve"> (Evropský regionální rozvojový fond)</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ESF</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proofErr w:type="spellStart"/>
            <w:r w:rsidRPr="0039431F">
              <w:rPr>
                <w:sz w:val="22"/>
                <w:szCs w:val="22"/>
              </w:rPr>
              <w:t>European</w:t>
            </w:r>
            <w:proofErr w:type="spellEnd"/>
            <w:r w:rsidRPr="0039431F">
              <w:rPr>
                <w:sz w:val="22"/>
                <w:szCs w:val="22"/>
              </w:rPr>
              <w:t xml:space="preserve"> </w:t>
            </w:r>
            <w:proofErr w:type="spellStart"/>
            <w:r w:rsidRPr="0039431F">
              <w:rPr>
                <w:sz w:val="22"/>
                <w:szCs w:val="22"/>
              </w:rPr>
              <w:t>Social</w:t>
            </w:r>
            <w:proofErr w:type="spellEnd"/>
            <w:r w:rsidRPr="0039431F">
              <w:rPr>
                <w:sz w:val="22"/>
                <w:szCs w:val="22"/>
              </w:rPr>
              <w:t xml:space="preserve"> </w:t>
            </w:r>
            <w:proofErr w:type="spellStart"/>
            <w:r w:rsidRPr="0039431F">
              <w:rPr>
                <w:sz w:val="22"/>
                <w:szCs w:val="22"/>
              </w:rPr>
              <w:t>Fund</w:t>
            </w:r>
            <w:proofErr w:type="spellEnd"/>
            <w:r w:rsidRPr="0039431F">
              <w:rPr>
                <w:sz w:val="22"/>
                <w:szCs w:val="22"/>
              </w:rPr>
              <w:t xml:space="preserve"> (Evropský sociální fond)</w:t>
            </w:r>
          </w:p>
        </w:tc>
      </w:tr>
      <w:tr w:rsidR="00F95266"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95266" w:rsidRPr="0039431F" w:rsidRDefault="00F95266" w:rsidP="002C7CDB">
            <w:pPr>
              <w:jc w:val="center"/>
              <w:rPr>
                <w:sz w:val="22"/>
                <w:szCs w:val="22"/>
              </w:rPr>
            </w:pPr>
            <w:r w:rsidRPr="0039431F">
              <w:rPr>
                <w:sz w:val="22"/>
                <w:szCs w:val="22"/>
              </w:rPr>
              <w:t>ESS elektronická spisová služba</w:t>
            </w:r>
          </w:p>
        </w:tc>
        <w:tc>
          <w:tcPr>
            <w:tcW w:w="7639" w:type="dxa"/>
            <w:tcBorders>
              <w:top w:val="single" w:sz="6" w:space="0" w:color="4F6228"/>
              <w:left w:val="single" w:sz="6" w:space="0" w:color="4F6228"/>
              <w:bottom w:val="single" w:sz="6" w:space="0" w:color="4F6228"/>
              <w:right w:val="double" w:sz="4" w:space="0" w:color="4F6228"/>
            </w:tcBorders>
            <w:vAlign w:val="center"/>
          </w:tcPr>
          <w:p w:rsidR="00F95266" w:rsidRPr="0039431F" w:rsidRDefault="00F95266" w:rsidP="002C7CDB">
            <w:pPr>
              <w:rPr>
                <w:sz w:val="22"/>
                <w:szCs w:val="22"/>
              </w:rPr>
            </w:pPr>
            <w:r w:rsidRPr="0039431F">
              <w:rPr>
                <w:sz w:val="22"/>
                <w:szCs w:val="22"/>
              </w:rPr>
              <w:t>Elektronická spisová služba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EU</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Evropská unie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FN</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Finanční nástroj</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FRM</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Fond rozvoje měst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FS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Fond soudržnosti</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GFŘ</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Generální finanční ředitelství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GG</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Globální grant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GŘ HZS ČR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Generální ředitelství Hasičského záchranného sboru České republiky</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HF</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2F500F" w:rsidP="002C7CDB">
            <w:pPr>
              <w:autoSpaceDE w:val="0"/>
              <w:autoSpaceDN w:val="0"/>
              <w:adjustRightInd w:val="0"/>
              <w:rPr>
                <w:sz w:val="22"/>
                <w:szCs w:val="22"/>
              </w:rPr>
            </w:pPr>
            <w:r w:rsidRPr="0039431F">
              <w:rPr>
                <w:sz w:val="22"/>
                <w:szCs w:val="22"/>
              </w:rPr>
              <w:t>Holdingový fond (JESSICA</w:t>
            </w:r>
            <w:r w:rsidR="00A02490">
              <w:rPr>
                <w:sz w:val="22"/>
                <w:szCs w:val="22"/>
              </w:rPr>
              <w:t>, SFRB</w:t>
            </w:r>
            <w:r w:rsidRPr="0039431F">
              <w:rPr>
                <w:sz w:val="22"/>
                <w:szCs w:val="22"/>
              </w:rPr>
              <w: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HQ CRR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Hlavní kancelář Centra pro regionální rozvoj</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HSS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Hospodářská a sociální soudržnost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HZS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Hasičský záchranný sbor</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ICT</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proofErr w:type="spellStart"/>
            <w:r w:rsidRPr="0039431F">
              <w:rPr>
                <w:sz w:val="22"/>
                <w:szCs w:val="22"/>
              </w:rPr>
              <w:t>Information</w:t>
            </w:r>
            <w:proofErr w:type="spellEnd"/>
            <w:r w:rsidRPr="0039431F">
              <w:rPr>
                <w:sz w:val="22"/>
                <w:szCs w:val="22"/>
              </w:rPr>
              <w:t xml:space="preserve"> and </w:t>
            </w:r>
            <w:proofErr w:type="spellStart"/>
            <w:r w:rsidRPr="0039431F">
              <w:rPr>
                <w:sz w:val="22"/>
                <w:szCs w:val="22"/>
              </w:rPr>
              <w:t>communication</w:t>
            </w:r>
            <w:proofErr w:type="spellEnd"/>
            <w:r w:rsidRPr="0039431F">
              <w:rPr>
                <w:sz w:val="22"/>
                <w:szCs w:val="22"/>
              </w:rPr>
              <w:t xml:space="preserve"> </w:t>
            </w:r>
            <w:proofErr w:type="spellStart"/>
            <w:r w:rsidRPr="0039431F">
              <w:rPr>
                <w:sz w:val="22"/>
                <w:szCs w:val="22"/>
              </w:rPr>
              <w:t>technologies</w:t>
            </w:r>
            <w:proofErr w:type="spellEnd"/>
            <w:r w:rsidRPr="0039431F">
              <w:rPr>
                <w:sz w:val="22"/>
                <w:szCs w:val="22"/>
              </w:rPr>
              <w:t xml:space="preserve"> (Informační a komunikační technologie)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Integrovaný operační program</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IPRM</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Integrované plány rozvoje měst</w:t>
            </w:r>
          </w:p>
        </w:tc>
      </w:tr>
      <w:tr w:rsidR="00A20F23"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20F23" w:rsidRPr="0039431F" w:rsidRDefault="00A20F23" w:rsidP="002C7CDB">
            <w:pPr>
              <w:autoSpaceDE w:val="0"/>
              <w:autoSpaceDN w:val="0"/>
              <w:adjustRightInd w:val="0"/>
              <w:jc w:val="center"/>
              <w:rPr>
                <w:sz w:val="22"/>
                <w:szCs w:val="22"/>
              </w:rPr>
            </w:pPr>
            <w:r w:rsidRPr="0039431F">
              <w:rPr>
                <w:sz w:val="22"/>
                <w:szCs w:val="22"/>
              </w:rPr>
              <w:t>ISVS</w:t>
            </w:r>
          </w:p>
        </w:tc>
        <w:tc>
          <w:tcPr>
            <w:tcW w:w="7639" w:type="dxa"/>
            <w:tcBorders>
              <w:top w:val="single" w:sz="6" w:space="0" w:color="4F6228"/>
              <w:left w:val="single" w:sz="6" w:space="0" w:color="4F6228"/>
              <w:bottom w:val="single" w:sz="6" w:space="0" w:color="4F6228"/>
              <w:right w:val="double" w:sz="4" w:space="0" w:color="4F6228"/>
            </w:tcBorders>
            <w:vAlign w:val="center"/>
          </w:tcPr>
          <w:p w:rsidR="00A20F23" w:rsidRPr="0039431F" w:rsidRDefault="00B70B11" w:rsidP="002C7CDB">
            <w:pPr>
              <w:autoSpaceDE w:val="0"/>
              <w:autoSpaceDN w:val="0"/>
              <w:adjustRightInd w:val="0"/>
              <w:rPr>
                <w:sz w:val="22"/>
                <w:szCs w:val="22"/>
              </w:rPr>
            </w:pPr>
            <w:r w:rsidRPr="0039431F">
              <w:rPr>
                <w:sz w:val="22"/>
                <w:szCs w:val="22"/>
              </w:rPr>
              <w:t>Informační systémy veřejné správy</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ISZR</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2F500F" w:rsidP="002C7CDB">
            <w:pPr>
              <w:autoSpaceDE w:val="0"/>
              <w:autoSpaceDN w:val="0"/>
              <w:adjustRightInd w:val="0"/>
              <w:rPr>
                <w:sz w:val="22"/>
                <w:szCs w:val="22"/>
              </w:rPr>
            </w:pPr>
            <w:r w:rsidRPr="0039431F">
              <w:rPr>
                <w:sz w:val="22"/>
                <w:szCs w:val="22"/>
              </w:rPr>
              <w:t>Informační systém základních registrů</w:t>
            </w:r>
          </w:p>
        </w:tc>
      </w:tr>
      <w:tr w:rsidR="00A75862" w:rsidRPr="00426689" w:rsidTr="00DF38AF">
        <w:trPr>
          <w:trHeight w:hRule="exact" w:val="508"/>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ITS-NGN</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 xml:space="preserve">Integrovaná Telekomunikační Síť MV (New </w:t>
            </w:r>
            <w:proofErr w:type="spellStart"/>
            <w:r w:rsidRPr="0039431F">
              <w:rPr>
                <w:sz w:val="22"/>
                <w:szCs w:val="22"/>
              </w:rPr>
              <w:t>Generation</w:t>
            </w:r>
            <w:proofErr w:type="spellEnd"/>
            <w:r w:rsidRPr="0039431F">
              <w:rPr>
                <w:sz w:val="22"/>
                <w:szCs w:val="22"/>
              </w:rPr>
              <w:t xml:space="preserve"> Network), zkratka názvu projektu Zajištění infrastruktury pro operační střediska základních složek IZS</w:t>
            </w:r>
          </w:p>
        </w:tc>
      </w:tr>
      <w:tr w:rsidR="00A75862" w:rsidRPr="00426689" w:rsidTr="00A83F1E">
        <w:trPr>
          <w:cantSplit/>
          <w:trHeigh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IZS</w:t>
            </w:r>
          </w:p>
        </w:tc>
        <w:tc>
          <w:tcPr>
            <w:tcW w:w="7639" w:type="dxa"/>
            <w:tcBorders>
              <w:top w:val="single" w:sz="6" w:space="0" w:color="4F6228"/>
              <w:left w:val="single" w:sz="6" w:space="0" w:color="4F6228"/>
              <w:bottom w:val="single" w:sz="6" w:space="0" w:color="4F6228"/>
              <w:right w:val="double" w:sz="4" w:space="0" w:color="4F6228"/>
            </w:tcBorders>
            <w:vAlign w:val="center"/>
          </w:tcPr>
          <w:p w:rsidR="00F82A4D" w:rsidRPr="0039431F" w:rsidRDefault="00A75862" w:rsidP="002C7CDB">
            <w:pPr>
              <w:autoSpaceDE w:val="0"/>
              <w:autoSpaceDN w:val="0"/>
              <w:adjustRightInd w:val="0"/>
              <w:rPr>
                <w:sz w:val="22"/>
                <w:szCs w:val="22"/>
              </w:rPr>
            </w:pPr>
            <w:r w:rsidRPr="0039431F">
              <w:rPr>
                <w:sz w:val="22"/>
                <w:szCs w:val="22"/>
              </w:rPr>
              <w:t>Integrovaný záchranný systém</w:t>
            </w:r>
          </w:p>
        </w:tc>
      </w:tr>
      <w:tr w:rsidR="00F82A4D" w:rsidRPr="00426689" w:rsidTr="00A83F1E">
        <w:trPr>
          <w:cantSplit/>
          <w:trHeigh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82A4D" w:rsidRPr="0039431F" w:rsidRDefault="00F82A4D" w:rsidP="002C7CDB">
            <w:pPr>
              <w:autoSpaceDE w:val="0"/>
              <w:autoSpaceDN w:val="0"/>
              <w:adjustRightInd w:val="0"/>
              <w:jc w:val="center"/>
              <w:rPr>
                <w:sz w:val="22"/>
                <w:szCs w:val="22"/>
              </w:rPr>
            </w:pPr>
            <w:r>
              <w:rPr>
                <w:sz w:val="22"/>
                <w:szCs w:val="22"/>
              </w:rPr>
              <w:t>KIVS</w:t>
            </w:r>
          </w:p>
        </w:tc>
        <w:tc>
          <w:tcPr>
            <w:tcW w:w="7639" w:type="dxa"/>
            <w:tcBorders>
              <w:top w:val="single" w:sz="6" w:space="0" w:color="4F6228"/>
              <w:left w:val="single" w:sz="6" w:space="0" w:color="4F6228"/>
              <w:bottom w:val="single" w:sz="6" w:space="0" w:color="4F6228"/>
              <w:right w:val="double" w:sz="4" w:space="0" w:color="4F6228"/>
            </w:tcBorders>
            <w:vAlign w:val="center"/>
          </w:tcPr>
          <w:p w:rsidR="00F82A4D" w:rsidRPr="0039431F" w:rsidRDefault="00F82A4D" w:rsidP="002C7CDB">
            <w:pPr>
              <w:autoSpaceDE w:val="0"/>
              <w:autoSpaceDN w:val="0"/>
              <w:adjustRightInd w:val="0"/>
              <w:rPr>
                <w:sz w:val="22"/>
                <w:szCs w:val="22"/>
              </w:rPr>
            </w:pPr>
            <w:r>
              <w:rPr>
                <w:sz w:val="22"/>
                <w:szCs w:val="22"/>
              </w:rPr>
              <w:t>Komunikační infrastruktura veřejné správy</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proofErr w:type="spellStart"/>
            <w:r w:rsidRPr="0039431F">
              <w:rPr>
                <w:sz w:val="22"/>
                <w:szCs w:val="22"/>
              </w:rPr>
              <w:t>KoP</w:t>
            </w:r>
            <w:proofErr w:type="spellEnd"/>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Komunikační plán</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K</w:t>
            </w:r>
            <w:r w:rsidR="00E774AE" w:rsidRPr="0039431F">
              <w:rPr>
                <w:sz w:val="22"/>
                <w:szCs w:val="22"/>
              </w:rPr>
              <w:t>ONV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Cíl Konvergence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MIP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Manuál interních postupů</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pStyle w:val="Seznam2"/>
              <w:ind w:left="0" w:firstLine="0"/>
              <w:rPr>
                <w:sz w:val="22"/>
                <w:szCs w:val="22"/>
              </w:rPr>
            </w:pPr>
            <w:r w:rsidRPr="0039431F">
              <w:rPr>
                <w:sz w:val="22"/>
                <w:szCs w:val="22"/>
              </w:rPr>
              <w:t xml:space="preserve">Ministerstvo kultury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MMR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autoSpaceDE w:val="0"/>
              <w:autoSpaceDN w:val="0"/>
              <w:adjustRightInd w:val="0"/>
              <w:rPr>
                <w:sz w:val="22"/>
                <w:szCs w:val="22"/>
              </w:rPr>
            </w:pPr>
            <w:r w:rsidRPr="0039431F">
              <w:rPr>
                <w:sz w:val="22"/>
                <w:szCs w:val="22"/>
              </w:rPr>
              <w:t xml:space="preserve">Ministerstvo pro místní rozvoj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proofErr w:type="spellStart"/>
            <w:r w:rsidRPr="0039431F">
              <w:rPr>
                <w:sz w:val="22"/>
                <w:szCs w:val="22"/>
              </w:rPr>
              <w:t>MoV</w:t>
            </w:r>
            <w:proofErr w:type="spellEnd"/>
            <w:r w:rsidRPr="0039431F">
              <w:rPr>
                <w:sz w:val="22"/>
                <w:szCs w:val="22"/>
              </w:rPr>
              <w:t xml:space="preserve"> IOP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Monitorovací výbor IOP</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MPSV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pStyle w:val="Seznam2"/>
              <w:ind w:left="0" w:firstLine="0"/>
              <w:rPr>
                <w:sz w:val="22"/>
                <w:szCs w:val="22"/>
              </w:rPr>
            </w:pPr>
            <w:r w:rsidRPr="0039431F">
              <w:rPr>
                <w:sz w:val="22"/>
                <w:szCs w:val="22"/>
              </w:rPr>
              <w:t xml:space="preserve">Ministerstvo práce a sociálních věcí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pStyle w:val="Seznam2"/>
              <w:ind w:left="0" w:firstLine="0"/>
              <w:rPr>
                <w:sz w:val="22"/>
                <w:szCs w:val="22"/>
              </w:rPr>
            </w:pPr>
            <w:r w:rsidRPr="0039431F">
              <w:rPr>
                <w:sz w:val="22"/>
                <w:szCs w:val="22"/>
              </w:rPr>
              <w:t xml:space="preserve">Ministerstvo vnitra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MZ</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Monitorovací zpráva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proofErr w:type="spellStart"/>
            <w:r w:rsidRPr="0039431F">
              <w:rPr>
                <w:sz w:val="22"/>
                <w:szCs w:val="22"/>
              </w:rPr>
              <w:t>MZd</w:t>
            </w:r>
            <w:proofErr w:type="spellEnd"/>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pStyle w:val="Seznam2"/>
              <w:ind w:left="0" w:firstLine="0"/>
              <w:rPr>
                <w:sz w:val="22"/>
                <w:szCs w:val="22"/>
              </w:rPr>
            </w:pPr>
            <w:r w:rsidRPr="0039431F">
              <w:rPr>
                <w:sz w:val="22"/>
                <w:szCs w:val="22"/>
              </w:rPr>
              <w:t xml:space="preserve">Ministerstvo zdravotnictví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NOK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Národní orgán pro koordinaci</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NUTS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 xml:space="preserve">La </w:t>
            </w:r>
            <w:proofErr w:type="spellStart"/>
            <w:r w:rsidRPr="0039431F">
              <w:rPr>
                <w:sz w:val="22"/>
                <w:szCs w:val="22"/>
              </w:rPr>
              <w:t>Nomenclature</w:t>
            </w:r>
            <w:proofErr w:type="spellEnd"/>
            <w:r w:rsidRPr="0039431F">
              <w:rPr>
                <w:sz w:val="22"/>
                <w:szCs w:val="22"/>
              </w:rPr>
              <w:t xml:space="preserve"> des </w:t>
            </w:r>
            <w:proofErr w:type="spellStart"/>
            <w:r w:rsidRPr="0039431F">
              <w:rPr>
                <w:sz w:val="22"/>
                <w:szCs w:val="22"/>
              </w:rPr>
              <w:t>Unités</w:t>
            </w:r>
            <w:proofErr w:type="spellEnd"/>
            <w:r w:rsidRPr="0039431F">
              <w:rPr>
                <w:sz w:val="22"/>
                <w:szCs w:val="22"/>
              </w:rPr>
              <w:t xml:space="preserve"> </w:t>
            </w:r>
            <w:proofErr w:type="spellStart"/>
            <w:r w:rsidRPr="0039431F">
              <w:rPr>
                <w:sz w:val="22"/>
                <w:szCs w:val="22"/>
              </w:rPr>
              <w:t>Territoriales</w:t>
            </w:r>
            <w:proofErr w:type="spellEnd"/>
            <w:r w:rsidRPr="0039431F">
              <w:rPr>
                <w:sz w:val="22"/>
                <w:szCs w:val="22"/>
              </w:rPr>
              <w:t xml:space="preserve"> </w:t>
            </w:r>
            <w:proofErr w:type="spellStart"/>
            <w:r w:rsidRPr="0039431F">
              <w:rPr>
                <w:sz w:val="22"/>
                <w:szCs w:val="22"/>
              </w:rPr>
              <w:t>Statistiques</w:t>
            </w:r>
            <w:proofErr w:type="spellEnd"/>
            <w:r w:rsidRPr="0039431F">
              <w:rPr>
                <w:sz w:val="22"/>
                <w:szCs w:val="22"/>
              </w:rPr>
              <w:t xml:space="preserve"> (Statistická územní jednotka)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NPR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Národní program reforem</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lastRenderedPageBreak/>
              <w:t>NSRR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Default="00A75862" w:rsidP="002C7CDB">
            <w:pPr>
              <w:autoSpaceDE w:val="0"/>
              <w:autoSpaceDN w:val="0"/>
              <w:adjustRightInd w:val="0"/>
              <w:rPr>
                <w:sz w:val="22"/>
                <w:szCs w:val="22"/>
              </w:rPr>
            </w:pPr>
            <w:r w:rsidRPr="0039431F">
              <w:rPr>
                <w:sz w:val="22"/>
                <w:szCs w:val="22"/>
              </w:rPr>
              <w:t>Národní strategický referenční rámec</w:t>
            </w:r>
          </w:p>
          <w:p w:rsidR="00877796" w:rsidRPr="0039431F" w:rsidRDefault="00877796" w:rsidP="002C7CDB">
            <w:pPr>
              <w:autoSpaceDE w:val="0"/>
              <w:autoSpaceDN w:val="0"/>
              <w:adjustRightInd w:val="0"/>
              <w:rPr>
                <w:b/>
                <w:bCs/>
                <w:sz w:val="22"/>
                <w:szCs w:val="22"/>
              </w:rPr>
            </w:pPr>
          </w:p>
        </w:tc>
      </w:tr>
      <w:tr w:rsidR="00877796"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877796" w:rsidRPr="0039431F" w:rsidRDefault="00877796" w:rsidP="002C7CDB">
            <w:pPr>
              <w:autoSpaceDE w:val="0"/>
              <w:autoSpaceDN w:val="0"/>
              <w:adjustRightInd w:val="0"/>
              <w:jc w:val="center"/>
              <w:rPr>
                <w:sz w:val="22"/>
                <w:szCs w:val="22"/>
              </w:rPr>
            </w:pPr>
            <w:r>
              <w:rPr>
                <w:sz w:val="22"/>
                <w:szCs w:val="22"/>
              </w:rPr>
              <w:t xml:space="preserve">NČI </w:t>
            </w:r>
          </w:p>
        </w:tc>
        <w:tc>
          <w:tcPr>
            <w:tcW w:w="7639" w:type="dxa"/>
            <w:tcBorders>
              <w:top w:val="single" w:sz="6" w:space="0" w:color="4F6228"/>
              <w:left w:val="single" w:sz="6" w:space="0" w:color="4F6228"/>
              <w:bottom w:val="single" w:sz="6" w:space="0" w:color="4F6228"/>
              <w:right w:val="double" w:sz="4" w:space="0" w:color="4F6228"/>
            </w:tcBorders>
            <w:vAlign w:val="center"/>
          </w:tcPr>
          <w:p w:rsidR="00877796" w:rsidRPr="0039431F" w:rsidRDefault="00877796" w:rsidP="002C7CDB">
            <w:pPr>
              <w:autoSpaceDE w:val="0"/>
              <w:autoSpaceDN w:val="0"/>
              <w:adjustRightInd w:val="0"/>
              <w:rPr>
                <w:sz w:val="22"/>
                <w:szCs w:val="22"/>
              </w:rPr>
            </w:pPr>
            <w:r>
              <w:rPr>
                <w:sz w:val="22"/>
                <w:szCs w:val="22"/>
              </w:rPr>
              <w:t>Národní číselník indikátorů</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OCR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Odbor cestovního ruchu</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OI</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Oblast intervence</w:t>
            </w:r>
          </w:p>
        </w:tc>
      </w:tr>
      <w:tr w:rsidR="009265B1" w:rsidRPr="00426689" w:rsidTr="00A83F1E">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9265B1" w:rsidRPr="0039431F" w:rsidRDefault="009265B1" w:rsidP="0015228C">
            <w:pPr>
              <w:autoSpaceDE w:val="0"/>
              <w:autoSpaceDN w:val="0"/>
              <w:adjustRightInd w:val="0"/>
              <w:jc w:val="center"/>
              <w:rPr>
                <w:sz w:val="22"/>
                <w:szCs w:val="22"/>
              </w:rPr>
            </w:pPr>
            <w:r w:rsidRPr="0039431F">
              <w:rPr>
                <w:sz w:val="22"/>
                <w:szCs w:val="22"/>
              </w:rPr>
              <w:t>OKAPIKT</w:t>
            </w:r>
            <w:r w:rsidR="004E4F45" w:rsidRPr="0039431F">
              <w:rPr>
                <w:sz w:val="22"/>
                <w:szCs w:val="22"/>
              </w:rPr>
              <w:t>(MV</w:t>
            </w:r>
            <w:r w:rsidR="002105DE" w:rsidRPr="0039431F">
              <w:rPr>
                <w:sz w:val="22"/>
                <w:szCs w:val="22"/>
              </w:rPr>
              <w:t>)</w:t>
            </w:r>
          </w:p>
        </w:tc>
        <w:tc>
          <w:tcPr>
            <w:tcW w:w="7639" w:type="dxa"/>
            <w:tcBorders>
              <w:top w:val="single" w:sz="6" w:space="0" w:color="4F6228"/>
              <w:left w:val="single" w:sz="6" w:space="0" w:color="4F6228"/>
              <w:bottom w:val="single" w:sz="6" w:space="0" w:color="4F6228"/>
              <w:right w:val="double" w:sz="4" w:space="0" w:color="4F6228"/>
            </w:tcBorders>
            <w:vAlign w:val="center"/>
          </w:tcPr>
          <w:p w:rsidR="009265B1" w:rsidRPr="0039431F" w:rsidRDefault="009265B1" w:rsidP="002C7CDB">
            <w:pPr>
              <w:autoSpaceDE w:val="0"/>
              <w:autoSpaceDN w:val="0"/>
              <w:adjustRightInd w:val="0"/>
              <w:rPr>
                <w:sz w:val="22"/>
                <w:szCs w:val="22"/>
              </w:rPr>
            </w:pPr>
            <w:r w:rsidRPr="0039431F">
              <w:rPr>
                <w:sz w:val="22"/>
                <w:szCs w:val="22"/>
              </w:rPr>
              <w:t>Odbor koncepce, architektury a projektů informačních a komunikačních technologií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OM IOP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Operační manuál IOP</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Operační program</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OPF</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Odbor programového financování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 LZZ</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Operační program Lidské zdroje a zaměstnanost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 RLZ</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Operační program Rozvoj lidských zdrojů</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b/>
                <w:bCs/>
                <w:sz w:val="22"/>
                <w:szCs w:val="22"/>
              </w:rPr>
            </w:pPr>
            <w:r w:rsidRPr="0039431F">
              <w:rPr>
                <w:sz w:val="22"/>
                <w:szCs w:val="22"/>
              </w:rPr>
              <w:t>OPTP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Operační program Technická pomoc</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 VK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Operační program Vzdělávání pro konkurenceschopnost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OSDP MK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Odbor strategie a dotační politiky Ministerstva kultury ČR</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OSF</w:t>
            </w:r>
            <w:r w:rsidR="00FD1570" w:rsidRPr="0039431F">
              <w:rPr>
                <w:sz w:val="22"/>
                <w:szCs w:val="22"/>
              </w:rPr>
              <w:t xml:space="preserve"> (MV)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AC781F">
            <w:pPr>
              <w:autoSpaceDE w:val="0"/>
              <w:autoSpaceDN w:val="0"/>
              <w:adjustRightInd w:val="0"/>
              <w:rPr>
                <w:sz w:val="22"/>
                <w:szCs w:val="22"/>
              </w:rPr>
            </w:pPr>
            <w:r w:rsidRPr="0039431F">
              <w:rPr>
                <w:sz w:val="22"/>
                <w:szCs w:val="22"/>
              </w:rPr>
              <w:t>Odbor strukturálních fondů</w:t>
            </w:r>
            <w:r w:rsidR="00FD1570" w:rsidRPr="0039431F">
              <w:rPr>
                <w:sz w:val="22"/>
                <w:szCs w:val="22"/>
              </w:rPr>
              <w:t xml:space="preserve"> (MV)</w:t>
            </w:r>
          </w:p>
        </w:tc>
      </w:tr>
      <w:tr w:rsidR="009265B1"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9265B1" w:rsidRPr="0039431F" w:rsidRDefault="009265B1" w:rsidP="002C7CDB">
            <w:pPr>
              <w:autoSpaceDE w:val="0"/>
              <w:autoSpaceDN w:val="0"/>
              <w:adjustRightInd w:val="0"/>
              <w:jc w:val="center"/>
              <w:rPr>
                <w:sz w:val="22"/>
                <w:szCs w:val="22"/>
              </w:rPr>
            </w:pPr>
            <w:r w:rsidRPr="0039431F">
              <w:rPr>
                <w:sz w:val="22"/>
                <w:szCs w:val="22"/>
              </w:rPr>
              <w:t>OSS</w:t>
            </w:r>
          </w:p>
        </w:tc>
        <w:tc>
          <w:tcPr>
            <w:tcW w:w="7639" w:type="dxa"/>
            <w:tcBorders>
              <w:top w:val="single" w:sz="6" w:space="0" w:color="4F6228"/>
              <w:left w:val="single" w:sz="6" w:space="0" w:color="4F6228"/>
              <w:bottom w:val="single" w:sz="6" w:space="0" w:color="4F6228"/>
              <w:right w:val="double" w:sz="4" w:space="0" w:color="4F6228"/>
            </w:tcBorders>
            <w:vAlign w:val="center"/>
          </w:tcPr>
          <w:p w:rsidR="009265B1" w:rsidRPr="0039431F" w:rsidRDefault="009265B1" w:rsidP="002C7CDB">
            <w:pPr>
              <w:autoSpaceDE w:val="0"/>
              <w:autoSpaceDN w:val="0"/>
              <w:adjustRightInd w:val="0"/>
              <w:rPr>
                <w:sz w:val="22"/>
                <w:szCs w:val="22"/>
              </w:rPr>
            </w:pPr>
            <w:r w:rsidRPr="0039431F">
              <w:rPr>
                <w:sz w:val="22"/>
                <w:szCs w:val="22"/>
              </w:rPr>
              <w:t>Organizační složka státu</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PAS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Pověřený auditní subjekt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PČR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Policie ČR</w:t>
            </w:r>
          </w:p>
        </w:tc>
      </w:tr>
      <w:tr w:rsidR="00E47CBD"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E47CBD" w:rsidRPr="0039431F" w:rsidRDefault="00E47CBD" w:rsidP="002C7CDB">
            <w:pPr>
              <w:autoSpaceDE w:val="0"/>
              <w:autoSpaceDN w:val="0"/>
              <w:adjustRightInd w:val="0"/>
              <w:jc w:val="center"/>
              <w:rPr>
                <w:sz w:val="22"/>
                <w:szCs w:val="22"/>
              </w:rPr>
            </w:pPr>
            <w:r w:rsidRPr="0039431F">
              <w:rPr>
                <w:sz w:val="22"/>
                <w:szCs w:val="22"/>
              </w:rPr>
              <w:t>PMO SA</w:t>
            </w:r>
          </w:p>
        </w:tc>
        <w:tc>
          <w:tcPr>
            <w:tcW w:w="7639" w:type="dxa"/>
            <w:tcBorders>
              <w:top w:val="single" w:sz="6" w:space="0" w:color="4F6228"/>
              <w:left w:val="single" w:sz="6" w:space="0" w:color="4F6228"/>
              <w:bottom w:val="single" w:sz="6" w:space="0" w:color="4F6228"/>
              <w:right w:val="double" w:sz="4" w:space="0" w:color="4F6228"/>
            </w:tcBorders>
            <w:vAlign w:val="center"/>
          </w:tcPr>
          <w:p w:rsidR="00E47CBD" w:rsidRPr="0039431F" w:rsidRDefault="00E47CBD" w:rsidP="002C7CDB">
            <w:pPr>
              <w:autoSpaceDE w:val="0"/>
              <w:autoSpaceDN w:val="0"/>
              <w:adjustRightInd w:val="0"/>
              <w:rPr>
                <w:sz w:val="22"/>
                <w:szCs w:val="22"/>
              </w:rPr>
            </w:pPr>
            <w:r w:rsidRPr="0039431F">
              <w:rPr>
                <w:bCs/>
                <w:sz w:val="22"/>
                <w:szCs w:val="22"/>
              </w:rPr>
              <w:t xml:space="preserve">Programová kancelář pro koordinaci projektů Smart </w:t>
            </w:r>
            <w:proofErr w:type="spellStart"/>
            <w:r w:rsidRPr="0039431F">
              <w:rPr>
                <w:bCs/>
                <w:sz w:val="22"/>
                <w:szCs w:val="22"/>
              </w:rPr>
              <w:t>Administration</w:t>
            </w:r>
            <w:proofErr w:type="spellEnd"/>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PO</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Prioritní osa / prioritní oblast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PPP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Příručka pracovních postupů</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proofErr w:type="spellStart"/>
            <w:r w:rsidRPr="0039431F">
              <w:rPr>
                <w:sz w:val="22"/>
                <w:szCs w:val="22"/>
              </w:rPr>
              <w:t>PpŽP</w:t>
            </w:r>
            <w:proofErr w:type="spellEnd"/>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Příručka pro žadatele a příjemce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PRV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Program rozvoje venkova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Pracovní skupina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proofErr w:type="spellStart"/>
            <w:r w:rsidRPr="0039431F">
              <w:rPr>
                <w:sz w:val="22"/>
                <w:szCs w:val="22"/>
              </w:rPr>
              <w:t>RKaZ</w:t>
            </w:r>
            <w:proofErr w:type="spellEnd"/>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Regionální konkurenceschopnost a zaměstnanost</w:t>
            </w:r>
          </w:p>
        </w:tc>
      </w:tr>
      <w:tr w:rsidR="00F25198"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25198" w:rsidRPr="0039431F" w:rsidRDefault="002F500F" w:rsidP="002C7CDB">
            <w:pPr>
              <w:autoSpaceDE w:val="0"/>
              <w:autoSpaceDN w:val="0"/>
              <w:adjustRightInd w:val="0"/>
              <w:jc w:val="center"/>
              <w:rPr>
                <w:sz w:val="22"/>
                <w:szCs w:val="22"/>
              </w:rPr>
            </w:pPr>
            <w:r w:rsidRPr="0039431F">
              <w:rPr>
                <w:sz w:val="22"/>
                <w:szCs w:val="22"/>
              </w:rPr>
              <w:t>ROB</w:t>
            </w:r>
          </w:p>
        </w:tc>
        <w:tc>
          <w:tcPr>
            <w:tcW w:w="7639" w:type="dxa"/>
            <w:tcBorders>
              <w:top w:val="single" w:sz="6" w:space="0" w:color="4F6228"/>
              <w:left w:val="single" w:sz="6" w:space="0" w:color="4F6228"/>
              <w:bottom w:val="single" w:sz="6" w:space="0" w:color="4F6228"/>
              <w:right w:val="double" w:sz="4" w:space="0" w:color="4F6228"/>
            </w:tcBorders>
            <w:vAlign w:val="center"/>
          </w:tcPr>
          <w:p w:rsidR="00F25198" w:rsidRPr="0039431F" w:rsidRDefault="005D1A8D" w:rsidP="002C7CDB">
            <w:pPr>
              <w:autoSpaceDE w:val="0"/>
              <w:autoSpaceDN w:val="0"/>
              <w:adjustRightInd w:val="0"/>
              <w:rPr>
                <w:sz w:val="22"/>
                <w:szCs w:val="22"/>
              </w:rPr>
            </w:pPr>
            <w:r w:rsidRPr="0039431F">
              <w:rPr>
                <w:sz w:val="22"/>
                <w:szCs w:val="22"/>
              </w:rPr>
              <w:t>Registr obyvatel</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ROP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Regionální operační program</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proofErr w:type="spellStart"/>
            <w:r w:rsidRPr="0039431F">
              <w:rPr>
                <w:sz w:val="22"/>
                <w:szCs w:val="22"/>
              </w:rPr>
              <w:t>RoPD</w:t>
            </w:r>
            <w:proofErr w:type="spellEnd"/>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Rozhodnutí o poskytnutí dotace</w:t>
            </w:r>
          </w:p>
        </w:tc>
      </w:tr>
      <w:tr w:rsidR="00F25198"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25198" w:rsidRPr="0039431F" w:rsidRDefault="002F500F" w:rsidP="002C7CDB">
            <w:pPr>
              <w:autoSpaceDE w:val="0"/>
              <w:autoSpaceDN w:val="0"/>
              <w:adjustRightInd w:val="0"/>
              <w:jc w:val="center"/>
              <w:rPr>
                <w:sz w:val="22"/>
                <w:szCs w:val="22"/>
              </w:rPr>
            </w:pPr>
            <w:r w:rsidRPr="0039431F">
              <w:rPr>
                <w:sz w:val="22"/>
                <w:szCs w:val="22"/>
              </w:rPr>
              <w:t>RPP</w:t>
            </w:r>
          </w:p>
        </w:tc>
        <w:tc>
          <w:tcPr>
            <w:tcW w:w="7639" w:type="dxa"/>
            <w:tcBorders>
              <w:top w:val="single" w:sz="6" w:space="0" w:color="4F6228"/>
              <w:left w:val="single" w:sz="6" w:space="0" w:color="4F6228"/>
              <w:bottom w:val="single" w:sz="6" w:space="0" w:color="4F6228"/>
              <w:right w:val="double" w:sz="4" w:space="0" w:color="4F6228"/>
            </w:tcBorders>
            <w:vAlign w:val="center"/>
          </w:tcPr>
          <w:p w:rsidR="00F25198" w:rsidRPr="0039431F" w:rsidRDefault="005D1A8D" w:rsidP="00AC781F">
            <w:pPr>
              <w:autoSpaceDE w:val="0"/>
              <w:autoSpaceDN w:val="0"/>
              <w:adjustRightInd w:val="0"/>
              <w:rPr>
                <w:sz w:val="22"/>
                <w:szCs w:val="22"/>
              </w:rPr>
            </w:pPr>
            <w:r w:rsidRPr="0039431F">
              <w:rPr>
                <w:sz w:val="22"/>
                <w:szCs w:val="22"/>
              </w:rPr>
              <w:t>Registr práv a povinností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ŘO</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Řídící orgán</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SA</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proofErr w:type="spellStart"/>
            <w:r w:rsidRPr="0039431F">
              <w:rPr>
                <w:sz w:val="22"/>
                <w:szCs w:val="22"/>
              </w:rPr>
              <w:t>SmartAdministration</w:t>
            </w:r>
            <w:proofErr w:type="spellEnd"/>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SEA</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proofErr w:type="spellStart"/>
            <w:r w:rsidRPr="0039431F">
              <w:rPr>
                <w:sz w:val="22"/>
                <w:szCs w:val="22"/>
              </w:rPr>
              <w:t>Strategic</w:t>
            </w:r>
            <w:proofErr w:type="spellEnd"/>
            <w:r w:rsidRPr="0039431F">
              <w:rPr>
                <w:sz w:val="22"/>
                <w:szCs w:val="22"/>
              </w:rPr>
              <w:t xml:space="preserve"> </w:t>
            </w:r>
            <w:proofErr w:type="spellStart"/>
            <w:r w:rsidRPr="0039431F">
              <w:rPr>
                <w:sz w:val="22"/>
                <w:szCs w:val="22"/>
              </w:rPr>
              <w:t>Environment</w:t>
            </w:r>
            <w:proofErr w:type="spellEnd"/>
            <w:r w:rsidRPr="0039431F">
              <w:rPr>
                <w:sz w:val="22"/>
                <w:szCs w:val="22"/>
              </w:rPr>
              <w:t xml:space="preserve"> </w:t>
            </w:r>
            <w:proofErr w:type="spellStart"/>
            <w:r w:rsidRPr="0039431F">
              <w:rPr>
                <w:sz w:val="22"/>
                <w:szCs w:val="22"/>
              </w:rPr>
              <w:t>Assessment</w:t>
            </w:r>
            <w:proofErr w:type="spellEnd"/>
            <w:r w:rsidRPr="0039431F">
              <w:rPr>
                <w:sz w:val="22"/>
                <w:szCs w:val="22"/>
              </w:rPr>
              <w:t xml:space="preserve"> (Hodnocení vlivu koncepcí na životní prostředí)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b/>
                <w:bCs/>
                <w:sz w:val="22"/>
                <w:szCs w:val="22"/>
              </w:rPr>
            </w:pPr>
            <w:r w:rsidRPr="0039431F">
              <w:rPr>
                <w:sz w:val="22"/>
                <w:szCs w:val="22"/>
              </w:rPr>
              <w:t>SF</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Strukturální fondy</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SFR</w:t>
            </w:r>
            <w:r w:rsidR="00AA18CF" w:rsidRPr="0039431F">
              <w:rPr>
                <w:sz w:val="22"/>
                <w:szCs w:val="22"/>
              </w:rPr>
              <w:t>B</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Státní fond rozvoje bydlení</w:t>
            </w:r>
          </w:p>
        </w:tc>
      </w:tr>
      <w:tr w:rsidR="001E49F7"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1E49F7" w:rsidRPr="0039431F" w:rsidRDefault="001E49F7" w:rsidP="002C7CDB">
            <w:pPr>
              <w:autoSpaceDE w:val="0"/>
              <w:autoSpaceDN w:val="0"/>
              <w:adjustRightInd w:val="0"/>
              <w:jc w:val="center"/>
              <w:rPr>
                <w:sz w:val="22"/>
                <w:szCs w:val="22"/>
              </w:rPr>
            </w:pPr>
            <w:r w:rsidRPr="0039431F">
              <w:rPr>
                <w:sz w:val="22"/>
                <w:szCs w:val="22"/>
              </w:rPr>
              <w:t>SOZS</w:t>
            </w:r>
          </w:p>
        </w:tc>
        <w:tc>
          <w:tcPr>
            <w:tcW w:w="7639" w:type="dxa"/>
            <w:tcBorders>
              <w:top w:val="single" w:sz="6" w:space="0" w:color="4F6228"/>
              <w:left w:val="single" w:sz="6" w:space="0" w:color="4F6228"/>
              <w:bottom w:val="single" w:sz="6" w:space="0" w:color="4F6228"/>
              <w:right w:val="double" w:sz="4" w:space="0" w:color="4F6228"/>
            </w:tcBorders>
            <w:vAlign w:val="center"/>
          </w:tcPr>
          <w:p w:rsidR="001E49F7" w:rsidRPr="0039431F" w:rsidRDefault="00FD1570" w:rsidP="002C7CDB">
            <w:pPr>
              <w:autoSpaceDE w:val="0"/>
              <w:autoSpaceDN w:val="0"/>
              <w:adjustRightInd w:val="0"/>
              <w:rPr>
                <w:sz w:val="22"/>
                <w:szCs w:val="22"/>
              </w:rPr>
            </w:pPr>
            <w:r w:rsidRPr="0039431F">
              <w:rPr>
                <w:sz w:val="22"/>
                <w:szCs w:val="22"/>
              </w:rPr>
              <w:t>Strategické obecné zásady Společenství pro soudržnost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SROP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Společný regionální operační program</w:t>
            </w:r>
          </w:p>
        </w:tc>
      </w:tr>
      <w:tr w:rsidR="00F25198"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25198" w:rsidRPr="0039431F" w:rsidRDefault="00F25198" w:rsidP="002C7CDB">
            <w:pPr>
              <w:autoSpaceDE w:val="0"/>
              <w:autoSpaceDN w:val="0"/>
              <w:adjustRightInd w:val="0"/>
              <w:jc w:val="center"/>
              <w:rPr>
                <w:sz w:val="22"/>
                <w:szCs w:val="22"/>
              </w:rPr>
            </w:pPr>
            <w:r w:rsidRPr="0039431F">
              <w:rPr>
                <w:sz w:val="22"/>
                <w:szCs w:val="22"/>
              </w:rPr>
              <w:t>SZR</w:t>
            </w:r>
          </w:p>
        </w:tc>
        <w:tc>
          <w:tcPr>
            <w:tcW w:w="7639" w:type="dxa"/>
            <w:tcBorders>
              <w:top w:val="single" w:sz="6" w:space="0" w:color="4F6228"/>
              <w:left w:val="single" w:sz="6" w:space="0" w:color="4F6228"/>
              <w:bottom w:val="single" w:sz="6" w:space="0" w:color="4F6228"/>
              <w:right w:val="double" w:sz="4" w:space="0" w:color="4F6228"/>
            </w:tcBorders>
            <w:vAlign w:val="center"/>
          </w:tcPr>
          <w:p w:rsidR="00F25198" w:rsidRPr="0039431F" w:rsidRDefault="005D1A8D" w:rsidP="002C7CDB">
            <w:pPr>
              <w:autoSpaceDE w:val="0"/>
              <w:autoSpaceDN w:val="0"/>
              <w:adjustRightInd w:val="0"/>
              <w:rPr>
                <w:sz w:val="22"/>
                <w:szCs w:val="22"/>
              </w:rPr>
            </w:pPr>
            <w:r w:rsidRPr="0039431F">
              <w:rPr>
                <w:sz w:val="22"/>
                <w:szCs w:val="22"/>
              </w:rPr>
              <w:t>Správa základních registrů</w:t>
            </w:r>
          </w:p>
        </w:tc>
      </w:tr>
      <w:tr w:rsidR="00A75862" w:rsidRPr="00426689" w:rsidTr="00343699">
        <w:trPr>
          <w:trHeight w:hRule="exact" w:val="459"/>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TOP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D0C3E">
            <w:pPr>
              <w:autoSpaceDE w:val="0"/>
              <w:autoSpaceDN w:val="0"/>
              <w:adjustRightInd w:val="0"/>
              <w:rPr>
                <w:sz w:val="22"/>
                <w:szCs w:val="22"/>
              </w:rPr>
            </w:pPr>
            <w:r w:rsidRPr="0039431F">
              <w:rPr>
                <w:sz w:val="22"/>
                <w:szCs w:val="22"/>
              </w:rPr>
              <w:t>T</w:t>
            </w:r>
            <w:r w:rsidR="00CD0C3E">
              <w:rPr>
                <w:sz w:val="22"/>
                <w:szCs w:val="22"/>
              </w:rPr>
              <w:t>e</w:t>
            </w:r>
            <w:r w:rsidRPr="0039431F">
              <w:rPr>
                <w:sz w:val="22"/>
                <w:szCs w:val="22"/>
              </w:rPr>
              <w:t>matické operační programy</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TP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Technická pomoc</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ÚAP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Územně analytické podklady</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ÚOHS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Úřad pro ochranu hospodářské soutěže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ÚP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Úřad práce/územní plán</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ÚFO</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Územní finanční orgán</w:t>
            </w:r>
          </w:p>
        </w:tc>
      </w:tr>
      <w:tr w:rsidR="00F95266"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95266" w:rsidRPr="0039431F" w:rsidRDefault="00F95266" w:rsidP="002C7CDB">
            <w:pPr>
              <w:autoSpaceDE w:val="0"/>
              <w:autoSpaceDN w:val="0"/>
              <w:adjustRightInd w:val="0"/>
              <w:jc w:val="center"/>
              <w:rPr>
                <w:sz w:val="22"/>
                <w:szCs w:val="22"/>
              </w:rPr>
            </w:pPr>
            <w:r w:rsidRPr="0039431F">
              <w:rPr>
                <w:sz w:val="22"/>
                <w:szCs w:val="22"/>
              </w:rPr>
              <w:t>VIÚ</w:t>
            </w:r>
          </w:p>
        </w:tc>
        <w:tc>
          <w:tcPr>
            <w:tcW w:w="7639" w:type="dxa"/>
            <w:tcBorders>
              <w:top w:val="single" w:sz="6" w:space="0" w:color="4F6228"/>
              <w:left w:val="single" w:sz="6" w:space="0" w:color="4F6228"/>
              <w:bottom w:val="single" w:sz="6" w:space="0" w:color="4F6228"/>
              <w:right w:val="double" w:sz="4" w:space="0" w:color="4F6228"/>
            </w:tcBorders>
            <w:vAlign w:val="center"/>
          </w:tcPr>
          <w:p w:rsidR="00F95266" w:rsidRPr="0039431F" w:rsidRDefault="00A20F23" w:rsidP="002C7CDB">
            <w:pPr>
              <w:autoSpaceDE w:val="0"/>
              <w:autoSpaceDN w:val="0"/>
              <w:adjustRightInd w:val="0"/>
              <w:rPr>
                <w:sz w:val="22"/>
                <w:szCs w:val="22"/>
              </w:rPr>
            </w:pPr>
            <w:r w:rsidRPr="0039431F">
              <w:rPr>
                <w:sz w:val="22"/>
                <w:szCs w:val="22"/>
              </w:rPr>
              <w:t>Vnitřní integrace úřadu a integrace s ISVS</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VK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Výběrová komise</w:t>
            </w:r>
          </w:p>
        </w:tc>
      </w:tr>
      <w:tr w:rsidR="00F25198"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25198" w:rsidRPr="0039431F" w:rsidRDefault="00F25198" w:rsidP="002C7CDB">
            <w:pPr>
              <w:autoSpaceDE w:val="0"/>
              <w:autoSpaceDN w:val="0"/>
              <w:adjustRightInd w:val="0"/>
              <w:jc w:val="center"/>
              <w:rPr>
                <w:sz w:val="22"/>
                <w:szCs w:val="22"/>
              </w:rPr>
            </w:pPr>
            <w:r w:rsidRPr="0039431F">
              <w:rPr>
                <w:sz w:val="22"/>
                <w:szCs w:val="22"/>
              </w:rPr>
              <w:t>VKZ</w:t>
            </w:r>
          </w:p>
        </w:tc>
        <w:tc>
          <w:tcPr>
            <w:tcW w:w="7639" w:type="dxa"/>
            <w:tcBorders>
              <w:top w:val="single" w:sz="6" w:space="0" w:color="4F6228"/>
              <w:left w:val="single" w:sz="6" w:space="0" w:color="4F6228"/>
              <w:bottom w:val="single" w:sz="6" w:space="0" w:color="4F6228"/>
              <w:right w:val="double" w:sz="4" w:space="0" w:color="4F6228"/>
            </w:tcBorders>
            <w:vAlign w:val="center"/>
          </w:tcPr>
          <w:p w:rsidR="00F25198" w:rsidRPr="0039431F" w:rsidRDefault="005D1A8D" w:rsidP="002C7CDB">
            <w:pPr>
              <w:autoSpaceDE w:val="0"/>
              <w:autoSpaceDN w:val="0"/>
              <w:adjustRightInd w:val="0"/>
              <w:rPr>
                <w:sz w:val="22"/>
                <w:szCs w:val="22"/>
              </w:rPr>
            </w:pPr>
            <w:r w:rsidRPr="0039431F">
              <w:rPr>
                <w:sz w:val="22"/>
                <w:szCs w:val="22"/>
              </w:rPr>
              <w:t>Výroční kontrolní zpráva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F7158D" w:rsidP="002C7CDB">
            <w:pPr>
              <w:autoSpaceDE w:val="0"/>
              <w:autoSpaceDN w:val="0"/>
              <w:adjustRightInd w:val="0"/>
              <w:jc w:val="center"/>
              <w:rPr>
                <w:sz w:val="22"/>
                <w:szCs w:val="22"/>
              </w:rPr>
            </w:pPr>
            <w:r w:rsidRPr="0039431F">
              <w:rPr>
                <w:sz w:val="22"/>
                <w:szCs w:val="22"/>
              </w:rPr>
              <w:t>ZD</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126851" w:rsidP="002C7CDB">
            <w:pPr>
              <w:autoSpaceDE w:val="0"/>
              <w:autoSpaceDN w:val="0"/>
              <w:adjustRightInd w:val="0"/>
              <w:rPr>
                <w:sz w:val="22"/>
                <w:szCs w:val="22"/>
              </w:rPr>
            </w:pPr>
            <w:r w:rsidRPr="0039431F">
              <w:rPr>
                <w:sz w:val="22"/>
                <w:szCs w:val="22"/>
              </w:rPr>
              <w:t>Zadávací dokumentace</w:t>
            </w:r>
          </w:p>
        </w:tc>
      </w:tr>
      <w:tr w:rsidR="00F7158D"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7158D" w:rsidRPr="0039431F" w:rsidRDefault="00F7158D" w:rsidP="002C7CDB">
            <w:pPr>
              <w:autoSpaceDE w:val="0"/>
              <w:autoSpaceDN w:val="0"/>
              <w:adjustRightInd w:val="0"/>
              <w:jc w:val="center"/>
              <w:rPr>
                <w:sz w:val="22"/>
                <w:szCs w:val="22"/>
              </w:rPr>
            </w:pPr>
            <w:r w:rsidRPr="0039431F">
              <w:rPr>
                <w:sz w:val="22"/>
                <w:szCs w:val="22"/>
              </w:rPr>
              <w:t>ZS</w:t>
            </w:r>
          </w:p>
        </w:tc>
        <w:tc>
          <w:tcPr>
            <w:tcW w:w="7639" w:type="dxa"/>
            <w:tcBorders>
              <w:top w:val="single" w:sz="6" w:space="0" w:color="4F6228"/>
              <w:left w:val="single" w:sz="6" w:space="0" w:color="4F6228"/>
              <w:bottom w:val="single" w:sz="6" w:space="0" w:color="4F6228"/>
              <w:right w:val="double" w:sz="4" w:space="0" w:color="4F6228"/>
            </w:tcBorders>
            <w:vAlign w:val="center"/>
          </w:tcPr>
          <w:p w:rsidR="00F7158D" w:rsidRPr="0039431F" w:rsidRDefault="00F7158D" w:rsidP="002C7CDB">
            <w:pPr>
              <w:autoSpaceDE w:val="0"/>
              <w:autoSpaceDN w:val="0"/>
              <w:adjustRightInd w:val="0"/>
              <w:rPr>
                <w:sz w:val="22"/>
                <w:szCs w:val="22"/>
              </w:rPr>
            </w:pPr>
            <w:r w:rsidRPr="0039431F">
              <w:rPr>
                <w:sz w:val="22"/>
                <w:szCs w:val="22"/>
              </w:rPr>
              <w:t>Zprostředkující subjekt</w:t>
            </w:r>
          </w:p>
        </w:tc>
      </w:tr>
      <w:tr w:rsidR="00F7158D"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7158D" w:rsidRPr="0039431F" w:rsidRDefault="00F7158D" w:rsidP="002C7CDB">
            <w:pPr>
              <w:autoSpaceDE w:val="0"/>
              <w:autoSpaceDN w:val="0"/>
              <w:adjustRightInd w:val="0"/>
              <w:jc w:val="center"/>
              <w:rPr>
                <w:sz w:val="22"/>
                <w:szCs w:val="22"/>
              </w:rPr>
            </w:pPr>
            <w:r w:rsidRPr="0039431F">
              <w:rPr>
                <w:sz w:val="22"/>
                <w:szCs w:val="22"/>
              </w:rPr>
              <w:t>ZVZ</w:t>
            </w:r>
          </w:p>
        </w:tc>
        <w:tc>
          <w:tcPr>
            <w:tcW w:w="7639" w:type="dxa"/>
            <w:tcBorders>
              <w:top w:val="single" w:sz="6" w:space="0" w:color="4F6228"/>
              <w:left w:val="single" w:sz="6" w:space="0" w:color="4F6228"/>
              <w:bottom w:val="single" w:sz="6" w:space="0" w:color="4F6228"/>
              <w:right w:val="double" w:sz="4" w:space="0" w:color="4F6228"/>
            </w:tcBorders>
            <w:vAlign w:val="center"/>
          </w:tcPr>
          <w:p w:rsidR="00F7158D" w:rsidRPr="0039431F" w:rsidRDefault="00F7158D" w:rsidP="002C7CDB">
            <w:pPr>
              <w:autoSpaceDE w:val="0"/>
              <w:autoSpaceDN w:val="0"/>
              <w:adjustRightInd w:val="0"/>
              <w:rPr>
                <w:sz w:val="22"/>
                <w:szCs w:val="22"/>
              </w:rPr>
            </w:pPr>
            <w:r w:rsidRPr="0039431F">
              <w:rPr>
                <w:sz w:val="22"/>
                <w:szCs w:val="22"/>
              </w:rPr>
              <w:t>Zákon o veřejných zakázkách</w:t>
            </w:r>
          </w:p>
        </w:tc>
      </w:tr>
      <w:tr w:rsidR="00F7158D" w:rsidRPr="00426689" w:rsidTr="0015228C">
        <w:trPr>
          <w:trHeight w:hRule="exact" w:val="261"/>
          <w:jc w:val="center"/>
        </w:trPr>
        <w:tc>
          <w:tcPr>
            <w:tcW w:w="1717" w:type="dxa"/>
            <w:tcBorders>
              <w:top w:val="single" w:sz="6" w:space="0" w:color="4F6228"/>
              <w:left w:val="double" w:sz="4" w:space="0" w:color="4F6228"/>
              <w:bottom w:val="double" w:sz="4" w:space="0" w:color="4F6228"/>
              <w:right w:val="single" w:sz="6" w:space="0" w:color="4F6228"/>
            </w:tcBorders>
            <w:vAlign w:val="center"/>
          </w:tcPr>
          <w:p w:rsidR="00F7158D" w:rsidRPr="0039431F" w:rsidRDefault="00F7158D" w:rsidP="002C7CDB">
            <w:pPr>
              <w:autoSpaceDE w:val="0"/>
              <w:autoSpaceDN w:val="0"/>
              <w:adjustRightInd w:val="0"/>
              <w:jc w:val="center"/>
              <w:rPr>
                <w:sz w:val="22"/>
                <w:szCs w:val="22"/>
              </w:rPr>
            </w:pPr>
            <w:proofErr w:type="spellStart"/>
            <w:r w:rsidRPr="0039431F">
              <w:rPr>
                <w:sz w:val="22"/>
                <w:szCs w:val="22"/>
              </w:rPr>
              <w:t>ŽoP</w:t>
            </w:r>
            <w:proofErr w:type="spellEnd"/>
          </w:p>
        </w:tc>
        <w:tc>
          <w:tcPr>
            <w:tcW w:w="7639" w:type="dxa"/>
            <w:tcBorders>
              <w:top w:val="single" w:sz="6" w:space="0" w:color="4F6228"/>
              <w:left w:val="single" w:sz="6" w:space="0" w:color="4F6228"/>
              <w:bottom w:val="double" w:sz="4" w:space="0" w:color="4F6228"/>
              <w:right w:val="double" w:sz="4" w:space="0" w:color="4F6228"/>
            </w:tcBorders>
            <w:vAlign w:val="center"/>
          </w:tcPr>
          <w:p w:rsidR="00F7158D" w:rsidRPr="0039431F" w:rsidRDefault="00F7158D" w:rsidP="002C7CDB">
            <w:pPr>
              <w:autoSpaceDE w:val="0"/>
              <w:autoSpaceDN w:val="0"/>
              <w:adjustRightInd w:val="0"/>
              <w:rPr>
                <w:sz w:val="22"/>
                <w:szCs w:val="22"/>
              </w:rPr>
            </w:pPr>
            <w:r w:rsidRPr="0039431F">
              <w:rPr>
                <w:sz w:val="22"/>
                <w:szCs w:val="22"/>
              </w:rPr>
              <w:t>Žádost o platbu</w:t>
            </w:r>
          </w:p>
        </w:tc>
      </w:tr>
    </w:tbl>
    <w:p w:rsidR="00CA7985" w:rsidRDefault="00CA7985" w:rsidP="007F6852"/>
    <w:p w:rsidR="00A75862" w:rsidRPr="00C05B44" w:rsidRDefault="00A75862" w:rsidP="00A664CB">
      <w:pPr>
        <w:pStyle w:val="Nadpis1"/>
        <w:rPr>
          <w:rFonts w:ascii="Times New Roman" w:hAnsi="Times New Roman"/>
        </w:rPr>
      </w:pPr>
      <w:bookmarkStart w:id="304" w:name="_Toc417024910"/>
      <w:r w:rsidRPr="00C05B44">
        <w:rPr>
          <w:b w:val="0"/>
          <w:bCs w:val="0"/>
        </w:rPr>
        <w:lastRenderedPageBreak/>
        <w:t>PŘÍLOHY</w:t>
      </w:r>
      <w:bookmarkEnd w:id="304"/>
    </w:p>
    <w:p w:rsidR="00A75862" w:rsidRDefault="00A75862" w:rsidP="00A664CB">
      <w:pPr>
        <w:ind w:left="426" w:hanging="426"/>
        <w:jc w:val="both"/>
        <w:rPr>
          <w:b/>
          <w:sz w:val="28"/>
          <w:szCs w:val="28"/>
        </w:rPr>
      </w:pPr>
    </w:p>
    <w:p w:rsidR="00A75862" w:rsidRDefault="00A75862" w:rsidP="0051439F">
      <w:pPr>
        <w:ind w:left="426" w:hanging="426"/>
        <w:jc w:val="both"/>
        <w:rPr>
          <w:b/>
          <w:sz w:val="24"/>
          <w:szCs w:val="24"/>
        </w:rPr>
      </w:pPr>
      <w:r>
        <w:rPr>
          <w:b/>
          <w:sz w:val="24"/>
          <w:szCs w:val="24"/>
        </w:rPr>
        <w:t xml:space="preserve">Příloha č. 1 - </w:t>
      </w:r>
      <w:r w:rsidR="009F064F" w:rsidRPr="009F064F">
        <w:rPr>
          <w:b/>
          <w:bCs/>
          <w:iCs/>
          <w:sz w:val="22"/>
          <w:szCs w:val="22"/>
        </w:rPr>
        <w:t>Formuláře pro vykazování synergických vazeb podle tematických oblastí</w:t>
      </w:r>
    </w:p>
    <w:p w:rsidR="00A75862" w:rsidRDefault="00A75862" w:rsidP="00A664CB">
      <w:pPr>
        <w:ind w:left="1560" w:hanging="1560"/>
        <w:jc w:val="both"/>
        <w:rPr>
          <w:b/>
          <w:sz w:val="24"/>
          <w:szCs w:val="24"/>
        </w:rPr>
      </w:pPr>
      <w:r w:rsidRPr="00A861D3">
        <w:rPr>
          <w:b/>
          <w:sz w:val="24"/>
          <w:szCs w:val="24"/>
        </w:rPr>
        <w:t>Příloha č. 2 –</w:t>
      </w:r>
      <w:r w:rsidR="009F064F" w:rsidRPr="009F064F">
        <w:t xml:space="preserve"> </w:t>
      </w:r>
      <w:r w:rsidR="009F064F" w:rsidRPr="009F064F">
        <w:rPr>
          <w:b/>
          <w:bCs/>
          <w:iCs/>
          <w:sz w:val="22"/>
          <w:szCs w:val="22"/>
        </w:rPr>
        <w:t>Aktivity v oblasti publicity za rok 2014</w:t>
      </w:r>
    </w:p>
    <w:p w:rsidR="00A75862" w:rsidRDefault="00A75862" w:rsidP="0051439F">
      <w:pPr>
        <w:ind w:left="1560" w:hanging="1560"/>
        <w:jc w:val="both"/>
        <w:rPr>
          <w:b/>
          <w:sz w:val="24"/>
          <w:szCs w:val="24"/>
        </w:rPr>
      </w:pPr>
      <w:r w:rsidRPr="00A861D3">
        <w:rPr>
          <w:b/>
          <w:sz w:val="24"/>
          <w:szCs w:val="24"/>
        </w:rPr>
        <w:t xml:space="preserve">Příloha č. 3 </w:t>
      </w:r>
      <w:r w:rsidRPr="00101F97">
        <w:rPr>
          <w:b/>
          <w:sz w:val="22"/>
          <w:szCs w:val="22"/>
        </w:rPr>
        <w:t xml:space="preserve">– </w:t>
      </w:r>
      <w:r w:rsidR="00101F97" w:rsidRPr="00101F97">
        <w:rPr>
          <w:b/>
          <w:bCs/>
          <w:iCs/>
          <w:sz w:val="22"/>
          <w:szCs w:val="22"/>
        </w:rPr>
        <w:t>Akční plány evaluací</w:t>
      </w:r>
    </w:p>
    <w:p w:rsidR="00A75862" w:rsidRDefault="00A75862" w:rsidP="00A664CB">
      <w:pPr>
        <w:jc w:val="both"/>
        <w:rPr>
          <w:b/>
          <w:sz w:val="24"/>
          <w:szCs w:val="24"/>
        </w:rPr>
      </w:pPr>
      <w:r w:rsidRPr="00A861D3">
        <w:rPr>
          <w:b/>
          <w:sz w:val="24"/>
          <w:szCs w:val="24"/>
        </w:rPr>
        <w:t xml:space="preserve">Příloha č. </w:t>
      </w:r>
      <w:r>
        <w:rPr>
          <w:b/>
          <w:sz w:val="24"/>
          <w:szCs w:val="24"/>
        </w:rPr>
        <w:t>4</w:t>
      </w:r>
      <w:r w:rsidRPr="00A861D3">
        <w:rPr>
          <w:b/>
          <w:sz w:val="24"/>
          <w:szCs w:val="24"/>
        </w:rPr>
        <w:t xml:space="preserve"> </w:t>
      </w:r>
      <w:r>
        <w:rPr>
          <w:b/>
          <w:sz w:val="24"/>
          <w:szCs w:val="24"/>
        </w:rPr>
        <w:t>–</w:t>
      </w:r>
      <w:r w:rsidRPr="00A861D3">
        <w:rPr>
          <w:b/>
          <w:sz w:val="24"/>
          <w:szCs w:val="24"/>
        </w:rPr>
        <w:t xml:space="preserve"> </w:t>
      </w:r>
      <w:r w:rsidR="00A6321B" w:rsidRPr="00A6321B">
        <w:rPr>
          <w:b/>
          <w:bCs/>
          <w:iCs/>
          <w:sz w:val="22"/>
          <w:szCs w:val="22"/>
        </w:rPr>
        <w:t>Krizový akční plán IOP</w:t>
      </w:r>
    </w:p>
    <w:p w:rsidR="00A75862" w:rsidRPr="00642A6C" w:rsidRDefault="00A75862" w:rsidP="00AD52C0">
      <w:pPr>
        <w:pStyle w:val="Nadpis3"/>
        <w:rPr>
          <w:b w:val="0"/>
          <w:sz w:val="28"/>
          <w:szCs w:val="28"/>
        </w:rPr>
      </w:pPr>
      <w:r>
        <w:br w:type="page"/>
      </w:r>
      <w:bookmarkStart w:id="305" w:name="_Toc417024911"/>
      <w:r w:rsidRPr="00AD52C0">
        <w:lastRenderedPageBreak/>
        <w:t>Příloha č. 1 Formuláře pro vykazování synergických vazeb podle</w:t>
      </w:r>
      <w:r w:rsidR="00AC781F" w:rsidRPr="00AD52C0">
        <w:t xml:space="preserve"> </w:t>
      </w:r>
      <w:r w:rsidRPr="00AD52C0">
        <w:t>tematických oblastí</w:t>
      </w:r>
      <w:bookmarkEnd w:id="305"/>
    </w:p>
    <w:p w:rsidR="00A75862" w:rsidRPr="004F4455" w:rsidRDefault="00A75862" w:rsidP="004F4455">
      <w:pPr>
        <w:jc w:val="center"/>
        <w:rPr>
          <w:b/>
          <w:bCs/>
          <w:smallCaps/>
          <w:sz w:val="24"/>
          <w:szCs w:val="24"/>
        </w:rPr>
      </w:pPr>
      <w:r w:rsidRPr="000F0CC5">
        <w:rPr>
          <w:b/>
          <w:bCs/>
          <w:smallCaps/>
          <w:sz w:val="24"/>
          <w:szCs w:val="24"/>
        </w:rPr>
        <w:t xml:space="preserve">formulář č. 1 – </w:t>
      </w:r>
      <w:proofErr w:type="spellStart"/>
      <w:r w:rsidRPr="000F0CC5">
        <w:rPr>
          <w:b/>
          <w:bCs/>
          <w:smallCaps/>
          <w:sz w:val="24"/>
          <w:szCs w:val="24"/>
        </w:rPr>
        <w:t>smart</w:t>
      </w:r>
      <w:proofErr w:type="spellEnd"/>
      <w:r w:rsidRPr="000F0CC5">
        <w:rPr>
          <w:b/>
          <w:bCs/>
          <w:smallCaps/>
          <w:sz w:val="24"/>
          <w:szCs w:val="24"/>
        </w:rPr>
        <w:t xml:space="preserve"> </w:t>
      </w:r>
      <w:proofErr w:type="spellStart"/>
      <w:r w:rsidRPr="000F0CC5">
        <w:rPr>
          <w:b/>
          <w:bCs/>
          <w:smallCaps/>
          <w:sz w:val="24"/>
          <w:szCs w:val="24"/>
        </w:rPr>
        <w:t>administration</w:t>
      </w:r>
      <w:proofErr w:type="spellEnd"/>
    </w:p>
    <w:p w:rsidR="00A75862" w:rsidRDefault="00A75862" w:rsidP="00A664CB">
      <w:pPr>
        <w:rPr>
          <w:b/>
          <w:bCs/>
          <w:smallCaps/>
          <w:sz w:val="22"/>
          <w:szCs w:val="22"/>
        </w:rPr>
      </w:pPr>
      <w:r w:rsidRPr="000F0CC5">
        <w:rPr>
          <w:b/>
          <w:bCs/>
          <w:smallCaps/>
          <w:sz w:val="22"/>
          <w:szCs w:val="22"/>
        </w:rPr>
        <w:t>Zpracovatel podkladu: zprostředkující subjekt – ministerstvo vnitra</w:t>
      </w:r>
    </w:p>
    <w:tbl>
      <w:tblPr>
        <w:tblW w:w="9104" w:type="dxa"/>
        <w:tblInd w:w="108"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Look w:val="01E0" w:firstRow="1" w:lastRow="1" w:firstColumn="1" w:lastColumn="1" w:noHBand="0" w:noVBand="0"/>
      </w:tblPr>
      <w:tblGrid>
        <w:gridCol w:w="1039"/>
        <w:gridCol w:w="2233"/>
        <w:gridCol w:w="697"/>
        <w:gridCol w:w="764"/>
        <w:gridCol w:w="1151"/>
        <w:gridCol w:w="1047"/>
        <w:gridCol w:w="1098"/>
        <w:gridCol w:w="1075"/>
      </w:tblGrid>
      <w:tr w:rsidR="00A75862" w:rsidRPr="00537576" w:rsidTr="00FC3458">
        <w:tc>
          <w:tcPr>
            <w:tcW w:w="3969" w:type="dxa"/>
            <w:gridSpan w:val="3"/>
            <w:shd w:val="clear" w:color="auto" w:fill="C2D69B" w:themeFill="accent3" w:themeFillTint="99"/>
          </w:tcPr>
          <w:p w:rsidR="00A75862" w:rsidRPr="00537576" w:rsidRDefault="00A75862" w:rsidP="00706D62">
            <w:pPr>
              <w:rPr>
                <w:b/>
                <w:bCs/>
                <w:color w:val="000000"/>
              </w:rPr>
            </w:pPr>
            <w:r w:rsidRPr="00537576">
              <w:rPr>
                <w:b/>
                <w:bCs/>
                <w:color w:val="000000"/>
              </w:rPr>
              <w:t>Zpracovatel formuláře:</w:t>
            </w:r>
          </w:p>
        </w:tc>
        <w:tc>
          <w:tcPr>
            <w:tcW w:w="5135" w:type="dxa"/>
            <w:gridSpan w:val="5"/>
            <w:shd w:val="clear" w:color="auto" w:fill="C2D69B" w:themeFill="accent3" w:themeFillTint="99"/>
          </w:tcPr>
          <w:p w:rsidR="00A75862" w:rsidRPr="00537576" w:rsidRDefault="00A75862" w:rsidP="00706D62">
            <w:pPr>
              <w:rPr>
                <w:i/>
                <w:iCs/>
                <w:color w:val="000000"/>
              </w:rPr>
            </w:pPr>
            <w:r w:rsidRPr="00537576">
              <w:rPr>
                <w:i/>
                <w:iCs/>
                <w:color w:val="000000"/>
              </w:rPr>
              <w:t>Zprostředkující subjekt Ministerstvo vnitra</w:t>
            </w:r>
          </w:p>
        </w:tc>
      </w:tr>
      <w:tr w:rsidR="00A75862" w:rsidRPr="00537576" w:rsidTr="00FC3458">
        <w:tc>
          <w:tcPr>
            <w:tcW w:w="3969" w:type="dxa"/>
            <w:gridSpan w:val="3"/>
            <w:shd w:val="clear" w:color="auto" w:fill="C2D69B" w:themeFill="accent3" w:themeFillTint="99"/>
          </w:tcPr>
          <w:p w:rsidR="00A75862" w:rsidRPr="00537576" w:rsidRDefault="00A75862" w:rsidP="00706D62">
            <w:pPr>
              <w:rPr>
                <w:b/>
                <w:bCs/>
                <w:color w:val="000000"/>
              </w:rPr>
            </w:pPr>
            <w:r w:rsidRPr="00537576">
              <w:rPr>
                <w:b/>
                <w:bCs/>
                <w:color w:val="000000"/>
              </w:rPr>
              <w:t>Tematická oblast*:</w:t>
            </w:r>
          </w:p>
        </w:tc>
        <w:tc>
          <w:tcPr>
            <w:tcW w:w="5135" w:type="dxa"/>
            <w:gridSpan w:val="5"/>
            <w:shd w:val="clear" w:color="auto" w:fill="C2D69B" w:themeFill="accent3" w:themeFillTint="99"/>
          </w:tcPr>
          <w:p w:rsidR="00A75862" w:rsidRPr="00537576" w:rsidRDefault="00A75862" w:rsidP="00706D62">
            <w:pPr>
              <w:rPr>
                <w:b/>
                <w:bCs/>
                <w:i/>
                <w:iCs/>
                <w:color w:val="000000"/>
              </w:rPr>
            </w:pPr>
            <w:r w:rsidRPr="00537576">
              <w:rPr>
                <w:b/>
                <w:bCs/>
                <w:i/>
                <w:iCs/>
                <w:color w:val="000000"/>
              </w:rPr>
              <w:t>Modernizace veřejné správy</w:t>
            </w:r>
          </w:p>
        </w:tc>
      </w:tr>
      <w:tr w:rsidR="00A75862" w:rsidRPr="00537576" w:rsidTr="00FC3458">
        <w:tc>
          <w:tcPr>
            <w:tcW w:w="3969" w:type="dxa"/>
            <w:gridSpan w:val="3"/>
            <w:vAlign w:val="center"/>
          </w:tcPr>
          <w:p w:rsidR="00A75862" w:rsidRPr="00537576" w:rsidRDefault="00A75862" w:rsidP="00706D62">
            <w:pPr>
              <w:rPr>
                <w:color w:val="000000"/>
              </w:rPr>
            </w:pPr>
            <w:r w:rsidRPr="00537576">
              <w:rPr>
                <w:color w:val="000000"/>
              </w:rPr>
              <w:t>Synergické oblasti podpory OP/ROP1*</w:t>
            </w:r>
            <w:r w:rsidRPr="00537576">
              <w:rPr>
                <w:b/>
                <w:bCs/>
                <w:color w:val="000000"/>
                <w:u w:val="single"/>
              </w:rPr>
              <w:t xml:space="preserve">                               </w:t>
            </w:r>
            <w:r w:rsidRPr="00537576">
              <w:rPr>
                <w:b/>
                <w:bCs/>
                <w:color w:val="000000"/>
              </w:rPr>
              <w:t xml:space="preserve"> </w:t>
            </w:r>
            <w:r w:rsidRPr="00537576">
              <w:rPr>
                <w:color w:val="000000"/>
              </w:rPr>
              <w:t>:</w:t>
            </w:r>
          </w:p>
        </w:tc>
        <w:tc>
          <w:tcPr>
            <w:tcW w:w="5135" w:type="dxa"/>
            <w:gridSpan w:val="5"/>
          </w:tcPr>
          <w:p w:rsidR="00A75862" w:rsidRPr="00537576" w:rsidRDefault="00A75862" w:rsidP="00706D62">
            <w:pPr>
              <w:rPr>
                <w:i/>
                <w:iCs/>
                <w:color w:val="000000"/>
              </w:rPr>
            </w:pPr>
            <w:r w:rsidRPr="00537576">
              <w:rPr>
                <w:i/>
                <w:iCs/>
                <w:color w:val="000000"/>
              </w:rPr>
              <w:t>Oblast podpory 4.1 OP LZZ</w:t>
            </w:r>
          </w:p>
        </w:tc>
      </w:tr>
      <w:tr w:rsidR="00A75862" w:rsidRPr="00537576" w:rsidTr="00FC3458">
        <w:trPr>
          <w:trHeight w:val="328"/>
        </w:trPr>
        <w:tc>
          <w:tcPr>
            <w:tcW w:w="3969" w:type="dxa"/>
            <w:gridSpan w:val="3"/>
            <w:vAlign w:val="center"/>
          </w:tcPr>
          <w:p w:rsidR="00A75862" w:rsidRPr="00537576" w:rsidRDefault="00A75862" w:rsidP="00706D62">
            <w:pPr>
              <w:rPr>
                <w:color w:val="000000"/>
              </w:rPr>
            </w:pPr>
            <w:r w:rsidRPr="00537576">
              <w:rPr>
                <w:color w:val="000000"/>
              </w:rPr>
              <w:t>Návaznost na oblasti podpory OP/ROP2*</w:t>
            </w:r>
            <w:r w:rsidRPr="00537576">
              <w:rPr>
                <w:b/>
                <w:bCs/>
                <w:color w:val="000000"/>
                <w:u w:val="single"/>
              </w:rPr>
              <w:t xml:space="preserve">                               </w:t>
            </w:r>
            <w:r w:rsidRPr="00537576">
              <w:rPr>
                <w:b/>
                <w:bCs/>
                <w:color w:val="000000"/>
              </w:rPr>
              <w:t xml:space="preserve"> </w:t>
            </w:r>
            <w:r w:rsidRPr="00537576">
              <w:rPr>
                <w:color w:val="000000"/>
              </w:rPr>
              <w:t>:</w:t>
            </w:r>
          </w:p>
        </w:tc>
        <w:tc>
          <w:tcPr>
            <w:tcW w:w="5135" w:type="dxa"/>
            <w:gridSpan w:val="5"/>
          </w:tcPr>
          <w:p w:rsidR="00A75862" w:rsidRPr="00537576" w:rsidRDefault="00A75862" w:rsidP="00706D62">
            <w:pPr>
              <w:rPr>
                <w:i/>
                <w:iCs/>
                <w:color w:val="000000"/>
              </w:rPr>
            </w:pPr>
            <w:r w:rsidRPr="00537576">
              <w:rPr>
                <w:i/>
                <w:iCs/>
                <w:color w:val="000000"/>
              </w:rPr>
              <w:t>/</w:t>
            </w:r>
          </w:p>
        </w:tc>
      </w:tr>
      <w:tr w:rsidR="00A75862" w:rsidRPr="00537576" w:rsidTr="00FC3458">
        <w:tc>
          <w:tcPr>
            <w:tcW w:w="3969" w:type="dxa"/>
            <w:gridSpan w:val="3"/>
            <w:vAlign w:val="center"/>
          </w:tcPr>
          <w:p w:rsidR="00A75862" w:rsidRPr="00537576" w:rsidRDefault="00A75862" w:rsidP="00706D62">
            <w:pPr>
              <w:rPr>
                <w:color w:val="000000"/>
              </w:rPr>
            </w:pPr>
            <w:r w:rsidRPr="00537576">
              <w:rPr>
                <w:color w:val="000000"/>
              </w:rPr>
              <w:t>Je uzavřena dohoda o spolupráci mezi ŘO (PP) a ŘO (NP):</w:t>
            </w:r>
          </w:p>
        </w:tc>
        <w:tc>
          <w:tcPr>
            <w:tcW w:w="5135" w:type="dxa"/>
            <w:gridSpan w:val="5"/>
            <w:vAlign w:val="center"/>
          </w:tcPr>
          <w:p w:rsidR="00A75862" w:rsidRPr="00537576" w:rsidRDefault="00A75862" w:rsidP="00706D62">
            <w:pPr>
              <w:rPr>
                <w:color w:val="000000"/>
              </w:rPr>
            </w:pPr>
            <w:r w:rsidRPr="00537576">
              <w:rPr>
                <w:color w:val="000000"/>
              </w:rPr>
              <w:t>NE</w:t>
            </w:r>
          </w:p>
        </w:tc>
      </w:tr>
      <w:tr w:rsidR="00A75862" w:rsidRPr="00537576" w:rsidTr="00FC3458">
        <w:tc>
          <w:tcPr>
            <w:tcW w:w="9104" w:type="dxa"/>
            <w:gridSpan w:val="8"/>
            <w:shd w:val="clear" w:color="auto" w:fill="C2D69B" w:themeFill="accent3" w:themeFillTint="99"/>
          </w:tcPr>
          <w:p w:rsidR="00A75862" w:rsidRPr="00537576" w:rsidRDefault="00A75862" w:rsidP="00706D62">
            <w:pPr>
              <w:rPr>
                <w:i/>
                <w:iCs/>
                <w:color w:val="000000"/>
              </w:rPr>
            </w:pPr>
            <w:r w:rsidRPr="00537576">
              <w:rPr>
                <w:b/>
                <w:bCs/>
                <w:i/>
                <w:iCs/>
                <w:color w:val="000000"/>
              </w:rPr>
              <w:t xml:space="preserve">Zhodnocení fungování koordinačních mechanismů mezi ŘO(PP) a ŘO (NP) nastavených v dohodách mezi ŘO/v programové dokumentaci/dalších koordinačních mechanismů, vč. popisu formy </w:t>
            </w:r>
            <w:r w:rsidRPr="00537576">
              <w:rPr>
                <w:i/>
                <w:iCs/>
                <w:color w:val="000000"/>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A75862" w:rsidRPr="00537576" w:rsidTr="00FC3458">
        <w:trPr>
          <w:trHeight w:val="648"/>
        </w:trPr>
        <w:tc>
          <w:tcPr>
            <w:tcW w:w="9104" w:type="dxa"/>
            <w:gridSpan w:val="8"/>
          </w:tcPr>
          <w:p w:rsidR="00A75862" w:rsidRPr="00537576" w:rsidRDefault="00A75862" w:rsidP="00706D62">
            <w:pPr>
              <w:rPr>
                <w:color w:val="000000"/>
              </w:rPr>
            </w:pPr>
            <w:r w:rsidRPr="00537576">
              <w:rPr>
                <w:color w:val="000000"/>
              </w:rPr>
              <w:t xml:space="preserve">Systém koordinace budování Smart </w:t>
            </w:r>
            <w:proofErr w:type="spellStart"/>
            <w:r w:rsidRPr="00537576">
              <w:rPr>
                <w:color w:val="000000"/>
              </w:rPr>
              <w:t>Administration</w:t>
            </w:r>
            <w:proofErr w:type="spellEnd"/>
            <w:r w:rsidRPr="00537576">
              <w:rPr>
                <w:color w:val="000000"/>
              </w:rPr>
              <w:t xml:space="preserve"> v návaznosti na IOP a OP LZZ byl vyřešen tak, že administrací příslušných částí operačních programů byl pověřen jeden zprostředkující subjekt, podléhající dvou různým Řídícím orgánům, zde ŘO IOP (MMR) a ŘO OPLZZ (MPSV). S těmito dvěma ŘO má ZS uzavřeny Dohody o delegování činností</w:t>
            </w:r>
          </w:p>
        </w:tc>
      </w:tr>
      <w:tr w:rsidR="00A75862" w:rsidRPr="00537576" w:rsidTr="00FC3458">
        <w:trPr>
          <w:trHeight w:val="66"/>
        </w:trPr>
        <w:tc>
          <w:tcPr>
            <w:tcW w:w="9104" w:type="dxa"/>
            <w:gridSpan w:val="8"/>
            <w:shd w:val="clear" w:color="auto" w:fill="C2D69B" w:themeFill="accent3" w:themeFillTint="99"/>
          </w:tcPr>
          <w:p w:rsidR="00A75862" w:rsidRPr="00537576" w:rsidRDefault="00A75862" w:rsidP="00706D62">
            <w:pPr>
              <w:autoSpaceDE w:val="0"/>
              <w:autoSpaceDN w:val="0"/>
              <w:adjustRightInd w:val="0"/>
              <w:rPr>
                <w:rFonts w:eastAsia="SimSun"/>
                <w:color w:val="000000"/>
                <w:lang w:eastAsia="zh-CN"/>
              </w:rPr>
            </w:pPr>
            <w:r w:rsidRPr="00537576">
              <w:rPr>
                <w:rFonts w:eastAsia="SimSun"/>
                <w:b/>
                <w:bCs/>
                <w:i/>
                <w:iCs/>
                <w:color w:val="000000"/>
                <w:lang w:eastAsia="zh-CN"/>
              </w:rPr>
              <w:t>Přehled synergických projektů naplňujících danou vazbu – sestava MSC2007 221, v případě, že se nevyužívá ke sledování všech synergických vazeb systém MSC2007, uvede se vlastní evidence synergických projektů</w:t>
            </w:r>
          </w:p>
        </w:tc>
      </w:tr>
      <w:tr w:rsidR="00A75862" w:rsidRPr="00537576" w:rsidTr="00FC3458">
        <w:trPr>
          <w:trHeight w:val="66"/>
        </w:trPr>
        <w:tc>
          <w:tcPr>
            <w:tcW w:w="9104" w:type="dxa"/>
            <w:gridSpan w:val="8"/>
          </w:tcPr>
          <w:p w:rsidR="00A75862" w:rsidRPr="00537576" w:rsidRDefault="00A75862" w:rsidP="00706D62">
            <w:pPr>
              <w:autoSpaceDE w:val="0"/>
              <w:autoSpaceDN w:val="0"/>
              <w:adjustRightInd w:val="0"/>
              <w:rPr>
                <w:rFonts w:eastAsia="SimSun"/>
                <w:color w:val="000000"/>
                <w:lang w:eastAsia="zh-CN"/>
              </w:rPr>
            </w:pPr>
            <w:r w:rsidRPr="00537576">
              <w:rPr>
                <w:rFonts w:eastAsia="SimSun"/>
                <w:color w:val="000000"/>
                <w:lang w:eastAsia="zh-CN"/>
              </w:rPr>
              <w:t>Výběrová kritéria: Program = OP/</w:t>
            </w:r>
            <w:r w:rsidRPr="00537576">
              <w:rPr>
                <w:rFonts w:eastAsia="SimSun"/>
                <w:i/>
                <w:iCs/>
                <w:color w:val="000000"/>
                <w:lang w:eastAsia="zh-CN"/>
              </w:rPr>
              <w:t>ROP1</w:t>
            </w:r>
          </w:p>
        </w:tc>
      </w:tr>
      <w:tr w:rsidR="00A75862" w:rsidRPr="00537576" w:rsidTr="00FC3458">
        <w:trPr>
          <w:trHeight w:val="81"/>
        </w:trPr>
        <w:tc>
          <w:tcPr>
            <w:tcW w:w="1039" w:type="dxa"/>
            <w:vAlign w:val="center"/>
          </w:tcPr>
          <w:p w:rsidR="00A75862" w:rsidRPr="00537576" w:rsidRDefault="00A75862" w:rsidP="00706D62">
            <w:pPr>
              <w:jc w:val="center"/>
              <w:rPr>
                <w:color w:val="000000"/>
              </w:rPr>
            </w:pPr>
            <w:r w:rsidRPr="00537576">
              <w:rPr>
                <w:color w:val="000000"/>
              </w:rPr>
              <w:t>Pořadové č.</w:t>
            </w:r>
          </w:p>
        </w:tc>
        <w:tc>
          <w:tcPr>
            <w:tcW w:w="2233" w:type="dxa"/>
            <w:vAlign w:val="center"/>
          </w:tcPr>
          <w:p w:rsidR="00A75862" w:rsidRPr="00537576" w:rsidRDefault="00A75862" w:rsidP="00706D62">
            <w:pPr>
              <w:jc w:val="center"/>
              <w:rPr>
                <w:color w:val="000000"/>
              </w:rPr>
            </w:pPr>
            <w:r w:rsidRPr="00537576">
              <w:rPr>
                <w:color w:val="000000"/>
              </w:rPr>
              <w:t xml:space="preserve">Č. </w:t>
            </w:r>
            <w:proofErr w:type="spellStart"/>
            <w:r w:rsidRPr="00537576">
              <w:rPr>
                <w:color w:val="000000"/>
              </w:rPr>
              <w:t>synerg</w:t>
            </w:r>
            <w:proofErr w:type="spellEnd"/>
            <w:r w:rsidRPr="00537576">
              <w:rPr>
                <w:color w:val="000000"/>
              </w:rPr>
              <w:t>. projektu OP/ROP1 (PP, NP)</w:t>
            </w:r>
          </w:p>
        </w:tc>
        <w:tc>
          <w:tcPr>
            <w:tcW w:w="1461" w:type="dxa"/>
            <w:gridSpan w:val="2"/>
            <w:vAlign w:val="center"/>
          </w:tcPr>
          <w:p w:rsidR="00A75862" w:rsidRPr="00537576" w:rsidRDefault="00A75862" w:rsidP="00706D62">
            <w:pPr>
              <w:jc w:val="center"/>
              <w:rPr>
                <w:color w:val="000000"/>
              </w:rPr>
            </w:pPr>
            <w:r w:rsidRPr="00537576">
              <w:rPr>
                <w:color w:val="000000"/>
              </w:rPr>
              <w:t>Název projektu OP/ROP1</w:t>
            </w:r>
          </w:p>
        </w:tc>
        <w:tc>
          <w:tcPr>
            <w:tcW w:w="1151" w:type="dxa"/>
            <w:vAlign w:val="center"/>
          </w:tcPr>
          <w:p w:rsidR="00A75862" w:rsidRPr="00537576" w:rsidRDefault="00A75862" w:rsidP="00706D62">
            <w:pPr>
              <w:jc w:val="center"/>
              <w:rPr>
                <w:color w:val="000000"/>
              </w:rPr>
            </w:pPr>
            <w:r w:rsidRPr="00537576">
              <w:rPr>
                <w:color w:val="000000"/>
              </w:rPr>
              <w:t>Popis synergie</w:t>
            </w:r>
          </w:p>
        </w:tc>
        <w:tc>
          <w:tcPr>
            <w:tcW w:w="1047" w:type="dxa"/>
            <w:vAlign w:val="center"/>
          </w:tcPr>
          <w:p w:rsidR="00A75862" w:rsidRPr="00537576" w:rsidRDefault="00A75862" w:rsidP="00706D62">
            <w:pPr>
              <w:jc w:val="center"/>
              <w:rPr>
                <w:color w:val="000000"/>
              </w:rPr>
            </w:pPr>
            <w:r w:rsidRPr="00537576">
              <w:rPr>
                <w:color w:val="000000"/>
              </w:rPr>
              <w:t>Přiřazený kód synergie</w:t>
            </w:r>
          </w:p>
        </w:tc>
        <w:tc>
          <w:tcPr>
            <w:tcW w:w="1098" w:type="dxa"/>
            <w:vAlign w:val="center"/>
          </w:tcPr>
          <w:p w:rsidR="00A75862" w:rsidRPr="00537576" w:rsidRDefault="00A75862" w:rsidP="00706D62">
            <w:pPr>
              <w:jc w:val="center"/>
              <w:rPr>
                <w:color w:val="000000"/>
              </w:rPr>
            </w:pPr>
            <w:r w:rsidRPr="00537576">
              <w:rPr>
                <w:color w:val="000000"/>
              </w:rPr>
              <w:t xml:space="preserve">Č. </w:t>
            </w:r>
            <w:proofErr w:type="spellStart"/>
            <w:r w:rsidRPr="00537576">
              <w:rPr>
                <w:color w:val="000000"/>
              </w:rPr>
              <w:t>synerg</w:t>
            </w:r>
            <w:proofErr w:type="spellEnd"/>
            <w:r w:rsidRPr="00537576">
              <w:rPr>
                <w:color w:val="000000"/>
              </w:rPr>
              <w:t>. projektu OP/ROP2</w:t>
            </w:r>
          </w:p>
        </w:tc>
        <w:tc>
          <w:tcPr>
            <w:tcW w:w="1075" w:type="dxa"/>
            <w:vAlign w:val="center"/>
          </w:tcPr>
          <w:p w:rsidR="00A75862" w:rsidRPr="00537576" w:rsidRDefault="00A75862" w:rsidP="00706D62">
            <w:pPr>
              <w:jc w:val="center"/>
              <w:rPr>
                <w:color w:val="000000"/>
              </w:rPr>
            </w:pPr>
            <w:r w:rsidRPr="00537576">
              <w:rPr>
                <w:color w:val="000000"/>
              </w:rPr>
              <w:t>Název projektu OP/ROP2</w:t>
            </w:r>
          </w:p>
        </w:tc>
      </w:tr>
      <w:tr w:rsidR="00A75862" w:rsidRPr="00537576" w:rsidTr="00FC3458">
        <w:trPr>
          <w:trHeight w:val="78"/>
        </w:trPr>
        <w:tc>
          <w:tcPr>
            <w:tcW w:w="1039" w:type="dxa"/>
          </w:tcPr>
          <w:p w:rsidR="00A75862" w:rsidRPr="00537576" w:rsidRDefault="00A75862" w:rsidP="00706D62">
            <w:pPr>
              <w:rPr>
                <w:color w:val="000000"/>
              </w:rPr>
            </w:pPr>
            <w:r w:rsidRPr="00537576">
              <w:rPr>
                <w:color w:val="000000"/>
              </w:rPr>
              <w:t>1</w:t>
            </w:r>
          </w:p>
        </w:tc>
        <w:tc>
          <w:tcPr>
            <w:tcW w:w="2233" w:type="dxa"/>
          </w:tcPr>
          <w:p w:rsidR="00A75862" w:rsidRPr="00537576" w:rsidRDefault="00A75862" w:rsidP="00706D62">
            <w:pPr>
              <w:rPr>
                <w:color w:val="000000"/>
              </w:rPr>
            </w:pPr>
            <w:r w:rsidRPr="00537576">
              <w:rPr>
                <w:color w:val="000000"/>
              </w:rPr>
              <w:t>OP LZZ</w:t>
            </w:r>
          </w:p>
          <w:p w:rsidR="00A75862" w:rsidRPr="00537576" w:rsidRDefault="00A75862" w:rsidP="00706D62">
            <w:pPr>
              <w:rPr>
                <w:color w:val="000000"/>
              </w:rPr>
            </w:pPr>
            <w:r w:rsidRPr="00537576">
              <w:rPr>
                <w:color w:val="000000"/>
              </w:rPr>
              <w:t>CZ.1.04/4.1.00/41.00001</w:t>
            </w:r>
          </w:p>
          <w:p w:rsidR="00A75862" w:rsidRPr="00537576" w:rsidRDefault="00A75862" w:rsidP="00706D62">
            <w:pPr>
              <w:rPr>
                <w:color w:val="000000"/>
              </w:rPr>
            </w:pPr>
          </w:p>
        </w:tc>
        <w:tc>
          <w:tcPr>
            <w:tcW w:w="1461" w:type="dxa"/>
            <w:gridSpan w:val="2"/>
          </w:tcPr>
          <w:p w:rsidR="00A75862" w:rsidRPr="00537576" w:rsidRDefault="00A75862" w:rsidP="00706D62">
            <w:pPr>
              <w:rPr>
                <w:color w:val="000000"/>
              </w:rPr>
            </w:pPr>
            <w:r w:rsidRPr="00537576">
              <w:rPr>
                <w:color w:val="000000"/>
              </w:rPr>
              <w:t xml:space="preserve">Personální zajištění procesů vytěžení informací pro vytváření a konsolidaci kmenových evidencí pojištěnců a jejich individuálních kont v návaznosti na základní registry veřejné správy - 1. část  </w:t>
            </w:r>
          </w:p>
          <w:p w:rsidR="00A75862" w:rsidRPr="00537576" w:rsidRDefault="00A75862" w:rsidP="00706D62">
            <w:pPr>
              <w:rPr>
                <w:color w:val="000000"/>
              </w:rPr>
            </w:pPr>
          </w:p>
        </w:tc>
        <w:tc>
          <w:tcPr>
            <w:tcW w:w="1151" w:type="dxa"/>
          </w:tcPr>
          <w:p w:rsidR="00A75862" w:rsidRPr="00537576" w:rsidRDefault="00A75862" w:rsidP="00706D62">
            <w:pPr>
              <w:spacing w:after="120"/>
              <w:rPr>
                <w:color w:val="000000"/>
                <w:szCs w:val="22"/>
              </w:rPr>
            </w:pPr>
            <w:r w:rsidRPr="00537576">
              <w:rPr>
                <w:color w:val="000000"/>
                <w:szCs w:val="22"/>
              </w:rPr>
              <w:t>Projekt z IOP je investiční a slouží k nákupu HW a SW. Projekty z </w:t>
            </w:r>
            <w:proofErr w:type="gramStart"/>
            <w:r w:rsidRPr="00537576">
              <w:rPr>
                <w:color w:val="000000"/>
                <w:szCs w:val="22"/>
              </w:rPr>
              <w:t>OP</w:t>
            </w:r>
            <w:proofErr w:type="gramEnd"/>
            <w:r w:rsidRPr="00537576">
              <w:rPr>
                <w:color w:val="000000"/>
                <w:szCs w:val="22"/>
              </w:rPr>
              <w:t xml:space="preserve"> LZZ slouží k plnění databází odbornými pracovníky a k dalšímu zpracování dat pojištěnců. </w:t>
            </w:r>
          </w:p>
          <w:p w:rsidR="00A75862" w:rsidRPr="00537576" w:rsidRDefault="00A75862" w:rsidP="00706D62">
            <w:pPr>
              <w:rPr>
                <w:color w:val="000000"/>
              </w:rPr>
            </w:pPr>
          </w:p>
        </w:tc>
        <w:tc>
          <w:tcPr>
            <w:tcW w:w="1047" w:type="dxa"/>
          </w:tcPr>
          <w:p w:rsidR="00A75862" w:rsidRPr="00537576" w:rsidRDefault="00A75862" w:rsidP="00706D62">
            <w:pPr>
              <w:rPr>
                <w:color w:val="000000"/>
              </w:rPr>
            </w:pPr>
            <w:r w:rsidRPr="00537576">
              <w:rPr>
                <w:color w:val="000000"/>
              </w:rPr>
              <w:t>/</w:t>
            </w:r>
          </w:p>
        </w:tc>
        <w:tc>
          <w:tcPr>
            <w:tcW w:w="1098" w:type="dxa"/>
          </w:tcPr>
          <w:p w:rsidR="00A75862" w:rsidRPr="00537576" w:rsidRDefault="00A75862" w:rsidP="00706D62">
            <w:pPr>
              <w:rPr>
                <w:color w:val="000000"/>
              </w:rPr>
            </w:pPr>
            <w:r w:rsidRPr="00537576">
              <w:rPr>
                <w:color w:val="000000"/>
              </w:rPr>
              <w:t>/</w:t>
            </w:r>
          </w:p>
        </w:tc>
        <w:tc>
          <w:tcPr>
            <w:tcW w:w="1075" w:type="dxa"/>
          </w:tcPr>
          <w:p w:rsidR="00A75862" w:rsidRPr="00537576" w:rsidRDefault="00A75862" w:rsidP="00706D62">
            <w:pPr>
              <w:rPr>
                <w:color w:val="000000"/>
              </w:rPr>
            </w:pPr>
            <w:r w:rsidRPr="00537576">
              <w:rPr>
                <w:color w:val="000000"/>
              </w:rPr>
              <w:t>/</w:t>
            </w:r>
          </w:p>
        </w:tc>
      </w:tr>
      <w:tr w:rsidR="00A75862" w:rsidRPr="00537576" w:rsidTr="00FC3458">
        <w:trPr>
          <w:trHeight w:val="78"/>
        </w:trPr>
        <w:tc>
          <w:tcPr>
            <w:tcW w:w="1039" w:type="dxa"/>
          </w:tcPr>
          <w:p w:rsidR="00A75862" w:rsidRPr="00537576" w:rsidRDefault="00A75862" w:rsidP="00706D62">
            <w:pPr>
              <w:rPr>
                <w:color w:val="000000"/>
              </w:rPr>
            </w:pPr>
            <w:r w:rsidRPr="00537576">
              <w:rPr>
                <w:color w:val="000000"/>
              </w:rPr>
              <w:t>2</w:t>
            </w:r>
          </w:p>
        </w:tc>
        <w:tc>
          <w:tcPr>
            <w:tcW w:w="2233" w:type="dxa"/>
          </w:tcPr>
          <w:p w:rsidR="00A75862" w:rsidRPr="00537576" w:rsidRDefault="00A75862" w:rsidP="00706D62">
            <w:pPr>
              <w:rPr>
                <w:color w:val="000000"/>
              </w:rPr>
            </w:pPr>
            <w:r w:rsidRPr="00537576">
              <w:rPr>
                <w:color w:val="000000"/>
              </w:rPr>
              <w:t>OP LZZ</w:t>
            </w:r>
          </w:p>
          <w:p w:rsidR="00A75862" w:rsidRPr="00537576" w:rsidRDefault="00A75862" w:rsidP="00706D62">
            <w:pPr>
              <w:rPr>
                <w:color w:val="000000"/>
              </w:rPr>
            </w:pPr>
            <w:r w:rsidRPr="00537576">
              <w:rPr>
                <w:color w:val="000000"/>
              </w:rPr>
              <w:t>CZ.1.04/4.1.00/41.00002</w:t>
            </w:r>
          </w:p>
          <w:p w:rsidR="00A75862" w:rsidRPr="00537576" w:rsidRDefault="00A75862" w:rsidP="00706D62">
            <w:pPr>
              <w:rPr>
                <w:color w:val="000000"/>
              </w:rPr>
            </w:pPr>
          </w:p>
        </w:tc>
        <w:tc>
          <w:tcPr>
            <w:tcW w:w="1461" w:type="dxa"/>
            <w:gridSpan w:val="2"/>
          </w:tcPr>
          <w:p w:rsidR="00A75862" w:rsidRPr="00537576" w:rsidRDefault="00A75862" w:rsidP="00706D62">
            <w:pPr>
              <w:rPr>
                <w:color w:val="000000"/>
              </w:rPr>
            </w:pPr>
            <w:r w:rsidRPr="00537576">
              <w:rPr>
                <w:color w:val="000000"/>
              </w:rPr>
              <w:t xml:space="preserve">Personální zajištění procesů vytěžení informací pro vytváření a konsolidaci kmenových evidencí pojištěnců a jejich individuálních </w:t>
            </w:r>
            <w:r w:rsidRPr="00537576">
              <w:rPr>
                <w:color w:val="000000"/>
              </w:rPr>
              <w:lastRenderedPageBreak/>
              <w:t xml:space="preserve">kont v návaznosti na základní registry veřejné správy - 2. část </w:t>
            </w:r>
          </w:p>
          <w:p w:rsidR="00A75862" w:rsidRPr="00537576" w:rsidRDefault="00A75862" w:rsidP="00706D62">
            <w:pPr>
              <w:rPr>
                <w:color w:val="000000"/>
              </w:rPr>
            </w:pPr>
          </w:p>
        </w:tc>
        <w:tc>
          <w:tcPr>
            <w:tcW w:w="1151" w:type="dxa"/>
          </w:tcPr>
          <w:p w:rsidR="00A75862" w:rsidRPr="00537576" w:rsidRDefault="00A75862" w:rsidP="00706D62">
            <w:pPr>
              <w:spacing w:after="120"/>
              <w:rPr>
                <w:color w:val="000000"/>
                <w:szCs w:val="22"/>
              </w:rPr>
            </w:pPr>
            <w:r w:rsidRPr="00537576">
              <w:rPr>
                <w:color w:val="000000"/>
                <w:szCs w:val="22"/>
              </w:rPr>
              <w:lastRenderedPageBreak/>
              <w:t>Projekt z IOP je investiční a slouží k nákupu HW a SW. Projekty z </w:t>
            </w:r>
            <w:proofErr w:type="gramStart"/>
            <w:r w:rsidRPr="00537576">
              <w:rPr>
                <w:color w:val="000000"/>
                <w:szCs w:val="22"/>
              </w:rPr>
              <w:t>OP</w:t>
            </w:r>
            <w:proofErr w:type="gramEnd"/>
            <w:r w:rsidRPr="00537576">
              <w:rPr>
                <w:color w:val="000000"/>
                <w:szCs w:val="22"/>
              </w:rPr>
              <w:t xml:space="preserve"> LZZ slouží k plnění databází odbornými </w:t>
            </w:r>
            <w:r w:rsidRPr="00537576">
              <w:rPr>
                <w:color w:val="000000"/>
                <w:szCs w:val="22"/>
              </w:rPr>
              <w:lastRenderedPageBreak/>
              <w:t xml:space="preserve">pracovníky a k dalšímu zpracování dat pojištěnců. </w:t>
            </w:r>
          </w:p>
          <w:p w:rsidR="00A75862" w:rsidRPr="00537576" w:rsidRDefault="00A75862" w:rsidP="00706D62">
            <w:pPr>
              <w:rPr>
                <w:color w:val="000000"/>
              </w:rPr>
            </w:pPr>
          </w:p>
        </w:tc>
        <w:tc>
          <w:tcPr>
            <w:tcW w:w="1047" w:type="dxa"/>
          </w:tcPr>
          <w:p w:rsidR="00A75862" w:rsidRPr="00537576" w:rsidRDefault="00A75862" w:rsidP="00706D62">
            <w:pPr>
              <w:rPr>
                <w:color w:val="000000"/>
              </w:rPr>
            </w:pPr>
            <w:r w:rsidRPr="00537576">
              <w:rPr>
                <w:color w:val="000000"/>
              </w:rPr>
              <w:lastRenderedPageBreak/>
              <w:t>/</w:t>
            </w:r>
          </w:p>
        </w:tc>
        <w:tc>
          <w:tcPr>
            <w:tcW w:w="1098" w:type="dxa"/>
          </w:tcPr>
          <w:p w:rsidR="00A75862" w:rsidRPr="00537576" w:rsidRDefault="00A75862" w:rsidP="00706D62">
            <w:pPr>
              <w:rPr>
                <w:color w:val="000000"/>
              </w:rPr>
            </w:pPr>
            <w:r w:rsidRPr="00537576">
              <w:rPr>
                <w:color w:val="000000"/>
              </w:rPr>
              <w:t>/</w:t>
            </w:r>
          </w:p>
        </w:tc>
        <w:tc>
          <w:tcPr>
            <w:tcW w:w="1075" w:type="dxa"/>
          </w:tcPr>
          <w:p w:rsidR="00A75862" w:rsidRPr="00537576" w:rsidRDefault="00A75862" w:rsidP="00706D62">
            <w:pPr>
              <w:rPr>
                <w:color w:val="000000"/>
              </w:rPr>
            </w:pPr>
            <w:r w:rsidRPr="00537576">
              <w:rPr>
                <w:color w:val="000000"/>
              </w:rPr>
              <w:t>/</w:t>
            </w:r>
          </w:p>
        </w:tc>
      </w:tr>
      <w:tr w:rsidR="00A75862" w:rsidRPr="00537576" w:rsidTr="00FC3458">
        <w:trPr>
          <w:trHeight w:val="78"/>
        </w:trPr>
        <w:tc>
          <w:tcPr>
            <w:tcW w:w="1039" w:type="dxa"/>
          </w:tcPr>
          <w:p w:rsidR="00A75862" w:rsidRPr="00537576" w:rsidRDefault="00A75862" w:rsidP="00706D62">
            <w:pPr>
              <w:rPr>
                <w:color w:val="000000"/>
              </w:rPr>
            </w:pPr>
            <w:r w:rsidRPr="00537576">
              <w:rPr>
                <w:color w:val="000000"/>
              </w:rPr>
              <w:lastRenderedPageBreak/>
              <w:t>3</w:t>
            </w:r>
          </w:p>
        </w:tc>
        <w:tc>
          <w:tcPr>
            <w:tcW w:w="2233" w:type="dxa"/>
          </w:tcPr>
          <w:p w:rsidR="00A75862" w:rsidRPr="00537576" w:rsidRDefault="00A75862" w:rsidP="00706D62">
            <w:pPr>
              <w:rPr>
                <w:color w:val="000000"/>
              </w:rPr>
            </w:pPr>
            <w:r w:rsidRPr="00537576">
              <w:rPr>
                <w:color w:val="000000"/>
              </w:rPr>
              <w:t>IOP</w:t>
            </w:r>
          </w:p>
          <w:p w:rsidR="00A75862" w:rsidRPr="00537576" w:rsidRDefault="00A75862" w:rsidP="00706D62">
            <w:pPr>
              <w:rPr>
                <w:color w:val="000000"/>
              </w:rPr>
            </w:pPr>
            <w:r w:rsidRPr="00537576">
              <w:rPr>
                <w:color w:val="000000"/>
              </w:rPr>
              <w:t>CZ.1.06/1.1.00/07.06393</w:t>
            </w:r>
          </w:p>
          <w:p w:rsidR="00A75862" w:rsidRPr="00537576" w:rsidRDefault="00A75862" w:rsidP="00706D62">
            <w:pPr>
              <w:rPr>
                <w:color w:val="000000"/>
              </w:rPr>
            </w:pPr>
          </w:p>
        </w:tc>
        <w:tc>
          <w:tcPr>
            <w:tcW w:w="1461" w:type="dxa"/>
            <w:gridSpan w:val="2"/>
          </w:tcPr>
          <w:p w:rsidR="00A75862" w:rsidRPr="00537576" w:rsidRDefault="00A75862" w:rsidP="00706D62">
            <w:pPr>
              <w:rPr>
                <w:color w:val="000000"/>
              </w:rPr>
            </w:pPr>
            <w:r w:rsidRPr="00537576">
              <w:rPr>
                <w:color w:val="000000"/>
              </w:rPr>
              <w:t>Vytvoření informačního a komunikačního rozhraní ČSSZ za účelem poskytování informací klientům</w:t>
            </w:r>
          </w:p>
          <w:p w:rsidR="00A75862" w:rsidRPr="00537576" w:rsidRDefault="00A75862" w:rsidP="00706D62">
            <w:pPr>
              <w:rPr>
                <w:color w:val="000000"/>
              </w:rPr>
            </w:pPr>
          </w:p>
        </w:tc>
        <w:tc>
          <w:tcPr>
            <w:tcW w:w="1151" w:type="dxa"/>
          </w:tcPr>
          <w:p w:rsidR="00A75862" w:rsidRPr="00537576" w:rsidRDefault="00A75862" w:rsidP="00706D62">
            <w:pPr>
              <w:spacing w:after="120"/>
              <w:rPr>
                <w:color w:val="000000"/>
                <w:szCs w:val="22"/>
              </w:rPr>
            </w:pPr>
            <w:r w:rsidRPr="00537576">
              <w:rPr>
                <w:color w:val="000000"/>
                <w:szCs w:val="22"/>
              </w:rPr>
              <w:t>Projekt z IOP je investiční a slouží k nákupu HW a SW. Projekty z </w:t>
            </w:r>
            <w:proofErr w:type="gramStart"/>
            <w:r w:rsidRPr="00537576">
              <w:rPr>
                <w:color w:val="000000"/>
                <w:szCs w:val="22"/>
              </w:rPr>
              <w:t>OP</w:t>
            </w:r>
            <w:proofErr w:type="gramEnd"/>
            <w:r w:rsidRPr="00537576">
              <w:rPr>
                <w:color w:val="000000"/>
                <w:szCs w:val="22"/>
              </w:rPr>
              <w:t xml:space="preserve"> LZZ slouží k plnění databází odbornými pracovníky a k dalšímu zpracování dat pojištěnců. </w:t>
            </w:r>
          </w:p>
          <w:p w:rsidR="00A75862" w:rsidRPr="00537576" w:rsidRDefault="00A75862" w:rsidP="00706D62">
            <w:pPr>
              <w:rPr>
                <w:color w:val="000000"/>
              </w:rPr>
            </w:pPr>
          </w:p>
        </w:tc>
        <w:tc>
          <w:tcPr>
            <w:tcW w:w="1047" w:type="dxa"/>
          </w:tcPr>
          <w:p w:rsidR="00A75862" w:rsidRPr="00537576" w:rsidRDefault="00A75862" w:rsidP="00706D62">
            <w:pPr>
              <w:rPr>
                <w:color w:val="000000"/>
              </w:rPr>
            </w:pPr>
            <w:r w:rsidRPr="00537576">
              <w:rPr>
                <w:color w:val="000000"/>
              </w:rPr>
              <w:t>/</w:t>
            </w:r>
          </w:p>
        </w:tc>
        <w:tc>
          <w:tcPr>
            <w:tcW w:w="1098" w:type="dxa"/>
          </w:tcPr>
          <w:p w:rsidR="00A75862" w:rsidRPr="00537576" w:rsidRDefault="00A75862" w:rsidP="00706D62">
            <w:pPr>
              <w:rPr>
                <w:color w:val="000000"/>
              </w:rPr>
            </w:pPr>
            <w:r w:rsidRPr="00537576">
              <w:rPr>
                <w:color w:val="000000"/>
              </w:rPr>
              <w:t>/</w:t>
            </w:r>
          </w:p>
        </w:tc>
        <w:tc>
          <w:tcPr>
            <w:tcW w:w="1075" w:type="dxa"/>
          </w:tcPr>
          <w:p w:rsidR="00A75862" w:rsidRPr="00537576" w:rsidRDefault="00A75862" w:rsidP="00706D62">
            <w:pPr>
              <w:rPr>
                <w:color w:val="000000"/>
              </w:rPr>
            </w:pPr>
            <w:r w:rsidRPr="00537576">
              <w:rPr>
                <w:color w:val="000000"/>
              </w:rPr>
              <w:t>/</w:t>
            </w:r>
          </w:p>
        </w:tc>
      </w:tr>
      <w:tr w:rsidR="00A75862" w:rsidRPr="00537576" w:rsidTr="00FC3458">
        <w:tc>
          <w:tcPr>
            <w:tcW w:w="9104" w:type="dxa"/>
            <w:gridSpan w:val="8"/>
            <w:shd w:val="clear" w:color="auto" w:fill="C2D69B" w:themeFill="accent3" w:themeFillTint="99"/>
          </w:tcPr>
          <w:p w:rsidR="00A75862" w:rsidRPr="00537576" w:rsidRDefault="00A75862" w:rsidP="00706D62">
            <w:pPr>
              <w:autoSpaceDE w:val="0"/>
              <w:autoSpaceDN w:val="0"/>
              <w:adjustRightInd w:val="0"/>
              <w:rPr>
                <w:rFonts w:eastAsia="SimSun"/>
                <w:color w:val="000000"/>
                <w:lang w:eastAsia="zh-CN"/>
              </w:rPr>
            </w:pPr>
            <w:r w:rsidRPr="00537576">
              <w:rPr>
                <w:rFonts w:eastAsia="SimSun"/>
                <w:b/>
                <w:bCs/>
                <w:i/>
                <w:iCs/>
                <w:color w:val="000000"/>
                <w:lang w:eastAsia="zh-CN"/>
              </w:rPr>
              <w:t xml:space="preserve">Komentář k tabulce a další informace o synergických projektech </w:t>
            </w:r>
            <w:r w:rsidRPr="00537576">
              <w:rPr>
                <w:rFonts w:eastAsia="SimSun"/>
                <w:i/>
                <w:iCs/>
                <w:color w:val="000000"/>
                <w:lang w:eastAsia="zh-CN"/>
              </w:rPr>
              <w:t>(celkový počet synergických projektů, nejčetnější synergická oblast, počet nevykazovaných vazeb v sestavě z důvodu přejití NP/PP do negativního stavu,…):</w:t>
            </w:r>
          </w:p>
        </w:tc>
      </w:tr>
      <w:tr w:rsidR="00A75862" w:rsidRPr="00537576" w:rsidTr="00FC3458">
        <w:trPr>
          <w:trHeight w:val="1685"/>
        </w:trPr>
        <w:tc>
          <w:tcPr>
            <w:tcW w:w="9104" w:type="dxa"/>
            <w:gridSpan w:val="8"/>
          </w:tcPr>
          <w:p w:rsidR="00A75862" w:rsidRPr="00537576" w:rsidRDefault="00A75862" w:rsidP="00706D62">
            <w:pPr>
              <w:rPr>
                <w:color w:val="000000"/>
              </w:rPr>
            </w:pPr>
          </w:p>
          <w:p w:rsidR="00A75862" w:rsidRPr="00537576" w:rsidRDefault="00A75862" w:rsidP="00706D62">
            <w:pPr>
              <w:rPr>
                <w:color w:val="000000"/>
              </w:rPr>
            </w:pPr>
            <w:r w:rsidRPr="00537576">
              <w:rPr>
                <w:color w:val="000000"/>
              </w:rPr>
              <w:t>Vazby mezi OPLZZ a IOP (formálně nezakotvené)</w:t>
            </w:r>
          </w:p>
          <w:p w:rsidR="00A75862" w:rsidRPr="00537576" w:rsidRDefault="00A75862" w:rsidP="00706D62">
            <w:pPr>
              <w:rPr>
                <w:color w:val="000000"/>
              </w:rPr>
            </w:pPr>
          </w:p>
          <w:p w:rsidR="00A75862" w:rsidRPr="00537576" w:rsidRDefault="00A75862" w:rsidP="002E608B">
            <w:pPr>
              <w:pStyle w:val="Odstavecseseznamem1"/>
              <w:numPr>
                <w:ilvl w:val="0"/>
                <w:numId w:val="14"/>
              </w:numPr>
              <w:spacing w:after="200" w:line="276" w:lineRule="auto"/>
              <w:rPr>
                <w:b/>
                <w:color w:val="000000"/>
              </w:rPr>
            </w:pPr>
            <w:proofErr w:type="spellStart"/>
            <w:r w:rsidRPr="00537576">
              <w:rPr>
                <w:b/>
                <w:color w:val="000000"/>
              </w:rPr>
              <w:t>Superstrategické</w:t>
            </w:r>
            <w:proofErr w:type="spellEnd"/>
            <w:r w:rsidRPr="00537576">
              <w:rPr>
                <w:b/>
                <w:color w:val="000000"/>
              </w:rPr>
              <w:t xml:space="preserve"> projekty</w:t>
            </w:r>
          </w:p>
          <w:p w:rsidR="00A75862" w:rsidRPr="00537576" w:rsidRDefault="00A75862" w:rsidP="002E608B">
            <w:pPr>
              <w:pStyle w:val="Odstavecseseznamem1"/>
              <w:numPr>
                <w:ilvl w:val="1"/>
                <w:numId w:val="14"/>
              </w:numPr>
              <w:spacing w:after="200" w:line="276" w:lineRule="auto"/>
              <w:rPr>
                <w:color w:val="000000"/>
              </w:rPr>
            </w:pPr>
            <w:r w:rsidRPr="00537576">
              <w:rPr>
                <w:color w:val="000000"/>
              </w:rPr>
              <w:t>Cíl: nastavení základních koordinačních struktur strategie (PMO SA, ÚHA)</w:t>
            </w:r>
          </w:p>
          <w:p w:rsidR="00A75862" w:rsidRPr="00537576" w:rsidRDefault="00A75862" w:rsidP="002E608B">
            <w:pPr>
              <w:pStyle w:val="Odstavecseseznamem1"/>
              <w:numPr>
                <w:ilvl w:val="1"/>
                <w:numId w:val="14"/>
              </w:numPr>
              <w:spacing w:after="200" w:line="276" w:lineRule="auto"/>
              <w:rPr>
                <w:color w:val="000000"/>
              </w:rPr>
            </w:pPr>
            <w:r w:rsidRPr="00537576">
              <w:rPr>
                <w:color w:val="000000"/>
              </w:rPr>
              <w:t xml:space="preserve">Projekty ve výzvě OPLZZ </w:t>
            </w:r>
            <w:r w:rsidRPr="00537576">
              <w:rPr>
                <w:b/>
                <w:color w:val="000000"/>
              </w:rPr>
              <w:t>č. 27</w:t>
            </w:r>
          </w:p>
          <w:p w:rsidR="00A75862" w:rsidRPr="00537576" w:rsidRDefault="00A75862" w:rsidP="00706D62">
            <w:pPr>
              <w:pStyle w:val="Odstavecseseznamem1"/>
              <w:ind w:left="1440"/>
              <w:rPr>
                <w:color w:val="000000"/>
              </w:rPr>
            </w:pPr>
          </w:p>
          <w:p w:rsidR="00A75862" w:rsidRPr="00537576" w:rsidRDefault="00A75862" w:rsidP="002E608B">
            <w:pPr>
              <w:pStyle w:val="Odstavecseseznamem1"/>
              <w:numPr>
                <w:ilvl w:val="0"/>
                <w:numId w:val="14"/>
              </w:numPr>
              <w:spacing w:after="200" w:line="276" w:lineRule="auto"/>
              <w:rPr>
                <w:b/>
                <w:color w:val="000000"/>
              </w:rPr>
            </w:pPr>
            <w:r w:rsidRPr="00537576">
              <w:rPr>
                <w:b/>
                <w:color w:val="000000"/>
              </w:rPr>
              <w:t>Analýzy veřejné správy k navrhování realizace postupů a činností vedoucích k naplnění cílů Strategie</w:t>
            </w:r>
          </w:p>
          <w:p w:rsidR="00A75862" w:rsidRPr="00537576" w:rsidRDefault="00A75862" w:rsidP="002E608B">
            <w:pPr>
              <w:pStyle w:val="Odstavecseseznamem1"/>
              <w:numPr>
                <w:ilvl w:val="1"/>
                <w:numId w:val="14"/>
              </w:numPr>
              <w:spacing w:after="200" w:line="276" w:lineRule="auto"/>
              <w:rPr>
                <w:color w:val="000000"/>
              </w:rPr>
            </w:pPr>
            <w:r w:rsidRPr="00537576">
              <w:rPr>
                <w:color w:val="000000"/>
              </w:rPr>
              <w:t xml:space="preserve">Projekty do výzvy OPLZZ </w:t>
            </w:r>
            <w:r w:rsidRPr="00537576">
              <w:rPr>
                <w:b/>
                <w:color w:val="000000"/>
              </w:rPr>
              <w:t>č. 32</w:t>
            </w:r>
            <w:r w:rsidRPr="00537576">
              <w:rPr>
                <w:color w:val="000000"/>
              </w:rPr>
              <w:t xml:space="preserve"> </w:t>
            </w:r>
          </w:p>
          <w:p w:rsidR="00A75862" w:rsidRPr="00537576" w:rsidRDefault="00A75862" w:rsidP="002E608B">
            <w:pPr>
              <w:pStyle w:val="Odstavecseseznamem1"/>
              <w:numPr>
                <w:ilvl w:val="1"/>
                <w:numId w:val="14"/>
              </w:numPr>
              <w:spacing w:after="200" w:line="276" w:lineRule="auto"/>
              <w:rPr>
                <w:color w:val="000000"/>
              </w:rPr>
            </w:pPr>
            <w:r w:rsidRPr="00537576">
              <w:rPr>
                <w:color w:val="000000"/>
              </w:rPr>
              <w:t xml:space="preserve">Analýzy pro realizaci projektů ve výzvách IOP </w:t>
            </w:r>
            <w:r w:rsidRPr="00537576">
              <w:rPr>
                <w:b/>
                <w:color w:val="000000"/>
              </w:rPr>
              <w:t>č. 03 a č.</w:t>
            </w:r>
            <w:r w:rsidR="00AC781F">
              <w:rPr>
                <w:b/>
                <w:color w:val="000000"/>
              </w:rPr>
              <w:t xml:space="preserve"> </w:t>
            </w:r>
            <w:r w:rsidRPr="00537576">
              <w:rPr>
                <w:b/>
                <w:color w:val="000000"/>
              </w:rPr>
              <w:t>07</w:t>
            </w:r>
          </w:p>
          <w:p w:rsidR="00A75862" w:rsidRPr="00537576" w:rsidRDefault="00A75862" w:rsidP="00706D62">
            <w:pPr>
              <w:pStyle w:val="Odstavecseseznamem1"/>
              <w:ind w:left="1440"/>
              <w:rPr>
                <w:color w:val="000000"/>
              </w:rPr>
            </w:pPr>
          </w:p>
          <w:p w:rsidR="00A75862" w:rsidRPr="00537576" w:rsidRDefault="00A75862" w:rsidP="002E608B">
            <w:pPr>
              <w:pStyle w:val="Odstavecseseznamem1"/>
              <w:numPr>
                <w:ilvl w:val="0"/>
                <w:numId w:val="14"/>
              </w:numPr>
              <w:spacing w:after="200" w:line="276" w:lineRule="auto"/>
              <w:rPr>
                <w:b/>
                <w:color w:val="000000"/>
              </w:rPr>
            </w:pPr>
            <w:r w:rsidRPr="00537576">
              <w:rPr>
                <w:b/>
                <w:color w:val="000000"/>
              </w:rPr>
              <w:t xml:space="preserve">Vzdělávání úředníků a zaměstnanců VS, metodiků a školitelů a politiků oblasti zavádění </w:t>
            </w:r>
            <w:proofErr w:type="spellStart"/>
            <w:r w:rsidRPr="00537576">
              <w:rPr>
                <w:b/>
                <w:color w:val="000000"/>
              </w:rPr>
              <w:t>eGovernmentu</w:t>
            </w:r>
            <w:proofErr w:type="spellEnd"/>
            <w:r w:rsidRPr="00537576">
              <w:rPr>
                <w:b/>
                <w:color w:val="000000"/>
              </w:rPr>
              <w:t xml:space="preserve"> do VS</w:t>
            </w:r>
          </w:p>
          <w:p w:rsidR="00A75862" w:rsidRPr="00537576" w:rsidRDefault="00A75862" w:rsidP="002E608B">
            <w:pPr>
              <w:pStyle w:val="Odstavecseseznamem1"/>
              <w:numPr>
                <w:ilvl w:val="1"/>
                <w:numId w:val="14"/>
              </w:numPr>
              <w:spacing w:after="200" w:line="276" w:lineRule="auto"/>
              <w:rPr>
                <w:b/>
                <w:color w:val="000000"/>
              </w:rPr>
            </w:pPr>
            <w:r w:rsidRPr="00537576">
              <w:rPr>
                <w:color w:val="000000"/>
              </w:rPr>
              <w:t xml:space="preserve">Projekty ve výzvě </w:t>
            </w:r>
            <w:r w:rsidRPr="00537576">
              <w:rPr>
                <w:b/>
                <w:color w:val="000000"/>
              </w:rPr>
              <w:t>č. 38</w:t>
            </w:r>
          </w:p>
          <w:p w:rsidR="00A75862" w:rsidRPr="00537576" w:rsidRDefault="00A75862" w:rsidP="002E608B">
            <w:pPr>
              <w:pStyle w:val="Odstavecseseznamem1"/>
              <w:numPr>
                <w:ilvl w:val="1"/>
                <w:numId w:val="14"/>
              </w:numPr>
              <w:spacing w:after="200" w:line="276" w:lineRule="auto"/>
              <w:rPr>
                <w:color w:val="000000"/>
              </w:rPr>
            </w:pPr>
            <w:r w:rsidRPr="00537576">
              <w:rPr>
                <w:color w:val="000000"/>
              </w:rPr>
              <w:t xml:space="preserve">Projekty na vzdělávání v oblasti </w:t>
            </w:r>
            <w:proofErr w:type="spellStart"/>
            <w:r w:rsidRPr="00537576">
              <w:rPr>
                <w:color w:val="000000"/>
              </w:rPr>
              <w:t>CzechPOINT</w:t>
            </w:r>
            <w:proofErr w:type="spellEnd"/>
            <w:r w:rsidRPr="00537576">
              <w:rPr>
                <w:color w:val="000000"/>
              </w:rPr>
              <w:t xml:space="preserve"> a </w:t>
            </w:r>
            <w:proofErr w:type="spellStart"/>
            <w:r w:rsidRPr="00537576">
              <w:rPr>
                <w:color w:val="000000"/>
              </w:rPr>
              <w:t>eGoverment</w:t>
            </w:r>
            <w:proofErr w:type="spellEnd"/>
          </w:p>
          <w:p w:rsidR="00A75862" w:rsidRPr="00537576" w:rsidRDefault="00A75862" w:rsidP="002E608B">
            <w:pPr>
              <w:pStyle w:val="Odstavecseseznamem1"/>
              <w:numPr>
                <w:ilvl w:val="1"/>
                <w:numId w:val="14"/>
              </w:numPr>
              <w:spacing w:after="200" w:line="276" w:lineRule="auto"/>
              <w:rPr>
                <w:color w:val="000000"/>
              </w:rPr>
            </w:pPr>
            <w:r w:rsidRPr="00537576">
              <w:rPr>
                <w:color w:val="000000"/>
              </w:rPr>
              <w:t>Vazba na projekty ve výzvě OPLZZ č</w:t>
            </w:r>
            <w:r w:rsidRPr="00537576">
              <w:rPr>
                <w:b/>
                <w:color w:val="000000"/>
              </w:rPr>
              <w:t xml:space="preserve">. 40 a </w:t>
            </w:r>
            <w:r w:rsidRPr="00537576">
              <w:rPr>
                <w:color w:val="000000"/>
              </w:rPr>
              <w:t>IOP</w:t>
            </w:r>
            <w:r w:rsidRPr="00537576">
              <w:rPr>
                <w:b/>
                <w:color w:val="000000"/>
              </w:rPr>
              <w:t xml:space="preserve"> č. 03 a 07</w:t>
            </w:r>
          </w:p>
          <w:p w:rsidR="00A75862" w:rsidRPr="00537576" w:rsidRDefault="00A75862" w:rsidP="00706D62">
            <w:pPr>
              <w:pStyle w:val="Odstavecseseznamem1"/>
              <w:ind w:left="1440"/>
              <w:rPr>
                <w:color w:val="000000"/>
              </w:rPr>
            </w:pPr>
          </w:p>
          <w:p w:rsidR="00A75862" w:rsidRPr="00537576" w:rsidRDefault="00A75862" w:rsidP="002E608B">
            <w:pPr>
              <w:pStyle w:val="Odstavecseseznamem1"/>
              <w:numPr>
                <w:ilvl w:val="0"/>
                <w:numId w:val="14"/>
              </w:numPr>
              <w:spacing w:after="200" w:line="276" w:lineRule="auto"/>
              <w:rPr>
                <w:b/>
                <w:color w:val="000000"/>
              </w:rPr>
            </w:pPr>
            <w:r w:rsidRPr="00537576">
              <w:rPr>
                <w:b/>
                <w:color w:val="000000"/>
              </w:rPr>
              <w:t>Procesní modelování agend veřejné správy</w:t>
            </w:r>
          </w:p>
          <w:p w:rsidR="00A75862" w:rsidRPr="00537576" w:rsidRDefault="00A75862" w:rsidP="002E608B">
            <w:pPr>
              <w:pStyle w:val="Odstavecseseznamem1"/>
              <w:numPr>
                <w:ilvl w:val="1"/>
                <w:numId w:val="14"/>
              </w:numPr>
              <w:spacing w:after="200" w:line="276" w:lineRule="auto"/>
              <w:rPr>
                <w:color w:val="000000"/>
              </w:rPr>
            </w:pPr>
            <w:r w:rsidRPr="00537576">
              <w:rPr>
                <w:color w:val="000000"/>
              </w:rPr>
              <w:lastRenderedPageBreak/>
              <w:t xml:space="preserve">Projekty ve výzvě </w:t>
            </w:r>
            <w:r w:rsidRPr="00537576">
              <w:rPr>
                <w:b/>
                <w:color w:val="000000"/>
              </w:rPr>
              <w:t>č. 38</w:t>
            </w:r>
          </w:p>
          <w:p w:rsidR="00A75862" w:rsidRPr="00537576" w:rsidRDefault="00A75862" w:rsidP="002E608B">
            <w:pPr>
              <w:pStyle w:val="Odstavecseseznamem1"/>
              <w:numPr>
                <w:ilvl w:val="1"/>
                <w:numId w:val="14"/>
              </w:numPr>
              <w:spacing w:after="200" w:line="276" w:lineRule="auto"/>
              <w:rPr>
                <w:color w:val="000000"/>
              </w:rPr>
            </w:pPr>
            <w:r w:rsidRPr="00537576">
              <w:rPr>
                <w:color w:val="000000"/>
              </w:rPr>
              <w:t>Cíl: procesní a organizační audity nejvýznamnějších agend státní správy</w:t>
            </w:r>
          </w:p>
          <w:p w:rsidR="00A75862" w:rsidRPr="00537576" w:rsidRDefault="00A75862" w:rsidP="004F4455">
            <w:pPr>
              <w:pStyle w:val="Odstavecseseznamem1"/>
              <w:numPr>
                <w:ilvl w:val="1"/>
                <w:numId w:val="14"/>
              </w:numPr>
              <w:spacing w:after="200" w:line="276" w:lineRule="auto"/>
              <w:rPr>
                <w:b/>
                <w:bCs/>
                <w:i/>
                <w:iCs/>
                <w:color w:val="000000"/>
              </w:rPr>
            </w:pPr>
            <w:r w:rsidRPr="00537576">
              <w:rPr>
                <w:color w:val="000000"/>
              </w:rPr>
              <w:t>Vazba a dopad na projekty výzev jak OP LZZ, tak v rámci IOP</w:t>
            </w:r>
          </w:p>
        </w:tc>
      </w:tr>
      <w:tr w:rsidR="00A75862" w:rsidRPr="00537576" w:rsidTr="00FC3458">
        <w:tc>
          <w:tcPr>
            <w:tcW w:w="9104" w:type="dxa"/>
            <w:gridSpan w:val="8"/>
            <w:shd w:val="clear" w:color="auto" w:fill="C2D69B" w:themeFill="accent3" w:themeFillTint="99"/>
          </w:tcPr>
          <w:p w:rsidR="00A75862" w:rsidRPr="00537576" w:rsidRDefault="00A75862" w:rsidP="00706D62">
            <w:pPr>
              <w:rPr>
                <w:b/>
                <w:bCs/>
                <w:i/>
                <w:iCs/>
                <w:color w:val="000000"/>
              </w:rPr>
            </w:pPr>
            <w:r w:rsidRPr="00537576">
              <w:rPr>
                <w:b/>
                <w:bCs/>
                <w:i/>
                <w:iCs/>
                <w:color w:val="000000"/>
              </w:rPr>
              <w:lastRenderedPageBreak/>
              <w:t>Problémy a identifikovaná rizika při zajištění vazby řídícími orgány, přijatá opatření:</w:t>
            </w:r>
          </w:p>
        </w:tc>
      </w:tr>
      <w:tr w:rsidR="00A75862" w:rsidRPr="00537576" w:rsidTr="00FC3458">
        <w:tc>
          <w:tcPr>
            <w:tcW w:w="9104" w:type="dxa"/>
            <w:gridSpan w:val="8"/>
          </w:tcPr>
          <w:p w:rsidR="00A75862" w:rsidRPr="00537576" w:rsidRDefault="00A75862" w:rsidP="00706D62">
            <w:pPr>
              <w:rPr>
                <w:color w:val="000000"/>
              </w:rPr>
            </w:pPr>
          </w:p>
          <w:p w:rsidR="00A75862" w:rsidRPr="00537576" w:rsidRDefault="00A75862" w:rsidP="00706D62">
            <w:pPr>
              <w:rPr>
                <w:color w:val="000000"/>
              </w:rPr>
            </w:pPr>
          </w:p>
        </w:tc>
      </w:tr>
      <w:tr w:rsidR="00A75862" w:rsidRPr="00537576" w:rsidTr="00FC3458">
        <w:tc>
          <w:tcPr>
            <w:tcW w:w="9104" w:type="dxa"/>
            <w:gridSpan w:val="8"/>
            <w:shd w:val="clear" w:color="auto" w:fill="C2D69B" w:themeFill="accent3" w:themeFillTint="99"/>
          </w:tcPr>
          <w:p w:rsidR="00A75862" w:rsidRPr="00537576" w:rsidRDefault="00A75862" w:rsidP="00706D62">
            <w:pPr>
              <w:rPr>
                <w:b/>
                <w:bCs/>
                <w:i/>
                <w:iCs/>
                <w:color w:val="000000"/>
              </w:rPr>
            </w:pPr>
            <w:r w:rsidRPr="00537576">
              <w:rPr>
                <w:b/>
                <w:bCs/>
                <w:i/>
                <w:iCs/>
                <w:color w:val="000000"/>
              </w:rPr>
              <w:t xml:space="preserve">Náměty na jednání koordinačního výboru/tematického </w:t>
            </w:r>
            <w:proofErr w:type="spellStart"/>
            <w:r w:rsidRPr="00537576">
              <w:rPr>
                <w:b/>
                <w:bCs/>
                <w:i/>
                <w:iCs/>
                <w:color w:val="000000"/>
              </w:rPr>
              <w:t>mikrotýmu</w:t>
            </w:r>
            <w:proofErr w:type="spellEnd"/>
            <w:r w:rsidRPr="00537576">
              <w:rPr>
                <w:b/>
                <w:bCs/>
                <w:i/>
                <w:iCs/>
                <w:color w:val="000000"/>
              </w:rPr>
              <w:t>:</w:t>
            </w:r>
          </w:p>
        </w:tc>
      </w:tr>
      <w:tr w:rsidR="00A75862" w:rsidRPr="00537576" w:rsidTr="00FC3458">
        <w:tc>
          <w:tcPr>
            <w:tcW w:w="9104" w:type="dxa"/>
            <w:gridSpan w:val="8"/>
          </w:tcPr>
          <w:p w:rsidR="00A75862" w:rsidRPr="00537576" w:rsidRDefault="00A75862" w:rsidP="00706D62">
            <w:pPr>
              <w:rPr>
                <w:color w:val="000000"/>
              </w:rPr>
            </w:pPr>
          </w:p>
          <w:p w:rsidR="00A75862" w:rsidRPr="00537576" w:rsidRDefault="00A75862" w:rsidP="00706D62">
            <w:pPr>
              <w:rPr>
                <w:color w:val="000000"/>
              </w:rPr>
            </w:pPr>
          </w:p>
        </w:tc>
      </w:tr>
      <w:tr w:rsidR="00A75862" w:rsidRPr="00537576" w:rsidTr="00FC3458">
        <w:tc>
          <w:tcPr>
            <w:tcW w:w="9104" w:type="dxa"/>
            <w:gridSpan w:val="8"/>
            <w:shd w:val="clear" w:color="auto" w:fill="C2D69B" w:themeFill="accent3" w:themeFillTint="99"/>
          </w:tcPr>
          <w:p w:rsidR="00A75862" w:rsidRPr="00537576" w:rsidRDefault="00A75862" w:rsidP="00706D62">
            <w:pPr>
              <w:rPr>
                <w:b/>
                <w:bCs/>
                <w:i/>
                <w:iCs/>
                <w:color w:val="000000"/>
              </w:rPr>
            </w:pPr>
            <w:r w:rsidRPr="00537576">
              <w:rPr>
                <w:b/>
                <w:bCs/>
                <w:i/>
                <w:iCs/>
                <w:color w:val="000000"/>
              </w:rPr>
              <w:t>Další poznámky:</w:t>
            </w:r>
          </w:p>
        </w:tc>
      </w:tr>
      <w:tr w:rsidR="00A75862" w:rsidRPr="00537576" w:rsidTr="00FC3458">
        <w:tc>
          <w:tcPr>
            <w:tcW w:w="9104" w:type="dxa"/>
            <w:gridSpan w:val="8"/>
          </w:tcPr>
          <w:p w:rsidR="00A75862" w:rsidRPr="00537576" w:rsidRDefault="00A75862" w:rsidP="00706D62">
            <w:pPr>
              <w:rPr>
                <w:color w:val="000000"/>
              </w:rPr>
            </w:pPr>
          </w:p>
          <w:p w:rsidR="00A75862" w:rsidRPr="00537576" w:rsidRDefault="00A75862" w:rsidP="00706D62">
            <w:pPr>
              <w:rPr>
                <w:color w:val="000000"/>
              </w:rPr>
            </w:pPr>
          </w:p>
        </w:tc>
      </w:tr>
      <w:tr w:rsidR="00A75862" w:rsidRPr="00537576" w:rsidTr="00FC3458">
        <w:tc>
          <w:tcPr>
            <w:tcW w:w="9104" w:type="dxa"/>
            <w:gridSpan w:val="8"/>
            <w:shd w:val="clear" w:color="auto" w:fill="F3F3F3"/>
          </w:tcPr>
          <w:p w:rsidR="00A75862" w:rsidRPr="00537576" w:rsidRDefault="00A75862" w:rsidP="00706D62">
            <w:pPr>
              <w:rPr>
                <w:b/>
                <w:bCs/>
                <w:color w:val="000000"/>
              </w:rPr>
            </w:pPr>
            <w:r w:rsidRPr="00537576">
              <w:rPr>
                <w:b/>
                <w:bCs/>
                <w:color w:val="000000"/>
              </w:rPr>
              <w:t>Vypracoval:</w:t>
            </w:r>
            <w:r>
              <w:rPr>
                <w:b/>
                <w:bCs/>
                <w:color w:val="000000"/>
              </w:rPr>
              <w:t xml:space="preserve"> ZS MV ČR</w:t>
            </w:r>
          </w:p>
        </w:tc>
      </w:tr>
    </w:tbl>
    <w:p w:rsidR="00A75862" w:rsidRDefault="00A75862" w:rsidP="00A664CB">
      <w:pPr>
        <w:tabs>
          <w:tab w:val="left" w:pos="8931"/>
        </w:tabs>
        <w:snapToGrid w:val="0"/>
        <w:spacing w:line="312" w:lineRule="auto"/>
        <w:jc w:val="both"/>
      </w:pPr>
    </w:p>
    <w:p w:rsidR="00A75862" w:rsidRDefault="00A75862" w:rsidP="00CD547F">
      <w:pPr>
        <w:tabs>
          <w:tab w:val="left" w:pos="8931"/>
        </w:tabs>
        <w:snapToGrid w:val="0"/>
        <w:spacing w:line="312" w:lineRule="auto"/>
        <w:jc w:val="center"/>
        <w:rPr>
          <w:b/>
          <w:bCs/>
          <w:smallCaps/>
          <w:sz w:val="24"/>
          <w:szCs w:val="24"/>
        </w:rPr>
      </w:pPr>
      <w:r>
        <w:br w:type="page"/>
      </w:r>
      <w:r>
        <w:rPr>
          <w:b/>
          <w:bCs/>
          <w:smallCaps/>
          <w:sz w:val="24"/>
          <w:szCs w:val="24"/>
        </w:rPr>
        <w:lastRenderedPageBreak/>
        <w:t>formulář č. 2 – romská problematika</w:t>
      </w:r>
    </w:p>
    <w:p w:rsidR="00A75862" w:rsidRPr="009026D3" w:rsidRDefault="00A75862" w:rsidP="00CD547F">
      <w:pPr>
        <w:rPr>
          <w:b/>
          <w:bCs/>
          <w:smallCaps/>
          <w:sz w:val="22"/>
          <w:szCs w:val="22"/>
        </w:rPr>
      </w:pPr>
      <w:r w:rsidRPr="00642A6C">
        <w:rPr>
          <w:b/>
          <w:bCs/>
          <w:smallCaps/>
          <w:sz w:val="22"/>
          <w:szCs w:val="22"/>
        </w:rPr>
        <w:t xml:space="preserve">Zpracovatel podkladu: </w:t>
      </w:r>
      <w:r w:rsidRPr="009026D3">
        <w:rPr>
          <w:b/>
          <w:bCs/>
          <w:smallCaps/>
          <w:sz w:val="22"/>
          <w:szCs w:val="22"/>
        </w:rPr>
        <w:t>ŘÍDÍCÍ ORGÁN IOP</w:t>
      </w:r>
    </w:p>
    <w:tbl>
      <w:tblPr>
        <w:tblW w:w="9459" w:type="dxa"/>
        <w:tblInd w:w="108"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Look w:val="01E0" w:firstRow="1" w:lastRow="1" w:firstColumn="1" w:lastColumn="1" w:noHBand="0" w:noVBand="0"/>
      </w:tblPr>
      <w:tblGrid>
        <w:gridCol w:w="4218"/>
        <w:gridCol w:w="5241"/>
      </w:tblGrid>
      <w:tr w:rsidR="00A75862" w:rsidRPr="00642A6C" w:rsidTr="004201DA">
        <w:tc>
          <w:tcPr>
            <w:tcW w:w="4218" w:type="dxa"/>
            <w:shd w:val="clear" w:color="auto" w:fill="C2D69B" w:themeFill="accent3" w:themeFillTint="99"/>
          </w:tcPr>
          <w:p w:rsidR="00A75862" w:rsidRPr="009026D3" w:rsidRDefault="00A75862">
            <w:pPr>
              <w:spacing w:line="276" w:lineRule="auto"/>
              <w:rPr>
                <w:b/>
                <w:bCs/>
                <w:lang w:eastAsia="en-US"/>
              </w:rPr>
            </w:pPr>
            <w:r w:rsidRPr="009026D3">
              <w:rPr>
                <w:b/>
                <w:bCs/>
                <w:lang w:eastAsia="en-US"/>
              </w:rPr>
              <w:t>Zpracovatel formuláře:</w:t>
            </w:r>
          </w:p>
        </w:tc>
        <w:tc>
          <w:tcPr>
            <w:tcW w:w="5241" w:type="dxa"/>
            <w:shd w:val="clear" w:color="auto" w:fill="C2D69B" w:themeFill="accent3" w:themeFillTint="99"/>
          </w:tcPr>
          <w:p w:rsidR="00A75862" w:rsidRPr="009026D3" w:rsidRDefault="00A75862">
            <w:pPr>
              <w:spacing w:line="276" w:lineRule="auto"/>
              <w:rPr>
                <w:bCs/>
                <w:i/>
                <w:lang w:eastAsia="en-US"/>
              </w:rPr>
            </w:pPr>
            <w:r w:rsidRPr="009026D3">
              <w:rPr>
                <w:i/>
                <w:lang w:eastAsia="en-US"/>
              </w:rPr>
              <w:t xml:space="preserve">Integrovaný operační </w:t>
            </w:r>
          </w:p>
        </w:tc>
      </w:tr>
      <w:tr w:rsidR="00A75862" w:rsidRPr="00642A6C" w:rsidTr="004201DA">
        <w:tc>
          <w:tcPr>
            <w:tcW w:w="4218" w:type="dxa"/>
            <w:shd w:val="clear" w:color="auto" w:fill="C2D69B" w:themeFill="accent3" w:themeFillTint="99"/>
          </w:tcPr>
          <w:p w:rsidR="00A75862" w:rsidRPr="009026D3" w:rsidRDefault="00A75862">
            <w:pPr>
              <w:spacing w:line="276" w:lineRule="auto"/>
              <w:rPr>
                <w:b/>
                <w:bCs/>
                <w:lang w:eastAsia="en-US"/>
              </w:rPr>
            </w:pPr>
            <w:proofErr w:type="spellStart"/>
            <w:r w:rsidRPr="009026D3">
              <w:rPr>
                <w:b/>
                <w:bCs/>
                <w:lang w:eastAsia="en-US"/>
              </w:rPr>
              <w:t>Tématická</w:t>
            </w:r>
            <w:proofErr w:type="spellEnd"/>
            <w:r w:rsidRPr="009026D3">
              <w:rPr>
                <w:b/>
                <w:bCs/>
                <w:lang w:eastAsia="en-US"/>
              </w:rPr>
              <w:t xml:space="preserve"> oblast*:</w:t>
            </w:r>
          </w:p>
        </w:tc>
        <w:tc>
          <w:tcPr>
            <w:tcW w:w="5241" w:type="dxa"/>
            <w:shd w:val="clear" w:color="auto" w:fill="C2D69B" w:themeFill="accent3" w:themeFillTint="99"/>
          </w:tcPr>
          <w:p w:rsidR="00A75862" w:rsidRPr="009026D3" w:rsidRDefault="00A75862">
            <w:pPr>
              <w:spacing w:line="276" w:lineRule="auto"/>
              <w:rPr>
                <w:b/>
                <w:bCs/>
                <w:i/>
                <w:lang w:eastAsia="en-US"/>
              </w:rPr>
            </w:pPr>
            <w:r w:rsidRPr="009026D3">
              <w:rPr>
                <w:b/>
                <w:bCs/>
                <w:i/>
                <w:lang w:eastAsia="en-US"/>
              </w:rPr>
              <w:t>Romská problematika</w:t>
            </w:r>
          </w:p>
        </w:tc>
      </w:tr>
      <w:tr w:rsidR="00A75862" w:rsidRPr="00642A6C" w:rsidTr="004201DA">
        <w:tc>
          <w:tcPr>
            <w:tcW w:w="4218" w:type="dxa"/>
            <w:vAlign w:val="center"/>
          </w:tcPr>
          <w:p w:rsidR="00A75862" w:rsidRPr="009026D3" w:rsidRDefault="00A75862">
            <w:pPr>
              <w:spacing w:line="276" w:lineRule="auto"/>
              <w:rPr>
                <w:lang w:eastAsia="en-US"/>
              </w:rPr>
            </w:pPr>
            <w:r w:rsidRPr="009026D3">
              <w:rPr>
                <w:lang w:eastAsia="en-US"/>
              </w:rPr>
              <w:t>Synergické oblasti podpory IOP:</w:t>
            </w:r>
          </w:p>
        </w:tc>
        <w:tc>
          <w:tcPr>
            <w:tcW w:w="5241" w:type="dxa"/>
          </w:tcPr>
          <w:p w:rsidR="00A75862" w:rsidRPr="00642A6C" w:rsidRDefault="00A75862">
            <w:pPr>
              <w:spacing w:line="276" w:lineRule="auto"/>
              <w:rPr>
                <w:i/>
                <w:lang w:eastAsia="en-US"/>
              </w:rPr>
            </w:pPr>
            <w:r w:rsidRPr="00642A6C">
              <w:rPr>
                <w:i/>
                <w:lang w:eastAsia="en-US"/>
              </w:rPr>
              <w:t xml:space="preserve">3.1 Služby v oblasti sociální integrace </w:t>
            </w:r>
          </w:p>
          <w:p w:rsidR="00A75862" w:rsidRPr="00642A6C" w:rsidRDefault="00A75862">
            <w:pPr>
              <w:spacing w:line="276" w:lineRule="auto"/>
              <w:rPr>
                <w:i/>
                <w:lang w:eastAsia="en-US"/>
              </w:rPr>
            </w:pPr>
            <w:r w:rsidRPr="00642A6C">
              <w:rPr>
                <w:i/>
                <w:lang w:eastAsia="en-US"/>
              </w:rPr>
              <w:t>5.2 Zlepšení prostředí v problémových sídlištích</w:t>
            </w:r>
          </w:p>
        </w:tc>
      </w:tr>
      <w:tr w:rsidR="00A75862" w:rsidRPr="00642A6C" w:rsidTr="004201DA">
        <w:tc>
          <w:tcPr>
            <w:tcW w:w="4218" w:type="dxa"/>
            <w:vAlign w:val="center"/>
          </w:tcPr>
          <w:p w:rsidR="00A75862" w:rsidRPr="009026D3" w:rsidRDefault="00A75862">
            <w:pPr>
              <w:spacing w:line="276" w:lineRule="auto"/>
              <w:rPr>
                <w:lang w:eastAsia="en-US"/>
              </w:rPr>
            </w:pPr>
            <w:r w:rsidRPr="009026D3">
              <w:rPr>
                <w:lang w:eastAsia="en-US"/>
              </w:rPr>
              <w:t>Návaznost na oblasti podpory OPLZZ:</w:t>
            </w:r>
          </w:p>
        </w:tc>
        <w:tc>
          <w:tcPr>
            <w:tcW w:w="5241" w:type="dxa"/>
          </w:tcPr>
          <w:p w:rsidR="00A75862" w:rsidRPr="00642A6C" w:rsidRDefault="00A75862">
            <w:pPr>
              <w:spacing w:line="276" w:lineRule="auto"/>
              <w:rPr>
                <w:i/>
                <w:lang w:eastAsia="en-US"/>
              </w:rPr>
            </w:pPr>
            <w:r w:rsidRPr="00642A6C">
              <w:rPr>
                <w:i/>
                <w:lang w:eastAsia="en-US"/>
              </w:rPr>
              <w:t>3.2 Podpora sociální integrace romských lokalit</w:t>
            </w:r>
          </w:p>
        </w:tc>
      </w:tr>
      <w:tr w:rsidR="00A75862" w:rsidRPr="00642A6C" w:rsidTr="004201DA">
        <w:tc>
          <w:tcPr>
            <w:tcW w:w="4218" w:type="dxa"/>
            <w:vAlign w:val="center"/>
          </w:tcPr>
          <w:p w:rsidR="00A75862" w:rsidRPr="009026D3" w:rsidRDefault="00A75862">
            <w:pPr>
              <w:spacing w:line="276" w:lineRule="auto"/>
              <w:rPr>
                <w:lang w:eastAsia="en-US"/>
              </w:rPr>
            </w:pPr>
            <w:r w:rsidRPr="009026D3">
              <w:rPr>
                <w:lang w:eastAsia="en-US"/>
              </w:rPr>
              <w:t>Návaznost na oblasti podpory OPVK:</w:t>
            </w:r>
          </w:p>
        </w:tc>
        <w:tc>
          <w:tcPr>
            <w:tcW w:w="5241" w:type="dxa"/>
          </w:tcPr>
          <w:p w:rsidR="00A75862" w:rsidRPr="00642A6C" w:rsidRDefault="00A75862">
            <w:pPr>
              <w:spacing w:line="276" w:lineRule="auto"/>
              <w:rPr>
                <w:i/>
                <w:lang w:eastAsia="en-US"/>
              </w:rPr>
            </w:pPr>
            <w:r w:rsidRPr="00642A6C">
              <w:rPr>
                <w:i/>
                <w:lang w:eastAsia="en-US"/>
              </w:rPr>
              <w:t>1.2 Rovné příležitosti dětí žáků, vč. dětí a žáků se speciálními vzdělávacími potřebami</w:t>
            </w:r>
          </w:p>
          <w:p w:rsidR="00A75862" w:rsidRPr="00642A6C" w:rsidRDefault="00A75862">
            <w:pPr>
              <w:spacing w:line="276" w:lineRule="auto"/>
              <w:rPr>
                <w:i/>
                <w:lang w:eastAsia="en-US"/>
              </w:rPr>
            </w:pPr>
            <w:r w:rsidRPr="00642A6C">
              <w:rPr>
                <w:i/>
                <w:lang w:eastAsia="en-US"/>
              </w:rPr>
              <w:t>3.2 Podpora nabídky dalšího vzdělávání</w:t>
            </w:r>
          </w:p>
        </w:tc>
      </w:tr>
      <w:tr w:rsidR="00A75862" w:rsidRPr="00642A6C" w:rsidTr="004201DA">
        <w:tc>
          <w:tcPr>
            <w:tcW w:w="4218" w:type="dxa"/>
            <w:vAlign w:val="center"/>
          </w:tcPr>
          <w:p w:rsidR="00A75862" w:rsidRPr="009026D3" w:rsidRDefault="00A75862">
            <w:pPr>
              <w:spacing w:line="276" w:lineRule="auto"/>
              <w:rPr>
                <w:lang w:eastAsia="en-US"/>
              </w:rPr>
            </w:pPr>
            <w:r w:rsidRPr="009026D3">
              <w:rPr>
                <w:lang w:eastAsia="en-US"/>
              </w:rPr>
              <w:t>Je uzavřena dohoda o spolupráci mezi ŘO IOP a ŘO OPLZZ/OPVK:</w:t>
            </w:r>
          </w:p>
        </w:tc>
        <w:tc>
          <w:tcPr>
            <w:tcW w:w="5241" w:type="dxa"/>
            <w:vAlign w:val="center"/>
          </w:tcPr>
          <w:p w:rsidR="00A75862" w:rsidRPr="00642A6C" w:rsidRDefault="00A75862">
            <w:pPr>
              <w:spacing w:line="276" w:lineRule="auto"/>
              <w:rPr>
                <w:lang w:eastAsia="en-US"/>
              </w:rPr>
            </w:pPr>
            <w:r w:rsidRPr="00642A6C">
              <w:rPr>
                <w:lang w:eastAsia="en-US"/>
              </w:rPr>
              <w:t xml:space="preserve">ANO </w:t>
            </w:r>
          </w:p>
        </w:tc>
      </w:tr>
      <w:tr w:rsidR="00A75862" w:rsidRPr="00642A6C" w:rsidTr="004201DA">
        <w:tc>
          <w:tcPr>
            <w:tcW w:w="9459" w:type="dxa"/>
            <w:gridSpan w:val="2"/>
            <w:shd w:val="clear" w:color="auto" w:fill="C2D69B" w:themeFill="accent3" w:themeFillTint="99"/>
          </w:tcPr>
          <w:p w:rsidR="00A75862" w:rsidRPr="00642A6C" w:rsidRDefault="00A75862">
            <w:pPr>
              <w:spacing w:line="276" w:lineRule="auto"/>
              <w:rPr>
                <w:i/>
                <w:lang w:eastAsia="en-US"/>
              </w:rPr>
            </w:pPr>
            <w:r w:rsidRPr="00642A6C">
              <w:rPr>
                <w:b/>
                <w:i/>
                <w:lang w:eastAsia="en-US"/>
              </w:rPr>
              <w:t xml:space="preserve">Zhodnocení fungování koordinačních mechanismů mezi ŘO(PP) a ŘO (NP) nastavených v dohodách mezi ŘO/v programové dokumentaci/dalších koordinačních mechanismů, vč. popisu formy </w:t>
            </w:r>
            <w:r w:rsidRPr="00642A6C">
              <w:rPr>
                <w:i/>
                <w:lang w:eastAsia="en-US"/>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A75862" w:rsidRPr="00642A6C" w:rsidTr="004201DA">
        <w:trPr>
          <w:trHeight w:val="648"/>
        </w:trPr>
        <w:tc>
          <w:tcPr>
            <w:tcW w:w="9459" w:type="dxa"/>
            <w:gridSpan w:val="2"/>
          </w:tcPr>
          <w:p w:rsidR="00A75862" w:rsidRPr="00642A6C" w:rsidRDefault="00A75862">
            <w:pPr>
              <w:spacing w:line="276" w:lineRule="auto"/>
              <w:rPr>
                <w:lang w:eastAsia="en-US"/>
              </w:rPr>
            </w:pPr>
          </w:p>
          <w:tbl>
            <w:tblPr>
              <w:tblW w:w="918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185"/>
            </w:tblGrid>
            <w:tr w:rsidR="00A75862" w:rsidRPr="00642A6C">
              <w:trPr>
                <w:trHeight w:val="228"/>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1) Zaslání plánu výzev: spolupráce s OPLZZ</w:t>
                  </w:r>
                </w:p>
              </w:tc>
            </w:tr>
            <w:tr w:rsidR="00A75862" w:rsidRPr="00642A6C">
              <w:trPr>
                <w:trHeight w:val="307"/>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2) Zaslání zprávy o realizaci a výroční zprávy: NE</w:t>
                  </w:r>
                </w:p>
              </w:tc>
            </w:tr>
            <w:tr w:rsidR="00A75862" w:rsidRPr="00642A6C">
              <w:trPr>
                <w:trHeight w:val="306"/>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3) Zaslání seznamu schválených projektů se synergickými vazbami: v MSC</w:t>
                  </w:r>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4) Účast na MV: spolupráce s OPLZZ</w:t>
                  </w:r>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5) Účast na PS: PS Pilot, PS ROMEA</w:t>
                  </w:r>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 xml:space="preserve">6) Účast na seminářích pro </w:t>
                  </w:r>
                  <w:proofErr w:type="spellStart"/>
                  <w:r w:rsidRPr="00642A6C">
                    <w:rPr>
                      <w:lang w:eastAsia="en-US"/>
                    </w:rPr>
                    <w:t>žadatele:NE</w:t>
                  </w:r>
                  <w:proofErr w:type="spellEnd"/>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 xml:space="preserve">7) Účast na seminářích pro </w:t>
                  </w:r>
                  <w:proofErr w:type="spellStart"/>
                  <w:r w:rsidRPr="00642A6C">
                    <w:rPr>
                      <w:lang w:eastAsia="en-US"/>
                    </w:rPr>
                    <w:t>příjemce:NE</w:t>
                  </w:r>
                  <w:proofErr w:type="spellEnd"/>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8) Informace o realizaci projektů se synergickými vazbami: průběžně v MSC</w:t>
                  </w:r>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rsidP="005A5DE7">
                  <w:pPr>
                    <w:spacing w:before="60" w:line="276" w:lineRule="auto"/>
                    <w:rPr>
                      <w:lang w:eastAsia="en-US"/>
                    </w:rPr>
                  </w:pPr>
                  <w:r w:rsidRPr="00642A6C">
                    <w:rPr>
                      <w:lang w:eastAsia="en-US"/>
                    </w:rPr>
                    <w:t>9) Další mechanismy: Spolupráce s agenturou pro sociální začleňování, semináře pro manažery IPRM</w:t>
                  </w:r>
                </w:p>
              </w:tc>
            </w:tr>
          </w:tbl>
          <w:p w:rsidR="00A75862" w:rsidRPr="00642A6C" w:rsidRDefault="00A75862">
            <w:pPr>
              <w:spacing w:line="276" w:lineRule="auto"/>
              <w:rPr>
                <w:lang w:eastAsia="en-US"/>
              </w:rPr>
            </w:pPr>
          </w:p>
        </w:tc>
      </w:tr>
      <w:tr w:rsidR="00A75862" w:rsidRPr="00642A6C" w:rsidTr="004201DA">
        <w:tc>
          <w:tcPr>
            <w:tcW w:w="9459" w:type="dxa"/>
            <w:gridSpan w:val="2"/>
            <w:shd w:val="clear" w:color="auto" w:fill="C2D69B" w:themeFill="accent3" w:themeFillTint="99"/>
          </w:tcPr>
          <w:p w:rsidR="00A75862" w:rsidRPr="00642A6C" w:rsidRDefault="00A75862">
            <w:pPr>
              <w:spacing w:line="276" w:lineRule="auto"/>
              <w:rPr>
                <w:b/>
                <w:bCs/>
                <w:i/>
                <w:lang w:eastAsia="en-US"/>
              </w:rPr>
            </w:pPr>
            <w:r w:rsidRPr="00642A6C">
              <w:rPr>
                <w:b/>
                <w:bCs/>
                <w:i/>
                <w:lang w:eastAsia="en-US"/>
              </w:rPr>
              <w:t>Přehled synergických projektů naplňujících danou vazbu – sestava MSC221, v případě, že ŘO nevyužívá ke sledování všech synergických vazeb systém MSC2007, uvede vlastní evidenci synergických projektů.</w:t>
            </w:r>
          </w:p>
        </w:tc>
      </w:tr>
      <w:tr w:rsidR="00A75862" w:rsidRPr="00642A6C" w:rsidTr="004201DA">
        <w:tc>
          <w:tcPr>
            <w:tcW w:w="9459" w:type="dxa"/>
            <w:gridSpan w:val="2"/>
            <w:shd w:val="clear" w:color="auto" w:fill="F3F3F3"/>
          </w:tcPr>
          <w:p w:rsidR="00A75862" w:rsidRPr="00642A6C" w:rsidRDefault="00A75862">
            <w:pPr>
              <w:spacing w:line="276" w:lineRule="auto"/>
              <w:rPr>
                <w:bCs/>
                <w:lang w:eastAsia="en-US"/>
              </w:rPr>
            </w:pPr>
          </w:p>
          <w:p w:rsidR="00A75862" w:rsidRPr="00642A6C" w:rsidRDefault="00A75862">
            <w:pPr>
              <w:spacing w:line="276" w:lineRule="auto"/>
              <w:rPr>
                <w:lang w:eastAsia="en-US"/>
              </w:rPr>
            </w:pPr>
            <w:r w:rsidRPr="00642A6C">
              <w:rPr>
                <w:lang w:eastAsia="en-US"/>
              </w:rPr>
              <w:t xml:space="preserve">Jedná se o projekty realizované v rámci IPRM v IOP. IPRM v IOP jsou primárně zaměřené na regenerace bytových domů a revitalizace veřejných prostranství (IOP 5.2) a mohou být doplněné o projekty financované z jiných operačních programů. Projekty realizované v zóně se zpracovaným IPRM, jsou bodově zvýhodněné desetiprocentní bonifikací. Informace jsou k nalezení v MSC a v jednotlivých IPRM. V aktivitě 5.2c) je povinnost synergické vazby na projekt 3.1b IOP nebo 3.2 OPLZZ přímo zakomponována do </w:t>
            </w:r>
            <w:r w:rsidR="005A6EDC" w:rsidRPr="00642A6C">
              <w:rPr>
                <w:lang w:eastAsia="en-US"/>
              </w:rPr>
              <w:t>P</w:t>
            </w:r>
            <w:r w:rsidRPr="00642A6C">
              <w:rPr>
                <w:lang w:eastAsia="en-US"/>
              </w:rPr>
              <w:t>rogramového dokumentu.</w:t>
            </w:r>
          </w:p>
          <w:p w:rsidR="00A75862" w:rsidRPr="00642A6C" w:rsidRDefault="00A75862">
            <w:pPr>
              <w:spacing w:line="276" w:lineRule="auto"/>
              <w:rPr>
                <w:bCs/>
                <w:lang w:eastAsia="en-US"/>
              </w:rPr>
            </w:pPr>
          </w:p>
        </w:tc>
      </w:tr>
      <w:tr w:rsidR="00A75862" w:rsidRPr="00642A6C" w:rsidTr="004201DA">
        <w:tc>
          <w:tcPr>
            <w:tcW w:w="9459" w:type="dxa"/>
            <w:gridSpan w:val="2"/>
            <w:shd w:val="clear" w:color="auto" w:fill="C2D69B" w:themeFill="accent3" w:themeFillTint="99"/>
          </w:tcPr>
          <w:p w:rsidR="00A75862" w:rsidRPr="00642A6C" w:rsidRDefault="00A75862" w:rsidP="00AC781F">
            <w:pPr>
              <w:spacing w:line="276" w:lineRule="auto"/>
              <w:rPr>
                <w:b/>
                <w:i/>
                <w:iCs/>
                <w:lang w:eastAsia="en-US"/>
              </w:rPr>
            </w:pPr>
            <w:r w:rsidRPr="00642A6C">
              <w:rPr>
                <w:b/>
                <w:i/>
                <w:iCs/>
                <w:lang w:eastAsia="en-US"/>
              </w:rPr>
              <w:t xml:space="preserve">Komentář k  tabulce a další informace o synergických projektech </w:t>
            </w:r>
            <w:r w:rsidRPr="00642A6C">
              <w:rPr>
                <w:i/>
                <w:iCs/>
                <w:lang w:eastAsia="en-US"/>
              </w:rPr>
              <w:t>(celkový počet synergických projektů, nejčetnější synergická oblast, počet nevykazovaných vazeb v sestavě z důvodu přejití NP/PP do negativního stavu,…):</w:t>
            </w:r>
          </w:p>
        </w:tc>
      </w:tr>
      <w:tr w:rsidR="00A75862" w:rsidRPr="00642A6C" w:rsidTr="004201DA">
        <w:trPr>
          <w:trHeight w:val="236"/>
        </w:trPr>
        <w:tc>
          <w:tcPr>
            <w:tcW w:w="9459" w:type="dxa"/>
            <w:gridSpan w:val="2"/>
          </w:tcPr>
          <w:p w:rsidR="00A75862" w:rsidRPr="00642A6C" w:rsidRDefault="00A75862">
            <w:pPr>
              <w:spacing w:line="276" w:lineRule="auto"/>
              <w:rPr>
                <w:iCs/>
                <w:lang w:eastAsia="en-US"/>
              </w:rPr>
            </w:pPr>
            <w:r w:rsidRPr="009026D3">
              <w:rPr>
                <w:iCs/>
                <w:lang w:eastAsia="en-US"/>
              </w:rPr>
              <w:t>Do IPRM v IOP je možné projekty doplňovat formou oznámení o změně IPRM.</w:t>
            </w:r>
          </w:p>
        </w:tc>
      </w:tr>
      <w:tr w:rsidR="00A75862" w:rsidRPr="00642A6C" w:rsidTr="004201DA">
        <w:tc>
          <w:tcPr>
            <w:tcW w:w="9459" w:type="dxa"/>
            <w:gridSpan w:val="2"/>
          </w:tcPr>
          <w:p w:rsidR="00A75862" w:rsidRPr="00642A6C" w:rsidRDefault="00A75862">
            <w:pPr>
              <w:spacing w:line="276" w:lineRule="auto"/>
              <w:rPr>
                <w:lang w:eastAsia="en-US"/>
              </w:rPr>
            </w:pPr>
          </w:p>
        </w:tc>
      </w:tr>
      <w:tr w:rsidR="00A75862" w:rsidRPr="00642A6C" w:rsidTr="004201DA">
        <w:tc>
          <w:tcPr>
            <w:tcW w:w="9459" w:type="dxa"/>
            <w:gridSpan w:val="2"/>
            <w:shd w:val="clear" w:color="auto" w:fill="F3F3F3"/>
          </w:tcPr>
          <w:p w:rsidR="00A75862" w:rsidRPr="00642A6C" w:rsidRDefault="00A75862">
            <w:pPr>
              <w:spacing w:line="276" w:lineRule="auto"/>
              <w:rPr>
                <w:b/>
                <w:bCs/>
                <w:lang w:eastAsia="en-US"/>
              </w:rPr>
            </w:pPr>
            <w:r w:rsidRPr="00642A6C">
              <w:rPr>
                <w:b/>
                <w:bCs/>
                <w:lang w:eastAsia="en-US"/>
              </w:rPr>
              <w:t>Vypracoval: ŘO IOP</w:t>
            </w:r>
          </w:p>
        </w:tc>
      </w:tr>
    </w:tbl>
    <w:p w:rsidR="00A75862" w:rsidRPr="00642A6C" w:rsidRDefault="00A75862" w:rsidP="00CD547F">
      <w:r w:rsidRPr="00642A6C">
        <w:t xml:space="preserve">* definováno v Metodickém doporučení k zajištění synergických vazeb mezi </w:t>
      </w:r>
      <w:proofErr w:type="gramStart"/>
      <w:r w:rsidRPr="00642A6C">
        <w:t>OP</w:t>
      </w:r>
      <w:proofErr w:type="gramEnd"/>
      <w:r w:rsidRPr="00642A6C">
        <w:t xml:space="preserve"> (Příloha č. 1 a 2)</w:t>
      </w:r>
    </w:p>
    <w:p w:rsidR="00A75862" w:rsidRPr="00642A6C" w:rsidRDefault="00A75862" w:rsidP="00555962">
      <w:pPr>
        <w:tabs>
          <w:tab w:val="left" w:pos="8931"/>
        </w:tabs>
        <w:snapToGrid w:val="0"/>
        <w:spacing w:line="312" w:lineRule="auto"/>
      </w:pPr>
      <w:r w:rsidRPr="00642A6C">
        <w:t>** viz Příloha k rozhodnutí č. 235/2009 ministra pro místní rozvoj</w:t>
      </w:r>
    </w:p>
    <w:p w:rsidR="00A75862" w:rsidRDefault="00A75862" w:rsidP="00A664CB">
      <w:pPr>
        <w:jc w:val="center"/>
        <w:rPr>
          <w:b/>
        </w:rPr>
      </w:pPr>
      <w:r>
        <w:rPr>
          <w:b/>
        </w:rPr>
        <w:br w:type="page"/>
      </w:r>
      <w:r w:rsidRPr="0069586A">
        <w:rPr>
          <w:b/>
          <w:bCs/>
          <w:smallCaps/>
          <w:sz w:val="24"/>
          <w:szCs w:val="24"/>
        </w:rPr>
        <w:lastRenderedPageBreak/>
        <w:t xml:space="preserve">formulář </w:t>
      </w:r>
      <w:r>
        <w:rPr>
          <w:b/>
          <w:bCs/>
          <w:smallCaps/>
          <w:sz w:val="24"/>
          <w:szCs w:val="24"/>
        </w:rPr>
        <w:t>č. 3 –</w:t>
      </w:r>
      <w:r w:rsidR="00692CD6">
        <w:rPr>
          <w:b/>
          <w:bCs/>
          <w:smallCaps/>
          <w:sz w:val="24"/>
          <w:szCs w:val="24"/>
        </w:rPr>
        <w:t xml:space="preserve"> </w:t>
      </w:r>
      <w:r>
        <w:rPr>
          <w:b/>
          <w:bCs/>
          <w:smallCaps/>
          <w:sz w:val="24"/>
          <w:szCs w:val="24"/>
        </w:rPr>
        <w:t>Zvýšení kvality a dostupnosti veřejných služeb/</w:t>
      </w:r>
      <w:r w:rsidRPr="001A58C8">
        <w:rPr>
          <w:b/>
          <w:bCs/>
          <w:smallCaps/>
          <w:sz w:val="24"/>
          <w:szCs w:val="24"/>
        </w:rPr>
        <w:t xml:space="preserve"> </w:t>
      </w:r>
      <w:r>
        <w:rPr>
          <w:b/>
          <w:bCs/>
          <w:smallCaps/>
          <w:sz w:val="24"/>
          <w:szCs w:val="24"/>
        </w:rPr>
        <w:t>Sociální integrace</w:t>
      </w:r>
    </w:p>
    <w:p w:rsidR="00A75862" w:rsidRPr="008C0EA0" w:rsidRDefault="00A75862" w:rsidP="00A664CB">
      <w:pPr>
        <w:rPr>
          <w:b/>
          <w:sz w:val="22"/>
          <w:szCs w:val="22"/>
        </w:rPr>
      </w:pPr>
      <w:r w:rsidRPr="008C0EA0">
        <w:rPr>
          <w:b/>
          <w:sz w:val="22"/>
          <w:szCs w:val="22"/>
        </w:rPr>
        <w:t xml:space="preserve">ZPRACOVATEL PODKLADU: ZPROSTŘEDKUJÍCÍ SUBJEKT – MINISTERSTVO PRÁCE A SOCIÁLNÍCH VĚCÍ </w:t>
      </w:r>
    </w:p>
    <w:tbl>
      <w:tblPr>
        <w:tblW w:w="9200" w:type="dxa"/>
        <w:tblInd w:w="108"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Layout w:type="fixed"/>
        <w:tblLook w:val="01E0" w:firstRow="1" w:lastRow="1" w:firstColumn="1" w:lastColumn="1" w:noHBand="0" w:noVBand="0"/>
      </w:tblPr>
      <w:tblGrid>
        <w:gridCol w:w="567"/>
        <w:gridCol w:w="1276"/>
        <w:gridCol w:w="61"/>
        <w:gridCol w:w="578"/>
        <w:gridCol w:w="840"/>
        <w:gridCol w:w="972"/>
        <w:gridCol w:w="809"/>
        <w:gridCol w:w="2444"/>
        <w:gridCol w:w="1653"/>
      </w:tblGrid>
      <w:tr w:rsidR="00E700FA" w:rsidRPr="00F40F28" w:rsidTr="00B70C44">
        <w:tc>
          <w:tcPr>
            <w:tcW w:w="2482" w:type="dxa"/>
            <w:gridSpan w:val="4"/>
            <w:shd w:val="clear" w:color="auto" w:fill="C2D69B" w:themeFill="accent3" w:themeFillTint="99"/>
          </w:tcPr>
          <w:p w:rsidR="00E700FA" w:rsidRPr="00CD3A4F" w:rsidRDefault="00E700FA" w:rsidP="004F4455">
            <w:pPr>
              <w:rPr>
                <w:rFonts w:ascii="Arial" w:hAnsi="Arial" w:cs="Arial"/>
                <w:b/>
                <w:bCs/>
                <w:sz w:val="18"/>
                <w:szCs w:val="18"/>
              </w:rPr>
            </w:pPr>
            <w:r w:rsidRPr="00CD3A4F">
              <w:rPr>
                <w:rFonts w:ascii="Arial" w:hAnsi="Arial" w:cs="Arial"/>
                <w:b/>
                <w:bCs/>
                <w:sz w:val="18"/>
                <w:szCs w:val="18"/>
              </w:rPr>
              <w:t>Zpracovatel formuláře:</w:t>
            </w:r>
          </w:p>
        </w:tc>
        <w:tc>
          <w:tcPr>
            <w:tcW w:w="6718" w:type="dxa"/>
            <w:gridSpan w:val="5"/>
            <w:shd w:val="clear" w:color="auto" w:fill="C2D69B" w:themeFill="accent3" w:themeFillTint="99"/>
          </w:tcPr>
          <w:p w:rsidR="00E700FA" w:rsidRPr="00CD3A4F" w:rsidRDefault="00E700FA" w:rsidP="004F4455">
            <w:pPr>
              <w:rPr>
                <w:rFonts w:ascii="Arial" w:hAnsi="Arial" w:cs="Arial"/>
                <w:i/>
                <w:iCs/>
                <w:sz w:val="18"/>
                <w:szCs w:val="18"/>
              </w:rPr>
            </w:pPr>
            <w:r w:rsidRPr="00CD3A4F">
              <w:rPr>
                <w:rFonts w:ascii="Arial" w:hAnsi="Arial" w:cs="Arial"/>
                <w:i/>
                <w:iCs/>
                <w:sz w:val="18"/>
                <w:szCs w:val="18"/>
              </w:rPr>
              <w:t>ČR - Ministerstvo práce a sociálních věcí</w:t>
            </w:r>
          </w:p>
        </w:tc>
      </w:tr>
      <w:tr w:rsidR="00E700FA" w:rsidRPr="00F40F28" w:rsidTr="00B70C44">
        <w:tc>
          <w:tcPr>
            <w:tcW w:w="2482" w:type="dxa"/>
            <w:gridSpan w:val="4"/>
            <w:shd w:val="clear" w:color="auto" w:fill="C2D69B" w:themeFill="accent3" w:themeFillTint="99"/>
          </w:tcPr>
          <w:p w:rsidR="00E700FA" w:rsidRPr="00CD3A4F" w:rsidRDefault="00E700FA" w:rsidP="004F4455">
            <w:pPr>
              <w:rPr>
                <w:rFonts w:ascii="Arial" w:hAnsi="Arial" w:cs="Arial"/>
                <w:b/>
                <w:bCs/>
                <w:sz w:val="18"/>
                <w:szCs w:val="18"/>
              </w:rPr>
            </w:pPr>
            <w:r w:rsidRPr="00CD3A4F">
              <w:rPr>
                <w:rFonts w:ascii="Arial" w:hAnsi="Arial" w:cs="Arial"/>
                <w:b/>
                <w:bCs/>
                <w:sz w:val="18"/>
                <w:szCs w:val="18"/>
              </w:rPr>
              <w:t>Tematická oblast*:</w:t>
            </w:r>
          </w:p>
        </w:tc>
        <w:tc>
          <w:tcPr>
            <w:tcW w:w="6718" w:type="dxa"/>
            <w:gridSpan w:val="5"/>
            <w:shd w:val="clear" w:color="auto" w:fill="C2D69B" w:themeFill="accent3" w:themeFillTint="99"/>
          </w:tcPr>
          <w:p w:rsidR="00E700FA" w:rsidRPr="00CD3A4F" w:rsidRDefault="00E700FA" w:rsidP="004F4455">
            <w:pPr>
              <w:rPr>
                <w:rFonts w:ascii="Arial" w:hAnsi="Arial" w:cs="Arial"/>
                <w:b/>
                <w:bCs/>
                <w:i/>
                <w:iCs/>
                <w:sz w:val="18"/>
                <w:szCs w:val="18"/>
              </w:rPr>
            </w:pPr>
            <w:r w:rsidRPr="00CD3A4F">
              <w:rPr>
                <w:rFonts w:ascii="Arial" w:hAnsi="Arial" w:cs="Arial"/>
                <w:b/>
                <w:bCs/>
                <w:i/>
                <w:iCs/>
                <w:sz w:val="18"/>
                <w:szCs w:val="18"/>
              </w:rPr>
              <w:t xml:space="preserve">Sociální integrace  </w:t>
            </w:r>
          </w:p>
        </w:tc>
      </w:tr>
      <w:tr w:rsidR="00E700FA" w:rsidRPr="00F40F28" w:rsidTr="00B70C44">
        <w:tc>
          <w:tcPr>
            <w:tcW w:w="2482" w:type="dxa"/>
            <w:gridSpan w:val="4"/>
            <w:vAlign w:val="center"/>
          </w:tcPr>
          <w:p w:rsidR="00E700FA" w:rsidRPr="00CD3A4F" w:rsidRDefault="00E700FA" w:rsidP="004F4455">
            <w:pPr>
              <w:rPr>
                <w:rFonts w:ascii="Arial" w:hAnsi="Arial" w:cs="Arial"/>
                <w:sz w:val="18"/>
                <w:szCs w:val="18"/>
              </w:rPr>
            </w:pPr>
            <w:r w:rsidRPr="00CD3A4F">
              <w:rPr>
                <w:rFonts w:ascii="Arial" w:hAnsi="Arial" w:cs="Arial"/>
                <w:sz w:val="18"/>
                <w:szCs w:val="18"/>
              </w:rPr>
              <w:t>Synergické oblasti podpory OP/ROP1*</w:t>
            </w:r>
            <w:r w:rsidRPr="00CD3A4F">
              <w:rPr>
                <w:rFonts w:ascii="Arial" w:hAnsi="Arial" w:cs="Arial"/>
                <w:b/>
                <w:bCs/>
                <w:sz w:val="18"/>
                <w:szCs w:val="18"/>
                <w:u w:val="single"/>
              </w:rPr>
              <w:t xml:space="preserve">                               </w:t>
            </w:r>
            <w:r w:rsidRPr="00CD3A4F">
              <w:rPr>
                <w:rFonts w:ascii="Arial" w:hAnsi="Arial" w:cs="Arial"/>
                <w:b/>
                <w:bCs/>
                <w:sz w:val="18"/>
                <w:szCs w:val="18"/>
              </w:rPr>
              <w:t xml:space="preserve"> </w:t>
            </w:r>
            <w:r w:rsidRPr="00CD3A4F">
              <w:rPr>
                <w:rFonts w:ascii="Arial" w:hAnsi="Arial" w:cs="Arial"/>
                <w:sz w:val="18"/>
                <w:szCs w:val="18"/>
              </w:rPr>
              <w:t>:</w:t>
            </w:r>
          </w:p>
        </w:tc>
        <w:tc>
          <w:tcPr>
            <w:tcW w:w="6718" w:type="dxa"/>
            <w:gridSpan w:val="5"/>
          </w:tcPr>
          <w:p w:rsidR="00E700FA" w:rsidRPr="00CD3A4F" w:rsidRDefault="00E700FA" w:rsidP="004F4455">
            <w:pPr>
              <w:rPr>
                <w:rFonts w:ascii="Arial" w:hAnsi="Arial" w:cs="Arial"/>
                <w:i/>
                <w:iCs/>
                <w:sz w:val="18"/>
                <w:szCs w:val="18"/>
              </w:rPr>
            </w:pPr>
            <w:r w:rsidRPr="00CD3A4F">
              <w:rPr>
                <w:rFonts w:ascii="Arial" w:hAnsi="Arial" w:cs="Arial"/>
                <w:b/>
                <w:bCs/>
                <w:i/>
                <w:iCs/>
                <w:sz w:val="18"/>
                <w:szCs w:val="18"/>
              </w:rPr>
              <w:t xml:space="preserve">3.1 služby v oblasti sociální integrace  </w:t>
            </w:r>
          </w:p>
        </w:tc>
      </w:tr>
      <w:tr w:rsidR="00E700FA" w:rsidRPr="00F40F28" w:rsidTr="00B70C44">
        <w:trPr>
          <w:trHeight w:val="328"/>
        </w:trPr>
        <w:tc>
          <w:tcPr>
            <w:tcW w:w="2482" w:type="dxa"/>
            <w:gridSpan w:val="4"/>
            <w:vAlign w:val="center"/>
          </w:tcPr>
          <w:p w:rsidR="00E700FA" w:rsidRPr="00CD3A4F" w:rsidRDefault="00E700FA" w:rsidP="004F4455">
            <w:pPr>
              <w:rPr>
                <w:rFonts w:ascii="Arial" w:hAnsi="Arial" w:cs="Arial"/>
                <w:sz w:val="18"/>
                <w:szCs w:val="18"/>
              </w:rPr>
            </w:pPr>
            <w:r w:rsidRPr="00CD3A4F">
              <w:rPr>
                <w:rFonts w:ascii="Arial" w:hAnsi="Arial" w:cs="Arial"/>
                <w:sz w:val="18"/>
                <w:szCs w:val="18"/>
              </w:rPr>
              <w:t>Návaznost na oblasti podpory OP/ROP2*</w:t>
            </w:r>
            <w:r w:rsidRPr="00CD3A4F">
              <w:rPr>
                <w:rFonts w:ascii="Arial" w:hAnsi="Arial" w:cs="Arial"/>
                <w:b/>
                <w:bCs/>
                <w:sz w:val="18"/>
                <w:szCs w:val="18"/>
                <w:u w:val="single"/>
              </w:rPr>
              <w:t xml:space="preserve">                               </w:t>
            </w:r>
            <w:r w:rsidRPr="00CD3A4F">
              <w:rPr>
                <w:rFonts w:ascii="Arial" w:hAnsi="Arial" w:cs="Arial"/>
                <w:b/>
                <w:bCs/>
                <w:sz w:val="18"/>
                <w:szCs w:val="18"/>
              </w:rPr>
              <w:t xml:space="preserve"> </w:t>
            </w:r>
            <w:r w:rsidRPr="00CD3A4F">
              <w:rPr>
                <w:rFonts w:ascii="Arial" w:hAnsi="Arial" w:cs="Arial"/>
                <w:sz w:val="18"/>
                <w:szCs w:val="18"/>
              </w:rPr>
              <w:t>:</w:t>
            </w:r>
          </w:p>
        </w:tc>
        <w:tc>
          <w:tcPr>
            <w:tcW w:w="6718" w:type="dxa"/>
            <w:gridSpan w:val="5"/>
          </w:tcPr>
          <w:p w:rsidR="00E700FA" w:rsidRPr="00CD3A4F" w:rsidRDefault="00E700FA" w:rsidP="004F4455">
            <w:pPr>
              <w:rPr>
                <w:rFonts w:ascii="Arial" w:hAnsi="Arial" w:cs="Arial"/>
                <w:i/>
                <w:iCs/>
                <w:sz w:val="18"/>
                <w:szCs w:val="18"/>
              </w:rPr>
            </w:pPr>
            <w:r w:rsidRPr="00CD3A4F">
              <w:rPr>
                <w:rFonts w:ascii="Arial" w:hAnsi="Arial" w:cs="Arial"/>
                <w:i/>
                <w:iCs/>
                <w:sz w:val="18"/>
                <w:szCs w:val="18"/>
              </w:rPr>
              <w:t xml:space="preserve">3.2 OPLZZ romská problematika, </w:t>
            </w:r>
          </w:p>
          <w:p w:rsidR="00E700FA" w:rsidRPr="00CD3A4F" w:rsidRDefault="00E700FA" w:rsidP="004F4455">
            <w:pPr>
              <w:rPr>
                <w:rFonts w:ascii="Arial" w:hAnsi="Arial" w:cs="Arial"/>
                <w:i/>
                <w:iCs/>
                <w:sz w:val="18"/>
                <w:szCs w:val="18"/>
              </w:rPr>
            </w:pPr>
            <w:r w:rsidRPr="00CD3A4F">
              <w:rPr>
                <w:rFonts w:ascii="Arial" w:hAnsi="Arial" w:cs="Arial"/>
                <w:i/>
                <w:iCs/>
                <w:sz w:val="18"/>
                <w:szCs w:val="18"/>
              </w:rPr>
              <w:t xml:space="preserve">3.1 OPLZZ zrcadlové projekty a zvýšení kvality a dostupnosti veř. </w:t>
            </w:r>
            <w:proofErr w:type="gramStart"/>
            <w:r w:rsidRPr="00CD3A4F">
              <w:rPr>
                <w:rFonts w:ascii="Arial" w:hAnsi="Arial" w:cs="Arial"/>
                <w:i/>
                <w:iCs/>
                <w:sz w:val="18"/>
                <w:szCs w:val="18"/>
              </w:rPr>
              <w:t>služeb</w:t>
            </w:r>
            <w:proofErr w:type="gramEnd"/>
            <w:r w:rsidRPr="00CD3A4F">
              <w:rPr>
                <w:rFonts w:ascii="Arial" w:hAnsi="Arial" w:cs="Arial"/>
                <w:i/>
                <w:iCs/>
                <w:sz w:val="18"/>
                <w:szCs w:val="18"/>
              </w:rPr>
              <w:t xml:space="preserve">, </w:t>
            </w:r>
          </w:p>
          <w:p w:rsidR="00E700FA" w:rsidRPr="00CD3A4F" w:rsidRDefault="00E700FA" w:rsidP="004F4455">
            <w:pPr>
              <w:rPr>
                <w:rFonts w:ascii="Arial" w:hAnsi="Arial" w:cs="Arial"/>
                <w:i/>
                <w:iCs/>
                <w:sz w:val="18"/>
                <w:szCs w:val="18"/>
              </w:rPr>
            </w:pPr>
            <w:r w:rsidRPr="00CD3A4F">
              <w:rPr>
                <w:rFonts w:ascii="Arial" w:hAnsi="Arial" w:cs="Arial"/>
                <w:i/>
                <w:iCs/>
                <w:sz w:val="18"/>
                <w:szCs w:val="18"/>
              </w:rPr>
              <w:t>5.2 IOP sociální integrace (IPRM)</w:t>
            </w:r>
          </w:p>
        </w:tc>
      </w:tr>
      <w:tr w:rsidR="00E700FA" w:rsidRPr="00F40F28" w:rsidTr="00B70C44">
        <w:tc>
          <w:tcPr>
            <w:tcW w:w="2482" w:type="dxa"/>
            <w:gridSpan w:val="4"/>
            <w:vAlign w:val="center"/>
          </w:tcPr>
          <w:p w:rsidR="00E700FA" w:rsidRPr="00CD3A4F" w:rsidRDefault="00E700FA" w:rsidP="004F4455">
            <w:pPr>
              <w:rPr>
                <w:rFonts w:ascii="Arial" w:hAnsi="Arial" w:cs="Arial"/>
                <w:sz w:val="18"/>
                <w:szCs w:val="18"/>
              </w:rPr>
            </w:pPr>
            <w:r w:rsidRPr="00CD3A4F">
              <w:rPr>
                <w:rFonts w:ascii="Arial" w:hAnsi="Arial" w:cs="Arial"/>
                <w:sz w:val="18"/>
                <w:szCs w:val="18"/>
              </w:rPr>
              <w:t>Je uzavřena dohoda o spolupráci mezi ŘO (PP) a ŘO (NP):</w:t>
            </w:r>
          </w:p>
        </w:tc>
        <w:tc>
          <w:tcPr>
            <w:tcW w:w="6718" w:type="dxa"/>
            <w:gridSpan w:val="5"/>
            <w:vAlign w:val="center"/>
          </w:tcPr>
          <w:p w:rsidR="00E700FA" w:rsidRPr="00CD3A4F" w:rsidRDefault="00E700FA" w:rsidP="004F4455">
            <w:pPr>
              <w:rPr>
                <w:rFonts w:ascii="Arial" w:hAnsi="Arial" w:cs="Arial"/>
                <w:sz w:val="18"/>
                <w:szCs w:val="18"/>
              </w:rPr>
            </w:pPr>
            <w:r w:rsidRPr="00CD3A4F">
              <w:rPr>
                <w:rFonts w:ascii="Arial" w:hAnsi="Arial" w:cs="Arial"/>
                <w:sz w:val="18"/>
                <w:szCs w:val="18"/>
              </w:rPr>
              <w:t>NE</w:t>
            </w:r>
          </w:p>
        </w:tc>
      </w:tr>
      <w:tr w:rsidR="00E700FA" w:rsidRPr="00F40F28" w:rsidTr="00B70C44">
        <w:tc>
          <w:tcPr>
            <w:tcW w:w="9200" w:type="dxa"/>
            <w:gridSpan w:val="9"/>
            <w:shd w:val="clear" w:color="auto" w:fill="C2D69B" w:themeFill="accent3" w:themeFillTint="99"/>
          </w:tcPr>
          <w:p w:rsidR="00E700FA" w:rsidRPr="00CD3A4F" w:rsidRDefault="00E700FA" w:rsidP="004F4455">
            <w:pPr>
              <w:rPr>
                <w:rFonts w:ascii="Arial" w:hAnsi="Arial" w:cs="Arial"/>
                <w:i/>
                <w:iCs/>
                <w:sz w:val="18"/>
                <w:szCs w:val="18"/>
              </w:rPr>
            </w:pPr>
            <w:r w:rsidRPr="00CD3A4F">
              <w:rPr>
                <w:rFonts w:ascii="Arial" w:hAnsi="Arial" w:cs="Arial"/>
                <w:b/>
                <w:bCs/>
                <w:i/>
                <w:iCs/>
                <w:sz w:val="18"/>
                <w:szCs w:val="18"/>
              </w:rPr>
              <w:t xml:space="preserve">Zhodnocení fungování koordinačních mechanismů mezi ŘO(PP) a ŘO (NP) nastavených v dohodách mezi ŘO/v programové dokumentaci/dalších koordinačních mechanismů, vč. popisu formy </w:t>
            </w:r>
            <w:r w:rsidRPr="00CD3A4F">
              <w:rPr>
                <w:rFonts w:ascii="Arial" w:hAnsi="Arial" w:cs="Arial"/>
                <w:i/>
                <w:iCs/>
                <w:sz w:val="18"/>
                <w:szCs w:val="18"/>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E700FA" w:rsidRPr="00F40F28" w:rsidTr="00B70C44">
        <w:trPr>
          <w:trHeight w:val="648"/>
        </w:trPr>
        <w:tc>
          <w:tcPr>
            <w:tcW w:w="9200" w:type="dxa"/>
            <w:gridSpan w:val="9"/>
          </w:tcPr>
          <w:p w:rsidR="00E700FA" w:rsidRPr="00CD3A4F" w:rsidRDefault="00E700FA" w:rsidP="004F4455">
            <w:pPr>
              <w:rPr>
                <w:rFonts w:ascii="Arial" w:hAnsi="Arial" w:cs="Arial"/>
                <w:sz w:val="18"/>
                <w:szCs w:val="18"/>
              </w:rPr>
            </w:pPr>
            <w:r w:rsidRPr="00CD3A4F">
              <w:rPr>
                <w:rFonts w:ascii="Arial" w:hAnsi="Arial" w:cs="Arial"/>
                <w:sz w:val="18"/>
                <w:szCs w:val="18"/>
              </w:rPr>
              <w:t xml:space="preserve">Žadatelé jsou informováni na semináři pro žadatele o synergických vazbách mezi operačními programy. </w:t>
            </w:r>
          </w:p>
          <w:p w:rsidR="00E700FA" w:rsidRPr="00CD3A4F" w:rsidRDefault="00E700FA" w:rsidP="004F4455">
            <w:pPr>
              <w:rPr>
                <w:rFonts w:ascii="Arial" w:hAnsi="Arial" w:cs="Arial"/>
                <w:sz w:val="18"/>
                <w:szCs w:val="18"/>
              </w:rPr>
            </w:pPr>
          </w:p>
        </w:tc>
      </w:tr>
      <w:tr w:rsidR="00E700FA" w:rsidRPr="00F40F28" w:rsidTr="00B70C44">
        <w:trPr>
          <w:trHeight w:val="66"/>
        </w:trPr>
        <w:tc>
          <w:tcPr>
            <w:tcW w:w="9200" w:type="dxa"/>
            <w:gridSpan w:val="9"/>
            <w:shd w:val="clear" w:color="auto" w:fill="C2D69B" w:themeFill="accent3" w:themeFillTint="99"/>
          </w:tcPr>
          <w:p w:rsidR="00E700FA" w:rsidRPr="00CD3A4F" w:rsidRDefault="00E700FA" w:rsidP="004F4455">
            <w:pPr>
              <w:autoSpaceDE w:val="0"/>
              <w:autoSpaceDN w:val="0"/>
              <w:adjustRightInd w:val="0"/>
              <w:rPr>
                <w:rFonts w:ascii="Arial" w:eastAsia="SimSun" w:hAnsi="Arial" w:cs="Arial"/>
                <w:sz w:val="18"/>
                <w:szCs w:val="18"/>
                <w:lang w:eastAsia="zh-CN"/>
              </w:rPr>
            </w:pPr>
            <w:r w:rsidRPr="00CD3A4F">
              <w:rPr>
                <w:rFonts w:ascii="Arial" w:eastAsia="SimSun" w:hAnsi="Arial" w:cs="Arial"/>
                <w:b/>
                <w:bCs/>
                <w:i/>
                <w:iCs/>
                <w:sz w:val="18"/>
                <w:szCs w:val="18"/>
                <w:lang w:eastAsia="zh-CN"/>
              </w:rPr>
              <w:t>Přehled synergických projektů naplňujících danou vazbu – sestava MSC2007 221</w:t>
            </w:r>
          </w:p>
        </w:tc>
      </w:tr>
      <w:tr w:rsidR="00E700FA" w:rsidRPr="00F40F28" w:rsidTr="00B70C44">
        <w:trPr>
          <w:trHeight w:val="66"/>
        </w:trPr>
        <w:tc>
          <w:tcPr>
            <w:tcW w:w="9200" w:type="dxa"/>
            <w:gridSpan w:val="9"/>
          </w:tcPr>
          <w:p w:rsidR="00E700FA" w:rsidRPr="00CD3A4F" w:rsidRDefault="00E700FA" w:rsidP="004F4455">
            <w:pPr>
              <w:autoSpaceDE w:val="0"/>
              <w:autoSpaceDN w:val="0"/>
              <w:adjustRightInd w:val="0"/>
              <w:rPr>
                <w:rFonts w:ascii="Arial" w:eastAsia="SimSun" w:hAnsi="Arial" w:cs="Arial"/>
                <w:sz w:val="18"/>
                <w:szCs w:val="18"/>
                <w:lang w:eastAsia="zh-CN"/>
              </w:rPr>
            </w:pPr>
            <w:r w:rsidRPr="00CD3A4F">
              <w:rPr>
                <w:rFonts w:ascii="Arial" w:eastAsia="SimSun" w:hAnsi="Arial" w:cs="Arial"/>
                <w:sz w:val="18"/>
                <w:szCs w:val="18"/>
                <w:lang w:eastAsia="zh-CN"/>
              </w:rPr>
              <w:t>Výběrová kritéria: Program = OP/</w:t>
            </w:r>
            <w:r w:rsidRPr="00CD3A4F">
              <w:rPr>
                <w:rFonts w:ascii="Arial" w:eastAsia="SimSun" w:hAnsi="Arial" w:cs="Arial"/>
                <w:i/>
                <w:iCs/>
                <w:sz w:val="18"/>
                <w:szCs w:val="18"/>
                <w:lang w:eastAsia="zh-CN"/>
              </w:rPr>
              <w:t>ROP1</w:t>
            </w:r>
          </w:p>
        </w:tc>
      </w:tr>
      <w:tr w:rsidR="00E700FA" w:rsidRPr="00F40F28" w:rsidTr="00B70C44">
        <w:trPr>
          <w:trHeight w:val="81"/>
        </w:trPr>
        <w:tc>
          <w:tcPr>
            <w:tcW w:w="567" w:type="dxa"/>
            <w:vAlign w:val="center"/>
          </w:tcPr>
          <w:p w:rsidR="00E700FA" w:rsidRPr="001F7B7C" w:rsidRDefault="00E700FA" w:rsidP="004F4455">
            <w:pPr>
              <w:jc w:val="center"/>
              <w:rPr>
                <w:sz w:val="18"/>
                <w:szCs w:val="18"/>
              </w:rPr>
            </w:pPr>
            <w:r w:rsidRPr="001F7B7C">
              <w:rPr>
                <w:sz w:val="18"/>
                <w:szCs w:val="18"/>
              </w:rPr>
              <w:t>Pořadové č.</w:t>
            </w:r>
          </w:p>
        </w:tc>
        <w:tc>
          <w:tcPr>
            <w:tcW w:w="1337" w:type="dxa"/>
            <w:gridSpan w:val="2"/>
            <w:vAlign w:val="center"/>
          </w:tcPr>
          <w:p w:rsidR="00E700FA" w:rsidRPr="001F7B7C" w:rsidRDefault="00E700FA" w:rsidP="004F4455">
            <w:pPr>
              <w:jc w:val="center"/>
              <w:rPr>
                <w:sz w:val="18"/>
                <w:szCs w:val="18"/>
              </w:rPr>
            </w:pPr>
            <w:r w:rsidRPr="001F7B7C">
              <w:rPr>
                <w:sz w:val="18"/>
                <w:szCs w:val="18"/>
              </w:rPr>
              <w:t xml:space="preserve">Č. </w:t>
            </w:r>
            <w:proofErr w:type="spellStart"/>
            <w:r w:rsidRPr="001F7B7C">
              <w:rPr>
                <w:sz w:val="18"/>
                <w:szCs w:val="18"/>
              </w:rPr>
              <w:t>synerg</w:t>
            </w:r>
            <w:proofErr w:type="spellEnd"/>
            <w:r w:rsidRPr="001F7B7C">
              <w:rPr>
                <w:sz w:val="18"/>
                <w:szCs w:val="18"/>
              </w:rPr>
              <w:t>. projektu OP/ROP1 (PP, NP)</w:t>
            </w:r>
          </w:p>
        </w:tc>
        <w:tc>
          <w:tcPr>
            <w:tcW w:w="1418" w:type="dxa"/>
            <w:gridSpan w:val="2"/>
            <w:vAlign w:val="center"/>
          </w:tcPr>
          <w:p w:rsidR="00E700FA" w:rsidRPr="001F7B7C" w:rsidRDefault="00E700FA" w:rsidP="004F4455">
            <w:pPr>
              <w:jc w:val="center"/>
              <w:rPr>
                <w:sz w:val="18"/>
                <w:szCs w:val="18"/>
              </w:rPr>
            </w:pPr>
            <w:r w:rsidRPr="001F7B7C">
              <w:rPr>
                <w:sz w:val="18"/>
                <w:szCs w:val="18"/>
              </w:rPr>
              <w:t>Název projektu OP/ROP1</w:t>
            </w:r>
          </w:p>
        </w:tc>
        <w:tc>
          <w:tcPr>
            <w:tcW w:w="972" w:type="dxa"/>
            <w:vAlign w:val="center"/>
          </w:tcPr>
          <w:p w:rsidR="00E700FA" w:rsidRPr="001F7B7C" w:rsidRDefault="00E700FA" w:rsidP="004F4455">
            <w:pPr>
              <w:jc w:val="center"/>
              <w:rPr>
                <w:sz w:val="18"/>
                <w:szCs w:val="18"/>
              </w:rPr>
            </w:pPr>
            <w:r w:rsidRPr="001F7B7C">
              <w:rPr>
                <w:sz w:val="18"/>
                <w:szCs w:val="18"/>
              </w:rPr>
              <w:t>Popis synergie</w:t>
            </w:r>
          </w:p>
        </w:tc>
        <w:tc>
          <w:tcPr>
            <w:tcW w:w="809" w:type="dxa"/>
            <w:vAlign w:val="center"/>
          </w:tcPr>
          <w:p w:rsidR="00E700FA" w:rsidRPr="001F7B7C" w:rsidRDefault="00E700FA" w:rsidP="004F4455">
            <w:pPr>
              <w:jc w:val="center"/>
              <w:rPr>
                <w:sz w:val="18"/>
                <w:szCs w:val="18"/>
              </w:rPr>
            </w:pPr>
            <w:r w:rsidRPr="001F7B7C">
              <w:rPr>
                <w:sz w:val="18"/>
                <w:szCs w:val="18"/>
              </w:rPr>
              <w:t>Přiřazený kód synergie</w:t>
            </w:r>
          </w:p>
        </w:tc>
        <w:tc>
          <w:tcPr>
            <w:tcW w:w="2444" w:type="dxa"/>
            <w:vAlign w:val="center"/>
          </w:tcPr>
          <w:p w:rsidR="00E700FA" w:rsidRPr="001F7B7C" w:rsidRDefault="00E700FA" w:rsidP="004F4455">
            <w:pPr>
              <w:jc w:val="center"/>
              <w:rPr>
                <w:sz w:val="18"/>
                <w:szCs w:val="18"/>
              </w:rPr>
            </w:pPr>
            <w:r w:rsidRPr="001F7B7C">
              <w:rPr>
                <w:sz w:val="18"/>
                <w:szCs w:val="18"/>
              </w:rPr>
              <w:t xml:space="preserve">Č. </w:t>
            </w:r>
            <w:proofErr w:type="spellStart"/>
            <w:r w:rsidRPr="001F7B7C">
              <w:rPr>
                <w:sz w:val="18"/>
                <w:szCs w:val="18"/>
              </w:rPr>
              <w:t>synerg</w:t>
            </w:r>
            <w:proofErr w:type="spellEnd"/>
            <w:r w:rsidRPr="001F7B7C">
              <w:rPr>
                <w:sz w:val="18"/>
                <w:szCs w:val="18"/>
              </w:rPr>
              <w:t>. projektu OP/ROP2</w:t>
            </w:r>
          </w:p>
        </w:tc>
        <w:tc>
          <w:tcPr>
            <w:tcW w:w="1653" w:type="dxa"/>
            <w:vAlign w:val="center"/>
          </w:tcPr>
          <w:p w:rsidR="00E700FA" w:rsidRPr="001F7B7C" w:rsidRDefault="00E700FA" w:rsidP="004F4455">
            <w:pPr>
              <w:jc w:val="center"/>
              <w:rPr>
                <w:sz w:val="18"/>
                <w:szCs w:val="18"/>
              </w:rPr>
            </w:pPr>
            <w:r w:rsidRPr="001F7B7C">
              <w:rPr>
                <w:sz w:val="18"/>
                <w:szCs w:val="18"/>
              </w:rPr>
              <w:t>Název projektu OP/ROP2</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w:t>
            </w:r>
          </w:p>
        </w:tc>
        <w:tc>
          <w:tcPr>
            <w:tcW w:w="1337" w:type="dxa"/>
            <w:gridSpan w:val="2"/>
          </w:tcPr>
          <w:p w:rsidR="00E700FA" w:rsidRPr="001F7B7C" w:rsidRDefault="00E700FA" w:rsidP="004F4455">
            <w:pPr>
              <w:rPr>
                <w:sz w:val="18"/>
                <w:szCs w:val="18"/>
              </w:rPr>
            </w:pPr>
            <w:r w:rsidRPr="001F7B7C">
              <w:rPr>
                <w:sz w:val="18"/>
                <w:szCs w:val="18"/>
              </w:rPr>
              <w:t>CZ.1.06/3.1.02/01.06080</w:t>
            </w:r>
            <w:r w:rsidRPr="001F7B7C" w:rsidDel="0032201A">
              <w:rPr>
                <w:sz w:val="18"/>
                <w:szCs w:val="18"/>
              </w:rPr>
              <w:t xml:space="preserve"> </w:t>
            </w:r>
          </w:p>
        </w:tc>
        <w:tc>
          <w:tcPr>
            <w:tcW w:w="1418" w:type="dxa"/>
            <w:gridSpan w:val="2"/>
          </w:tcPr>
          <w:p w:rsidR="00E700FA" w:rsidRPr="001F7B7C" w:rsidRDefault="00E700FA" w:rsidP="004F4455">
            <w:pPr>
              <w:rPr>
                <w:sz w:val="18"/>
                <w:szCs w:val="18"/>
              </w:rPr>
            </w:pPr>
            <w:r w:rsidRPr="001F7B7C">
              <w:rPr>
                <w:sz w:val="18"/>
                <w:szCs w:val="18"/>
              </w:rPr>
              <w:t xml:space="preserve">Rozšíření sociálního podnikání firmy </w:t>
            </w:r>
            <w:proofErr w:type="spellStart"/>
            <w:r w:rsidRPr="001F7B7C">
              <w:rPr>
                <w:sz w:val="18"/>
                <w:szCs w:val="18"/>
              </w:rPr>
              <w:t>Active</w:t>
            </w:r>
            <w:proofErr w:type="spellEnd"/>
            <w:r w:rsidRPr="001F7B7C">
              <w:rPr>
                <w:sz w:val="18"/>
                <w:szCs w:val="18"/>
              </w:rPr>
              <w:t xml:space="preserve"> </w:t>
            </w:r>
            <w:proofErr w:type="spellStart"/>
            <w:r w:rsidRPr="001F7B7C">
              <w:rPr>
                <w:sz w:val="18"/>
                <w:szCs w:val="18"/>
              </w:rPr>
              <w:t>Colour</w:t>
            </w:r>
            <w:proofErr w:type="spellEnd"/>
            <w:r w:rsidRPr="001F7B7C">
              <w:rPr>
                <w:sz w:val="18"/>
                <w:szCs w:val="18"/>
              </w:rPr>
              <w:t xml:space="preserve"> s.r.o. - Mokrá lakovna</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 00010</w:t>
            </w:r>
            <w:r w:rsidRPr="001F7B7C" w:rsidDel="0007721E">
              <w:rPr>
                <w:sz w:val="18"/>
                <w:szCs w:val="18"/>
              </w:rPr>
              <w:t xml:space="preserve"> </w:t>
            </w:r>
          </w:p>
        </w:tc>
        <w:tc>
          <w:tcPr>
            <w:tcW w:w="1653" w:type="dxa"/>
          </w:tcPr>
          <w:p w:rsidR="00E700FA" w:rsidRPr="001F7B7C" w:rsidRDefault="00E700FA" w:rsidP="004F4455">
            <w:pPr>
              <w:rPr>
                <w:sz w:val="18"/>
                <w:szCs w:val="18"/>
              </w:rPr>
            </w:pPr>
            <w:r w:rsidRPr="001F7B7C">
              <w:rPr>
                <w:sz w:val="18"/>
                <w:szCs w:val="18"/>
              </w:rPr>
              <w:t xml:space="preserve">Rozšíření sociálního podnikání firmy </w:t>
            </w:r>
            <w:proofErr w:type="spellStart"/>
            <w:r w:rsidRPr="001F7B7C">
              <w:rPr>
                <w:sz w:val="18"/>
                <w:szCs w:val="18"/>
              </w:rPr>
              <w:t>Active</w:t>
            </w:r>
            <w:proofErr w:type="spellEnd"/>
            <w:r w:rsidRPr="001F7B7C">
              <w:rPr>
                <w:sz w:val="18"/>
                <w:szCs w:val="18"/>
              </w:rPr>
              <w:t xml:space="preserve"> </w:t>
            </w:r>
            <w:proofErr w:type="spellStart"/>
            <w:r w:rsidRPr="001F7B7C">
              <w:rPr>
                <w:sz w:val="18"/>
                <w:szCs w:val="18"/>
              </w:rPr>
              <w:t>Colour</w:t>
            </w:r>
            <w:proofErr w:type="spellEnd"/>
            <w:r w:rsidRPr="001F7B7C">
              <w:rPr>
                <w:sz w:val="18"/>
                <w:szCs w:val="18"/>
              </w:rPr>
              <w:t xml:space="preserve"> s.r.o. - Mokrá lakovna</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2</w:t>
            </w:r>
          </w:p>
        </w:tc>
        <w:tc>
          <w:tcPr>
            <w:tcW w:w="1337" w:type="dxa"/>
            <w:gridSpan w:val="2"/>
          </w:tcPr>
          <w:p w:rsidR="00E700FA" w:rsidRPr="001F7B7C" w:rsidRDefault="00E700FA" w:rsidP="004F4455">
            <w:pPr>
              <w:rPr>
                <w:sz w:val="18"/>
                <w:szCs w:val="18"/>
              </w:rPr>
            </w:pPr>
            <w:r w:rsidRPr="001F7B7C">
              <w:rPr>
                <w:sz w:val="18"/>
                <w:szCs w:val="18"/>
              </w:rPr>
              <w:t>CZ.1.06/3.1.02/01.06088</w:t>
            </w:r>
          </w:p>
        </w:tc>
        <w:tc>
          <w:tcPr>
            <w:tcW w:w="1418" w:type="dxa"/>
            <w:gridSpan w:val="2"/>
          </w:tcPr>
          <w:p w:rsidR="00E700FA" w:rsidRPr="001F7B7C" w:rsidRDefault="00E700FA" w:rsidP="004F4455">
            <w:pPr>
              <w:rPr>
                <w:sz w:val="18"/>
                <w:szCs w:val="18"/>
              </w:rPr>
            </w:pPr>
            <w:r w:rsidRPr="001F7B7C">
              <w:rPr>
                <w:sz w:val="18"/>
                <w:szCs w:val="18"/>
              </w:rPr>
              <w:t>CLEAR SERVIS- vznik a rozvoj služby praní, žehlení a oprav prádla v Těrlicku</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 00005</w:t>
            </w:r>
          </w:p>
        </w:tc>
        <w:tc>
          <w:tcPr>
            <w:tcW w:w="1653" w:type="dxa"/>
          </w:tcPr>
          <w:p w:rsidR="00E700FA" w:rsidRPr="001F7B7C" w:rsidRDefault="00E700FA" w:rsidP="004F4455">
            <w:pPr>
              <w:rPr>
                <w:sz w:val="18"/>
                <w:szCs w:val="18"/>
              </w:rPr>
            </w:pPr>
            <w:r w:rsidRPr="001F7B7C">
              <w:rPr>
                <w:sz w:val="18"/>
                <w:szCs w:val="18"/>
              </w:rPr>
              <w:t>CLEAR SERVIS- vznik a rozvoj služby praní, žehlení a oprav prádla v Těrlicku</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3</w:t>
            </w:r>
          </w:p>
        </w:tc>
        <w:tc>
          <w:tcPr>
            <w:tcW w:w="1337" w:type="dxa"/>
            <w:gridSpan w:val="2"/>
          </w:tcPr>
          <w:p w:rsidR="00E700FA" w:rsidRPr="001F7B7C" w:rsidRDefault="00E700FA" w:rsidP="004F4455">
            <w:pPr>
              <w:rPr>
                <w:sz w:val="18"/>
                <w:szCs w:val="18"/>
              </w:rPr>
            </w:pPr>
            <w:r w:rsidRPr="001F7B7C">
              <w:rPr>
                <w:sz w:val="18"/>
                <w:szCs w:val="18"/>
              </w:rPr>
              <w:t>CZ.1.06/3.1.02/01.06232</w:t>
            </w:r>
          </w:p>
        </w:tc>
        <w:tc>
          <w:tcPr>
            <w:tcW w:w="1418" w:type="dxa"/>
            <w:gridSpan w:val="2"/>
          </w:tcPr>
          <w:p w:rsidR="00E700FA" w:rsidRPr="001F7B7C" w:rsidRDefault="00E700FA" w:rsidP="004F4455">
            <w:pPr>
              <w:rPr>
                <w:sz w:val="18"/>
                <w:szCs w:val="18"/>
              </w:rPr>
            </w:pPr>
            <w:r w:rsidRPr="001F7B7C">
              <w:rPr>
                <w:sz w:val="18"/>
                <w:szCs w:val="18"/>
              </w:rPr>
              <w:t xml:space="preserve">Dřevovýroba </w:t>
            </w:r>
            <w:proofErr w:type="spellStart"/>
            <w:r w:rsidRPr="001F7B7C">
              <w:rPr>
                <w:sz w:val="18"/>
                <w:szCs w:val="18"/>
              </w:rPr>
              <w:t>Tomíkovice</w:t>
            </w:r>
            <w:proofErr w:type="spellEnd"/>
            <w:r w:rsidRPr="001F7B7C">
              <w:rPr>
                <w:sz w:val="18"/>
                <w:szCs w:val="18"/>
              </w:rPr>
              <w:t xml:space="preserve">  - Sociální podnik v romské lokalitě Kobylá </w:t>
            </w:r>
            <w:proofErr w:type="spellStart"/>
            <w:proofErr w:type="gramStart"/>
            <w:r w:rsidRPr="001F7B7C">
              <w:rPr>
                <w:sz w:val="18"/>
                <w:szCs w:val="18"/>
              </w:rPr>
              <w:t>n.Vidnavkou</w:t>
            </w:r>
            <w:proofErr w:type="spellEnd"/>
            <w:proofErr w:type="gramEnd"/>
            <w:r w:rsidRPr="001F7B7C">
              <w:rPr>
                <w:sz w:val="18"/>
                <w:szCs w:val="18"/>
              </w:rPr>
              <w:t>, Velká Kraš</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CZ.1.04/3.1.06/30.00039</w:t>
            </w:r>
          </w:p>
        </w:tc>
        <w:tc>
          <w:tcPr>
            <w:tcW w:w="1653" w:type="dxa"/>
          </w:tcPr>
          <w:p w:rsidR="00E700FA" w:rsidRPr="001F7B7C" w:rsidRDefault="00E700FA" w:rsidP="004F4455">
            <w:pPr>
              <w:rPr>
                <w:sz w:val="18"/>
                <w:szCs w:val="18"/>
              </w:rPr>
            </w:pPr>
            <w:r w:rsidRPr="001F7B7C">
              <w:rPr>
                <w:sz w:val="18"/>
                <w:szCs w:val="18"/>
              </w:rPr>
              <w:t xml:space="preserve">Dřevovýroba </w:t>
            </w:r>
            <w:proofErr w:type="spellStart"/>
            <w:r w:rsidRPr="001F7B7C">
              <w:rPr>
                <w:sz w:val="18"/>
                <w:szCs w:val="18"/>
              </w:rPr>
              <w:t>Tomíkovice</w:t>
            </w:r>
            <w:proofErr w:type="spellEnd"/>
            <w:r w:rsidRPr="001F7B7C">
              <w:rPr>
                <w:sz w:val="18"/>
                <w:szCs w:val="18"/>
              </w:rPr>
              <w:t xml:space="preserve">  - Sociální podnik v romské lokalitě Kobylá </w:t>
            </w:r>
            <w:proofErr w:type="spellStart"/>
            <w:proofErr w:type="gramStart"/>
            <w:r w:rsidRPr="001F7B7C">
              <w:rPr>
                <w:sz w:val="18"/>
                <w:szCs w:val="18"/>
              </w:rPr>
              <w:t>n.Vidnavkou</w:t>
            </w:r>
            <w:proofErr w:type="spellEnd"/>
            <w:proofErr w:type="gramEnd"/>
            <w:r w:rsidRPr="001F7B7C">
              <w:rPr>
                <w:sz w:val="18"/>
                <w:szCs w:val="18"/>
              </w:rPr>
              <w:t>, Velká Kraš</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4</w:t>
            </w:r>
          </w:p>
        </w:tc>
        <w:tc>
          <w:tcPr>
            <w:tcW w:w="1337" w:type="dxa"/>
            <w:gridSpan w:val="2"/>
          </w:tcPr>
          <w:p w:rsidR="00E700FA" w:rsidRPr="001F7B7C" w:rsidRDefault="00E700FA" w:rsidP="004F4455">
            <w:pPr>
              <w:rPr>
                <w:sz w:val="18"/>
                <w:szCs w:val="18"/>
              </w:rPr>
            </w:pPr>
            <w:r w:rsidRPr="001F7B7C">
              <w:rPr>
                <w:sz w:val="18"/>
                <w:szCs w:val="18"/>
              </w:rPr>
              <w:t>CZ.1.06/3.1.02/01.06074</w:t>
            </w:r>
          </w:p>
        </w:tc>
        <w:tc>
          <w:tcPr>
            <w:tcW w:w="1418" w:type="dxa"/>
            <w:gridSpan w:val="2"/>
          </w:tcPr>
          <w:p w:rsidR="00E700FA" w:rsidRPr="001F7B7C" w:rsidRDefault="00E700FA" w:rsidP="004F4455">
            <w:pPr>
              <w:rPr>
                <w:sz w:val="18"/>
                <w:szCs w:val="18"/>
              </w:rPr>
            </w:pPr>
            <w:r w:rsidRPr="001F7B7C">
              <w:rPr>
                <w:sz w:val="18"/>
                <w:szCs w:val="18"/>
              </w:rPr>
              <w:t>SOFIRA - Slunce pro všechny</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 00011</w:t>
            </w:r>
          </w:p>
        </w:tc>
        <w:tc>
          <w:tcPr>
            <w:tcW w:w="1653" w:type="dxa"/>
          </w:tcPr>
          <w:p w:rsidR="00E700FA" w:rsidRPr="001F7B7C" w:rsidRDefault="00E700FA" w:rsidP="004F4455">
            <w:pPr>
              <w:rPr>
                <w:sz w:val="18"/>
                <w:szCs w:val="18"/>
              </w:rPr>
            </w:pPr>
            <w:r w:rsidRPr="001F7B7C">
              <w:rPr>
                <w:sz w:val="18"/>
                <w:szCs w:val="18"/>
              </w:rPr>
              <w:t>SOFIRA - Slunce pro všechny</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5</w:t>
            </w:r>
          </w:p>
        </w:tc>
        <w:tc>
          <w:tcPr>
            <w:tcW w:w="1337" w:type="dxa"/>
            <w:gridSpan w:val="2"/>
          </w:tcPr>
          <w:p w:rsidR="00E700FA" w:rsidRPr="001F7B7C" w:rsidRDefault="00E700FA" w:rsidP="004F4455">
            <w:pPr>
              <w:rPr>
                <w:sz w:val="18"/>
                <w:szCs w:val="18"/>
              </w:rPr>
            </w:pPr>
            <w:r w:rsidRPr="001F7B7C">
              <w:rPr>
                <w:sz w:val="18"/>
                <w:szCs w:val="18"/>
              </w:rPr>
              <w:t>CZ.1.06/3.1.02/01.06448</w:t>
            </w:r>
          </w:p>
        </w:tc>
        <w:tc>
          <w:tcPr>
            <w:tcW w:w="1418" w:type="dxa"/>
            <w:gridSpan w:val="2"/>
          </w:tcPr>
          <w:p w:rsidR="00E700FA" w:rsidRPr="001F7B7C" w:rsidRDefault="00E700FA" w:rsidP="004F4455">
            <w:pPr>
              <w:rPr>
                <w:sz w:val="18"/>
                <w:szCs w:val="18"/>
              </w:rPr>
            </w:pPr>
            <w:r w:rsidRPr="001F7B7C">
              <w:rPr>
                <w:sz w:val="18"/>
                <w:szCs w:val="18"/>
              </w:rPr>
              <w:t>DEK Group- podporovat,</w:t>
            </w:r>
            <w:r w:rsidRPr="001F7B7C">
              <w:rPr>
                <w:sz w:val="18"/>
                <w:szCs w:val="18"/>
              </w:rPr>
              <w:br/>
              <w:t>pomáhat, podnikat</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CZ.1.04/3.1.06/30.00069</w:t>
            </w:r>
          </w:p>
        </w:tc>
        <w:tc>
          <w:tcPr>
            <w:tcW w:w="1653" w:type="dxa"/>
          </w:tcPr>
          <w:p w:rsidR="00E700FA" w:rsidRPr="001F7B7C" w:rsidRDefault="00E700FA" w:rsidP="004F4455">
            <w:pPr>
              <w:rPr>
                <w:sz w:val="18"/>
                <w:szCs w:val="18"/>
              </w:rPr>
            </w:pPr>
            <w:r w:rsidRPr="001F7B7C">
              <w:rPr>
                <w:sz w:val="18"/>
                <w:szCs w:val="18"/>
              </w:rPr>
              <w:t>DEK Group- podporovat,</w:t>
            </w:r>
            <w:r w:rsidRPr="001F7B7C">
              <w:rPr>
                <w:sz w:val="18"/>
                <w:szCs w:val="18"/>
              </w:rPr>
              <w:br/>
              <w:t>pomáhat, podnikat</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7</w:t>
            </w:r>
          </w:p>
        </w:tc>
        <w:tc>
          <w:tcPr>
            <w:tcW w:w="1337" w:type="dxa"/>
            <w:gridSpan w:val="2"/>
          </w:tcPr>
          <w:p w:rsidR="00E700FA" w:rsidRPr="001F7B7C" w:rsidRDefault="00E700FA" w:rsidP="004F4455">
            <w:pPr>
              <w:rPr>
                <w:sz w:val="18"/>
                <w:szCs w:val="18"/>
              </w:rPr>
            </w:pPr>
            <w:r w:rsidRPr="001F7B7C">
              <w:rPr>
                <w:sz w:val="18"/>
                <w:szCs w:val="18"/>
              </w:rPr>
              <w:t>CZ.1.06/3.1.02/01.06944</w:t>
            </w:r>
          </w:p>
        </w:tc>
        <w:tc>
          <w:tcPr>
            <w:tcW w:w="1418" w:type="dxa"/>
            <w:gridSpan w:val="2"/>
          </w:tcPr>
          <w:p w:rsidR="00E700FA" w:rsidRPr="001F7B7C" w:rsidRDefault="00E700FA" w:rsidP="004F4455">
            <w:pPr>
              <w:rPr>
                <w:sz w:val="18"/>
                <w:szCs w:val="18"/>
              </w:rPr>
            </w:pPr>
            <w:r w:rsidRPr="001F7B7C">
              <w:rPr>
                <w:sz w:val="18"/>
                <w:szCs w:val="18"/>
              </w:rPr>
              <w:t>Catering - provoz vozu</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 00098</w:t>
            </w:r>
          </w:p>
        </w:tc>
        <w:tc>
          <w:tcPr>
            <w:tcW w:w="1653" w:type="dxa"/>
          </w:tcPr>
          <w:p w:rsidR="00E700FA" w:rsidRPr="001F7B7C" w:rsidRDefault="00E700FA" w:rsidP="004F4455">
            <w:pPr>
              <w:rPr>
                <w:sz w:val="18"/>
                <w:szCs w:val="18"/>
              </w:rPr>
            </w:pPr>
            <w:r w:rsidRPr="001F7B7C">
              <w:rPr>
                <w:sz w:val="18"/>
                <w:szCs w:val="18"/>
              </w:rPr>
              <w:t>Catering - provoz vozu</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8</w:t>
            </w:r>
          </w:p>
        </w:tc>
        <w:tc>
          <w:tcPr>
            <w:tcW w:w="1337" w:type="dxa"/>
            <w:gridSpan w:val="2"/>
          </w:tcPr>
          <w:p w:rsidR="00E700FA" w:rsidRPr="001F7B7C" w:rsidRDefault="00E700FA" w:rsidP="004F4455">
            <w:pPr>
              <w:rPr>
                <w:sz w:val="18"/>
                <w:szCs w:val="18"/>
              </w:rPr>
            </w:pPr>
            <w:r w:rsidRPr="001F7B7C">
              <w:rPr>
                <w:sz w:val="18"/>
                <w:szCs w:val="18"/>
              </w:rPr>
              <w:t>CZ.1.06/3.1.02/01.06963</w:t>
            </w:r>
          </w:p>
        </w:tc>
        <w:tc>
          <w:tcPr>
            <w:tcW w:w="1418" w:type="dxa"/>
            <w:gridSpan w:val="2"/>
          </w:tcPr>
          <w:p w:rsidR="00E700FA" w:rsidRPr="001F7B7C" w:rsidRDefault="00E700FA" w:rsidP="004F4455">
            <w:pPr>
              <w:rPr>
                <w:sz w:val="18"/>
                <w:szCs w:val="18"/>
              </w:rPr>
            </w:pPr>
            <w:r w:rsidRPr="001F7B7C">
              <w:rPr>
                <w:sz w:val="18"/>
                <w:szCs w:val="18"/>
              </w:rPr>
              <w:t>Lesní práce - sociální podnik</w:t>
            </w:r>
            <w:r w:rsidRPr="001F7B7C">
              <w:rPr>
                <w:sz w:val="18"/>
                <w:szCs w:val="18"/>
              </w:rPr>
              <w:br/>
              <w:t>rovných příležitosti</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CZ.1.04/3.1.06/30.00118</w:t>
            </w:r>
          </w:p>
        </w:tc>
        <w:tc>
          <w:tcPr>
            <w:tcW w:w="1653" w:type="dxa"/>
          </w:tcPr>
          <w:p w:rsidR="00E700FA" w:rsidRPr="001F7B7C" w:rsidRDefault="00E700FA" w:rsidP="004F4455">
            <w:pPr>
              <w:rPr>
                <w:sz w:val="18"/>
                <w:szCs w:val="18"/>
              </w:rPr>
            </w:pPr>
            <w:r w:rsidRPr="001F7B7C">
              <w:rPr>
                <w:sz w:val="18"/>
                <w:szCs w:val="18"/>
              </w:rPr>
              <w:t>Lesní práce - sociální podnik</w:t>
            </w:r>
            <w:r w:rsidRPr="001F7B7C">
              <w:rPr>
                <w:sz w:val="18"/>
                <w:szCs w:val="18"/>
              </w:rPr>
              <w:br/>
              <w:t>rovných příležitosti</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9</w:t>
            </w:r>
          </w:p>
        </w:tc>
        <w:tc>
          <w:tcPr>
            <w:tcW w:w="1337" w:type="dxa"/>
            <w:gridSpan w:val="2"/>
          </w:tcPr>
          <w:p w:rsidR="00E700FA" w:rsidRPr="001F7B7C" w:rsidRDefault="00E700FA" w:rsidP="004F4455">
            <w:pPr>
              <w:rPr>
                <w:sz w:val="18"/>
                <w:szCs w:val="18"/>
              </w:rPr>
            </w:pPr>
            <w:r w:rsidRPr="001F7B7C">
              <w:rPr>
                <w:sz w:val="18"/>
                <w:szCs w:val="18"/>
              </w:rPr>
              <w:t>CZ.1.06/3.1.02/01.07110</w:t>
            </w:r>
          </w:p>
        </w:tc>
        <w:tc>
          <w:tcPr>
            <w:tcW w:w="1418" w:type="dxa"/>
            <w:gridSpan w:val="2"/>
          </w:tcPr>
          <w:p w:rsidR="00E700FA" w:rsidRPr="001F7B7C" w:rsidRDefault="00E700FA" w:rsidP="004F4455">
            <w:pPr>
              <w:rPr>
                <w:sz w:val="18"/>
                <w:szCs w:val="18"/>
              </w:rPr>
            </w:pPr>
            <w:r w:rsidRPr="001F7B7C">
              <w:rPr>
                <w:sz w:val="18"/>
                <w:szCs w:val="18"/>
              </w:rPr>
              <w:t>Zpracování ovoce a bylin ve Velké Kraši</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 00128</w:t>
            </w:r>
          </w:p>
        </w:tc>
        <w:tc>
          <w:tcPr>
            <w:tcW w:w="1653" w:type="dxa"/>
          </w:tcPr>
          <w:p w:rsidR="00E700FA" w:rsidRPr="001F7B7C" w:rsidRDefault="00E700FA" w:rsidP="004F4455">
            <w:pPr>
              <w:rPr>
                <w:sz w:val="18"/>
                <w:szCs w:val="18"/>
              </w:rPr>
            </w:pPr>
            <w:r w:rsidRPr="001F7B7C">
              <w:rPr>
                <w:sz w:val="18"/>
                <w:szCs w:val="18"/>
              </w:rPr>
              <w:t xml:space="preserve">Zpracování ovoce </w:t>
            </w:r>
            <w:r w:rsidR="00501452">
              <w:rPr>
                <w:sz w:val="18"/>
                <w:szCs w:val="18"/>
              </w:rPr>
              <w:br/>
            </w:r>
            <w:r w:rsidRPr="001F7B7C">
              <w:rPr>
                <w:sz w:val="18"/>
                <w:szCs w:val="18"/>
              </w:rPr>
              <w:t>a bylin ve Velké Kraši</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10</w:t>
            </w:r>
          </w:p>
        </w:tc>
        <w:tc>
          <w:tcPr>
            <w:tcW w:w="1337" w:type="dxa"/>
            <w:gridSpan w:val="2"/>
          </w:tcPr>
          <w:p w:rsidR="00E700FA" w:rsidRPr="001F7B7C" w:rsidRDefault="00E700FA" w:rsidP="004F4455">
            <w:pPr>
              <w:rPr>
                <w:sz w:val="18"/>
                <w:szCs w:val="18"/>
              </w:rPr>
            </w:pPr>
            <w:r w:rsidRPr="001F7B7C">
              <w:rPr>
                <w:sz w:val="18"/>
                <w:szCs w:val="18"/>
              </w:rPr>
              <w:t>CZ.1.06/3.1.02</w:t>
            </w:r>
            <w:r w:rsidRPr="001F7B7C">
              <w:rPr>
                <w:sz w:val="18"/>
                <w:szCs w:val="18"/>
              </w:rPr>
              <w:lastRenderedPageBreak/>
              <w:t>/01.06232</w:t>
            </w:r>
          </w:p>
        </w:tc>
        <w:tc>
          <w:tcPr>
            <w:tcW w:w="1418" w:type="dxa"/>
            <w:gridSpan w:val="2"/>
          </w:tcPr>
          <w:p w:rsidR="00E700FA" w:rsidRPr="001F7B7C" w:rsidRDefault="00E700FA" w:rsidP="004F4455">
            <w:pPr>
              <w:rPr>
                <w:sz w:val="18"/>
                <w:szCs w:val="18"/>
              </w:rPr>
            </w:pPr>
            <w:r w:rsidRPr="001F7B7C">
              <w:rPr>
                <w:sz w:val="18"/>
                <w:szCs w:val="18"/>
              </w:rPr>
              <w:lastRenderedPageBreak/>
              <w:t xml:space="preserve">Dřevovýroba </w:t>
            </w:r>
            <w:proofErr w:type="spellStart"/>
            <w:r w:rsidRPr="001F7B7C">
              <w:rPr>
                <w:sz w:val="18"/>
                <w:szCs w:val="18"/>
              </w:rPr>
              <w:lastRenderedPageBreak/>
              <w:t>Tomíkovice</w:t>
            </w:r>
            <w:proofErr w:type="spellEnd"/>
            <w:r w:rsidRPr="001F7B7C">
              <w:rPr>
                <w:sz w:val="18"/>
                <w:szCs w:val="18"/>
              </w:rPr>
              <w:t xml:space="preserve">  - Sociální podnik v romské lokalitě Kobylá </w:t>
            </w:r>
            <w:proofErr w:type="spellStart"/>
            <w:proofErr w:type="gramStart"/>
            <w:r w:rsidRPr="001F7B7C">
              <w:rPr>
                <w:sz w:val="18"/>
                <w:szCs w:val="18"/>
              </w:rPr>
              <w:t>n.Vidnavkou</w:t>
            </w:r>
            <w:proofErr w:type="spellEnd"/>
            <w:proofErr w:type="gramEnd"/>
            <w:r w:rsidRPr="001F7B7C">
              <w:rPr>
                <w:sz w:val="18"/>
                <w:szCs w:val="18"/>
              </w:rPr>
              <w:t>, Velká Kraš</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CZ.1.04/3.1.06/30.00039</w:t>
            </w:r>
          </w:p>
        </w:tc>
        <w:tc>
          <w:tcPr>
            <w:tcW w:w="1653" w:type="dxa"/>
          </w:tcPr>
          <w:p w:rsidR="00E700FA" w:rsidRPr="001F7B7C" w:rsidRDefault="00E700FA" w:rsidP="004F4455">
            <w:pPr>
              <w:rPr>
                <w:sz w:val="18"/>
                <w:szCs w:val="18"/>
              </w:rPr>
            </w:pPr>
            <w:r w:rsidRPr="001F7B7C">
              <w:rPr>
                <w:sz w:val="18"/>
                <w:szCs w:val="18"/>
              </w:rPr>
              <w:t xml:space="preserve">Dřevovýroba </w:t>
            </w:r>
            <w:proofErr w:type="spellStart"/>
            <w:r w:rsidRPr="001F7B7C">
              <w:rPr>
                <w:sz w:val="18"/>
                <w:szCs w:val="18"/>
              </w:rPr>
              <w:lastRenderedPageBreak/>
              <w:t>Tomíkovice</w:t>
            </w:r>
            <w:proofErr w:type="spellEnd"/>
            <w:r w:rsidRPr="001F7B7C">
              <w:rPr>
                <w:sz w:val="18"/>
                <w:szCs w:val="18"/>
              </w:rPr>
              <w:t xml:space="preserve">  - Sociální podnik v romské lokalitě Kobylá </w:t>
            </w:r>
            <w:proofErr w:type="spellStart"/>
            <w:proofErr w:type="gramStart"/>
            <w:r w:rsidRPr="001F7B7C">
              <w:rPr>
                <w:sz w:val="18"/>
                <w:szCs w:val="18"/>
              </w:rPr>
              <w:t>n.Vidnavkou</w:t>
            </w:r>
            <w:proofErr w:type="spellEnd"/>
            <w:proofErr w:type="gramEnd"/>
            <w:r w:rsidRPr="001F7B7C">
              <w:rPr>
                <w:sz w:val="18"/>
                <w:szCs w:val="18"/>
              </w:rPr>
              <w:t>, Velká Kraš</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lastRenderedPageBreak/>
              <w:t>11</w:t>
            </w:r>
          </w:p>
        </w:tc>
        <w:tc>
          <w:tcPr>
            <w:tcW w:w="1337" w:type="dxa"/>
            <w:gridSpan w:val="2"/>
          </w:tcPr>
          <w:p w:rsidR="00E700FA" w:rsidRPr="001F7B7C" w:rsidRDefault="00E700FA" w:rsidP="004F4455">
            <w:pPr>
              <w:rPr>
                <w:sz w:val="18"/>
                <w:szCs w:val="18"/>
              </w:rPr>
            </w:pPr>
            <w:r w:rsidRPr="001F7B7C">
              <w:rPr>
                <w:sz w:val="18"/>
                <w:szCs w:val="18"/>
              </w:rPr>
              <w:t>CZ.1.06/3.1.02/01.06457</w:t>
            </w:r>
          </w:p>
          <w:p w:rsidR="00E700FA" w:rsidRPr="001F7B7C" w:rsidRDefault="00E700FA" w:rsidP="004F4455">
            <w:pPr>
              <w:rPr>
                <w:sz w:val="18"/>
                <w:szCs w:val="18"/>
              </w:rPr>
            </w:pPr>
          </w:p>
        </w:tc>
        <w:tc>
          <w:tcPr>
            <w:tcW w:w="1418" w:type="dxa"/>
            <w:gridSpan w:val="2"/>
          </w:tcPr>
          <w:p w:rsidR="00E700FA" w:rsidRPr="001F7B7C" w:rsidRDefault="00E700FA" w:rsidP="004F4455">
            <w:pPr>
              <w:rPr>
                <w:sz w:val="18"/>
                <w:szCs w:val="18"/>
              </w:rPr>
            </w:pPr>
            <w:r w:rsidRPr="001F7B7C">
              <w:rPr>
                <w:sz w:val="18"/>
                <w:szCs w:val="18"/>
              </w:rPr>
              <w:t xml:space="preserve">Krabičky </w:t>
            </w:r>
            <w:proofErr w:type="spellStart"/>
            <w:proofErr w:type="gramStart"/>
            <w:r w:rsidRPr="001F7B7C">
              <w:rPr>
                <w:sz w:val="18"/>
                <w:szCs w:val="18"/>
              </w:rPr>
              <w:t>v.d</w:t>
            </w:r>
            <w:proofErr w:type="spellEnd"/>
            <w:r w:rsidRPr="001F7B7C">
              <w:rPr>
                <w:sz w:val="18"/>
                <w:szCs w:val="18"/>
              </w:rPr>
              <w:t>. – sociální</w:t>
            </w:r>
            <w:proofErr w:type="gramEnd"/>
            <w:r w:rsidRPr="001F7B7C">
              <w:rPr>
                <w:sz w:val="18"/>
                <w:szCs w:val="18"/>
              </w:rPr>
              <w:t xml:space="preserve"> podnik</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CZ.1.04/3.1.06/30.00141</w:t>
            </w:r>
          </w:p>
          <w:p w:rsidR="00E700FA" w:rsidRPr="001F7B7C" w:rsidRDefault="00E700FA" w:rsidP="004F4455">
            <w:pPr>
              <w:rPr>
                <w:sz w:val="18"/>
                <w:szCs w:val="18"/>
              </w:rPr>
            </w:pPr>
          </w:p>
        </w:tc>
        <w:tc>
          <w:tcPr>
            <w:tcW w:w="1653" w:type="dxa"/>
          </w:tcPr>
          <w:p w:rsidR="00E700FA" w:rsidRPr="001F7B7C" w:rsidRDefault="00E700FA" w:rsidP="004F4455">
            <w:pPr>
              <w:rPr>
                <w:sz w:val="18"/>
                <w:szCs w:val="18"/>
              </w:rPr>
            </w:pPr>
            <w:r w:rsidRPr="001F7B7C">
              <w:rPr>
                <w:sz w:val="18"/>
                <w:szCs w:val="18"/>
              </w:rPr>
              <w:t>KRABIČKY v. d. - sociální podnik</w:t>
            </w:r>
          </w:p>
          <w:p w:rsidR="00E700FA" w:rsidRPr="001F7B7C" w:rsidRDefault="00E700FA" w:rsidP="004F4455">
            <w:pPr>
              <w:rPr>
                <w:sz w:val="18"/>
                <w:szCs w:val="18"/>
              </w:rPr>
            </w:pP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12</w:t>
            </w:r>
          </w:p>
        </w:tc>
        <w:tc>
          <w:tcPr>
            <w:tcW w:w="1337" w:type="dxa"/>
            <w:gridSpan w:val="2"/>
          </w:tcPr>
          <w:p w:rsidR="00E700FA" w:rsidRPr="001F7B7C" w:rsidRDefault="00E700FA" w:rsidP="004F4455">
            <w:pPr>
              <w:rPr>
                <w:sz w:val="18"/>
                <w:szCs w:val="18"/>
              </w:rPr>
            </w:pPr>
            <w:r w:rsidRPr="001F7B7C">
              <w:rPr>
                <w:sz w:val="18"/>
                <w:szCs w:val="18"/>
              </w:rPr>
              <w:t>CZ.1.06/3.1.02/01.07131</w:t>
            </w:r>
          </w:p>
          <w:p w:rsidR="00E700FA" w:rsidRPr="001F7B7C" w:rsidRDefault="00E700FA" w:rsidP="004F4455">
            <w:pPr>
              <w:rPr>
                <w:sz w:val="18"/>
                <w:szCs w:val="18"/>
              </w:rPr>
            </w:pPr>
          </w:p>
        </w:tc>
        <w:tc>
          <w:tcPr>
            <w:tcW w:w="1418" w:type="dxa"/>
            <w:gridSpan w:val="2"/>
          </w:tcPr>
          <w:p w:rsidR="00E700FA" w:rsidRPr="001F7B7C" w:rsidRDefault="00E700FA" w:rsidP="004F4455">
            <w:pPr>
              <w:rPr>
                <w:sz w:val="18"/>
                <w:szCs w:val="18"/>
              </w:rPr>
            </w:pPr>
            <w:r w:rsidRPr="001F7B7C">
              <w:rPr>
                <w:sz w:val="18"/>
                <w:szCs w:val="18"/>
              </w:rPr>
              <w:t>Umění s handicapem</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CZ.1.04/3.1.06/30.00163</w:t>
            </w:r>
          </w:p>
          <w:p w:rsidR="00E700FA" w:rsidRPr="001F7B7C" w:rsidRDefault="00E700FA" w:rsidP="004F4455">
            <w:pPr>
              <w:rPr>
                <w:sz w:val="18"/>
                <w:szCs w:val="18"/>
              </w:rPr>
            </w:pPr>
          </w:p>
        </w:tc>
        <w:tc>
          <w:tcPr>
            <w:tcW w:w="1653" w:type="dxa"/>
          </w:tcPr>
          <w:p w:rsidR="00E700FA" w:rsidRPr="001F7B7C" w:rsidRDefault="00E700FA" w:rsidP="004F4455">
            <w:pPr>
              <w:rPr>
                <w:sz w:val="18"/>
                <w:szCs w:val="18"/>
              </w:rPr>
            </w:pPr>
            <w:r w:rsidRPr="001F7B7C">
              <w:rPr>
                <w:sz w:val="18"/>
                <w:szCs w:val="18"/>
              </w:rPr>
              <w:t>Umění s handicapem</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13</w:t>
            </w:r>
          </w:p>
        </w:tc>
        <w:tc>
          <w:tcPr>
            <w:tcW w:w="1337" w:type="dxa"/>
            <w:gridSpan w:val="2"/>
          </w:tcPr>
          <w:p w:rsidR="00E700FA" w:rsidRPr="001F7B7C" w:rsidRDefault="00E700FA" w:rsidP="004F4455">
            <w:pPr>
              <w:rPr>
                <w:sz w:val="18"/>
                <w:szCs w:val="18"/>
              </w:rPr>
            </w:pPr>
            <w:r w:rsidRPr="001F7B7C">
              <w:rPr>
                <w:sz w:val="18"/>
                <w:szCs w:val="18"/>
              </w:rPr>
              <w:t>CZ.1.06/3.1.02/01.06942</w:t>
            </w:r>
          </w:p>
          <w:p w:rsidR="00E700FA" w:rsidRPr="001F7B7C" w:rsidRDefault="00E700FA" w:rsidP="004F4455">
            <w:pPr>
              <w:rPr>
                <w:sz w:val="18"/>
                <w:szCs w:val="18"/>
              </w:rPr>
            </w:pPr>
          </w:p>
        </w:tc>
        <w:tc>
          <w:tcPr>
            <w:tcW w:w="1418" w:type="dxa"/>
            <w:gridSpan w:val="2"/>
          </w:tcPr>
          <w:p w:rsidR="00E700FA" w:rsidRPr="001F7B7C" w:rsidRDefault="00E700FA" w:rsidP="004F4455">
            <w:pPr>
              <w:rPr>
                <w:sz w:val="18"/>
                <w:szCs w:val="18"/>
              </w:rPr>
            </w:pPr>
            <w:r w:rsidRPr="001F7B7C">
              <w:rPr>
                <w:sz w:val="18"/>
                <w:szCs w:val="18"/>
              </w:rPr>
              <w:t>Vybavení tiskařského centra služeb Broumov</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CZ.1.04/3.1.06/30.00168</w:t>
            </w:r>
          </w:p>
          <w:p w:rsidR="00E700FA" w:rsidRPr="001F7B7C" w:rsidRDefault="00E700FA" w:rsidP="004F4455">
            <w:pPr>
              <w:rPr>
                <w:sz w:val="18"/>
                <w:szCs w:val="18"/>
              </w:rPr>
            </w:pPr>
          </w:p>
        </w:tc>
        <w:tc>
          <w:tcPr>
            <w:tcW w:w="1653" w:type="dxa"/>
          </w:tcPr>
          <w:p w:rsidR="00E700FA" w:rsidRPr="001F7B7C" w:rsidRDefault="00E700FA" w:rsidP="004F4455">
            <w:pPr>
              <w:rPr>
                <w:sz w:val="18"/>
                <w:szCs w:val="18"/>
              </w:rPr>
            </w:pPr>
            <w:r w:rsidRPr="001F7B7C">
              <w:rPr>
                <w:sz w:val="18"/>
                <w:szCs w:val="18"/>
              </w:rPr>
              <w:t>Sociální podnik Centrum služeb Broumov s. r. o.</w:t>
            </w:r>
          </w:p>
          <w:p w:rsidR="00E700FA" w:rsidRPr="001F7B7C" w:rsidRDefault="00E700FA" w:rsidP="004F4455">
            <w:pPr>
              <w:rPr>
                <w:sz w:val="18"/>
                <w:szCs w:val="18"/>
              </w:rPr>
            </w:pP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14</w:t>
            </w:r>
          </w:p>
        </w:tc>
        <w:tc>
          <w:tcPr>
            <w:tcW w:w="1337" w:type="dxa"/>
            <w:gridSpan w:val="2"/>
          </w:tcPr>
          <w:p w:rsidR="00E700FA" w:rsidRPr="001F7B7C" w:rsidRDefault="00E700FA" w:rsidP="004F4455">
            <w:pPr>
              <w:rPr>
                <w:sz w:val="18"/>
                <w:szCs w:val="18"/>
              </w:rPr>
            </w:pPr>
            <w:r w:rsidRPr="001F7B7C">
              <w:rPr>
                <w:sz w:val="18"/>
                <w:szCs w:val="18"/>
              </w:rPr>
              <w:t>CZ.1.06/3.1.02/01.07541</w:t>
            </w:r>
          </w:p>
          <w:p w:rsidR="00E700FA" w:rsidRPr="001F7B7C" w:rsidRDefault="00E700FA" w:rsidP="004F4455">
            <w:pPr>
              <w:rPr>
                <w:sz w:val="18"/>
                <w:szCs w:val="18"/>
              </w:rPr>
            </w:pPr>
          </w:p>
        </w:tc>
        <w:tc>
          <w:tcPr>
            <w:tcW w:w="1418" w:type="dxa"/>
            <w:gridSpan w:val="2"/>
          </w:tcPr>
          <w:p w:rsidR="00E700FA" w:rsidRPr="001F7B7C" w:rsidRDefault="00E700FA" w:rsidP="004F4455">
            <w:pPr>
              <w:rPr>
                <w:sz w:val="18"/>
                <w:szCs w:val="18"/>
              </w:rPr>
            </w:pPr>
            <w:r w:rsidRPr="001F7B7C">
              <w:rPr>
                <w:sz w:val="18"/>
                <w:szCs w:val="18"/>
              </w:rPr>
              <w:t>Sociální podnik – Cukrárna Sedmička Strakonice</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CZ.1.04/3.1.06/30.00166</w:t>
            </w:r>
          </w:p>
          <w:p w:rsidR="00E700FA" w:rsidRPr="001F7B7C" w:rsidRDefault="00E700FA" w:rsidP="004F4455">
            <w:pPr>
              <w:rPr>
                <w:sz w:val="18"/>
                <w:szCs w:val="18"/>
              </w:rPr>
            </w:pPr>
          </w:p>
        </w:tc>
        <w:tc>
          <w:tcPr>
            <w:tcW w:w="1653" w:type="dxa"/>
          </w:tcPr>
          <w:p w:rsidR="00E700FA" w:rsidRPr="001F7B7C" w:rsidRDefault="00E700FA" w:rsidP="004F4455">
            <w:pPr>
              <w:rPr>
                <w:sz w:val="18"/>
                <w:szCs w:val="18"/>
              </w:rPr>
            </w:pPr>
            <w:r w:rsidRPr="001F7B7C">
              <w:rPr>
                <w:sz w:val="18"/>
                <w:szCs w:val="18"/>
              </w:rPr>
              <w:t>Sociální podnik – Cukrárna Sedmička Strakonice</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15</w:t>
            </w:r>
          </w:p>
        </w:tc>
        <w:tc>
          <w:tcPr>
            <w:tcW w:w="1337" w:type="dxa"/>
            <w:gridSpan w:val="2"/>
          </w:tcPr>
          <w:p w:rsidR="00E700FA" w:rsidRPr="001F7B7C" w:rsidRDefault="00E700FA" w:rsidP="004F4455">
            <w:pPr>
              <w:rPr>
                <w:sz w:val="18"/>
                <w:szCs w:val="18"/>
              </w:rPr>
            </w:pPr>
            <w:r w:rsidRPr="001F7B7C">
              <w:rPr>
                <w:sz w:val="18"/>
                <w:szCs w:val="18"/>
              </w:rPr>
              <w:t>CZ.1.06/3.1.02/01.07596</w:t>
            </w:r>
          </w:p>
          <w:p w:rsidR="00E700FA" w:rsidRPr="001F7B7C" w:rsidRDefault="00E700FA" w:rsidP="004F4455">
            <w:pPr>
              <w:rPr>
                <w:sz w:val="18"/>
                <w:szCs w:val="18"/>
              </w:rPr>
            </w:pPr>
          </w:p>
        </w:tc>
        <w:tc>
          <w:tcPr>
            <w:tcW w:w="1418" w:type="dxa"/>
            <w:gridSpan w:val="2"/>
          </w:tcPr>
          <w:p w:rsidR="00E700FA" w:rsidRPr="001F7B7C" w:rsidRDefault="00E700FA" w:rsidP="004F4455">
            <w:pPr>
              <w:rPr>
                <w:sz w:val="18"/>
                <w:szCs w:val="18"/>
              </w:rPr>
            </w:pPr>
            <w:r w:rsidRPr="001F7B7C">
              <w:rPr>
                <w:sz w:val="18"/>
                <w:szCs w:val="18"/>
              </w:rPr>
              <w:t>Integrační kavárna PONTES</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CZ.1.04/3.1.06/30.00169</w:t>
            </w:r>
          </w:p>
          <w:p w:rsidR="00E700FA" w:rsidRPr="001F7B7C" w:rsidRDefault="00E700FA" w:rsidP="004F4455">
            <w:pPr>
              <w:rPr>
                <w:sz w:val="18"/>
                <w:szCs w:val="18"/>
              </w:rPr>
            </w:pPr>
          </w:p>
        </w:tc>
        <w:tc>
          <w:tcPr>
            <w:tcW w:w="1653" w:type="dxa"/>
          </w:tcPr>
          <w:p w:rsidR="00E700FA" w:rsidRPr="001F7B7C" w:rsidRDefault="00E700FA" w:rsidP="004F4455">
            <w:pPr>
              <w:rPr>
                <w:sz w:val="18"/>
                <w:szCs w:val="18"/>
              </w:rPr>
            </w:pPr>
            <w:r w:rsidRPr="001F7B7C">
              <w:rPr>
                <w:sz w:val="18"/>
                <w:szCs w:val="18"/>
              </w:rPr>
              <w:t>Integrační kavárna PONTES</w:t>
            </w:r>
          </w:p>
        </w:tc>
      </w:tr>
      <w:tr w:rsidR="00E700FA" w:rsidRPr="00F40F28" w:rsidTr="00501452">
        <w:trPr>
          <w:trHeight w:val="1230"/>
        </w:trPr>
        <w:tc>
          <w:tcPr>
            <w:tcW w:w="567" w:type="dxa"/>
          </w:tcPr>
          <w:p w:rsidR="00E700FA" w:rsidRPr="001F7B7C" w:rsidRDefault="00E700FA" w:rsidP="004F4455">
            <w:pPr>
              <w:rPr>
                <w:sz w:val="18"/>
                <w:szCs w:val="18"/>
              </w:rPr>
            </w:pPr>
            <w:r w:rsidRPr="001F7B7C">
              <w:rPr>
                <w:sz w:val="18"/>
                <w:szCs w:val="18"/>
              </w:rPr>
              <w:t>16</w:t>
            </w:r>
          </w:p>
        </w:tc>
        <w:tc>
          <w:tcPr>
            <w:tcW w:w="1337" w:type="dxa"/>
            <w:gridSpan w:val="2"/>
          </w:tcPr>
          <w:p w:rsidR="00E700FA" w:rsidRPr="001F7B7C" w:rsidRDefault="00E700FA" w:rsidP="004F4455">
            <w:pPr>
              <w:rPr>
                <w:sz w:val="18"/>
                <w:szCs w:val="18"/>
              </w:rPr>
            </w:pPr>
            <w:r w:rsidRPr="001F7B7C">
              <w:rPr>
                <w:sz w:val="18"/>
                <w:szCs w:val="18"/>
              </w:rPr>
              <w:t>CZ.1.06/3.1.02/01.07113</w:t>
            </w:r>
          </w:p>
          <w:p w:rsidR="00E700FA" w:rsidRPr="001F7B7C" w:rsidRDefault="00E700FA" w:rsidP="004F4455">
            <w:pPr>
              <w:rPr>
                <w:sz w:val="18"/>
                <w:szCs w:val="18"/>
              </w:rPr>
            </w:pPr>
          </w:p>
        </w:tc>
        <w:tc>
          <w:tcPr>
            <w:tcW w:w="1418" w:type="dxa"/>
            <w:gridSpan w:val="2"/>
          </w:tcPr>
          <w:p w:rsidR="00E700FA" w:rsidRPr="001F7B7C" w:rsidRDefault="00E700FA" w:rsidP="004F4455">
            <w:pPr>
              <w:rPr>
                <w:sz w:val="18"/>
                <w:szCs w:val="18"/>
              </w:rPr>
            </w:pPr>
            <w:r w:rsidRPr="001F7B7C">
              <w:rPr>
                <w:sz w:val="18"/>
                <w:szCs w:val="18"/>
              </w:rPr>
              <w:t>Mléčný bar NAPROTI – vznik a stabilizace trvale udržitelné sociální firmy</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tcPr>
          <w:p w:rsidR="00E700FA" w:rsidRPr="001F7B7C" w:rsidRDefault="00E700FA" w:rsidP="004F4455">
            <w:pPr>
              <w:rPr>
                <w:sz w:val="18"/>
                <w:szCs w:val="18"/>
              </w:rPr>
            </w:pPr>
            <w:r w:rsidRPr="001F7B7C">
              <w:rPr>
                <w:sz w:val="18"/>
                <w:szCs w:val="18"/>
              </w:rPr>
              <w:t>CZ.1.04/3.1.06/30.00154</w:t>
            </w:r>
          </w:p>
          <w:p w:rsidR="00E700FA" w:rsidRPr="001F7B7C" w:rsidRDefault="00E700FA" w:rsidP="004F4455">
            <w:pPr>
              <w:rPr>
                <w:sz w:val="18"/>
                <w:szCs w:val="18"/>
              </w:rPr>
            </w:pPr>
          </w:p>
        </w:tc>
        <w:tc>
          <w:tcPr>
            <w:tcW w:w="1653" w:type="dxa"/>
          </w:tcPr>
          <w:p w:rsidR="00E700FA" w:rsidRPr="001F7B7C" w:rsidRDefault="00E700FA" w:rsidP="004F4455">
            <w:pPr>
              <w:rPr>
                <w:sz w:val="18"/>
                <w:szCs w:val="18"/>
              </w:rPr>
            </w:pPr>
            <w:r w:rsidRPr="001F7B7C">
              <w:rPr>
                <w:sz w:val="18"/>
                <w:szCs w:val="18"/>
              </w:rPr>
              <w:t>Mléčný bar NAPROTI – vznik a stabilizace trvale udržitelné sociální firmy</w:t>
            </w:r>
          </w:p>
        </w:tc>
      </w:tr>
      <w:tr w:rsidR="00E700FA" w:rsidRPr="00F40F28" w:rsidTr="00501452">
        <w:trPr>
          <w:trHeight w:val="680"/>
        </w:trPr>
        <w:tc>
          <w:tcPr>
            <w:tcW w:w="567" w:type="dxa"/>
          </w:tcPr>
          <w:p w:rsidR="00E700FA" w:rsidRPr="001F7B7C" w:rsidRDefault="00E700FA" w:rsidP="004F4455">
            <w:pPr>
              <w:rPr>
                <w:sz w:val="18"/>
                <w:szCs w:val="18"/>
              </w:rPr>
            </w:pPr>
            <w:r w:rsidRPr="001F7B7C">
              <w:rPr>
                <w:sz w:val="18"/>
                <w:szCs w:val="18"/>
              </w:rPr>
              <w:t>17</w:t>
            </w:r>
          </w:p>
        </w:tc>
        <w:tc>
          <w:tcPr>
            <w:tcW w:w="1337" w:type="dxa"/>
            <w:gridSpan w:val="2"/>
            <w:vAlign w:val="center"/>
          </w:tcPr>
          <w:p w:rsidR="00E700FA" w:rsidRPr="001F7B7C" w:rsidRDefault="00E700FA" w:rsidP="004F4455">
            <w:pPr>
              <w:jc w:val="right"/>
              <w:rPr>
                <w:color w:val="000000"/>
                <w:sz w:val="18"/>
                <w:szCs w:val="18"/>
              </w:rPr>
            </w:pPr>
            <w:r w:rsidRPr="001F7B7C">
              <w:rPr>
                <w:sz w:val="18"/>
                <w:szCs w:val="18"/>
              </w:rPr>
              <w:t>CZ.1.06/3.1.02/01.0</w:t>
            </w:r>
            <w:r w:rsidRPr="001F7B7C">
              <w:rPr>
                <w:color w:val="000000"/>
                <w:sz w:val="18"/>
                <w:szCs w:val="18"/>
              </w:rPr>
              <w:t>6284</w:t>
            </w:r>
          </w:p>
        </w:tc>
        <w:tc>
          <w:tcPr>
            <w:tcW w:w="1418" w:type="dxa"/>
            <w:gridSpan w:val="2"/>
            <w:vAlign w:val="center"/>
          </w:tcPr>
          <w:p w:rsidR="00E700FA" w:rsidRPr="001F7B7C" w:rsidRDefault="00E700FA" w:rsidP="004F4455">
            <w:pPr>
              <w:rPr>
                <w:color w:val="000000"/>
                <w:sz w:val="18"/>
                <w:szCs w:val="18"/>
              </w:rPr>
            </w:pPr>
            <w:r w:rsidRPr="001F7B7C">
              <w:rPr>
                <w:color w:val="000000"/>
                <w:sz w:val="18"/>
                <w:szCs w:val="18"/>
              </w:rPr>
              <w:t xml:space="preserve">Technická kapacita služeb </w:t>
            </w:r>
            <w:proofErr w:type="spellStart"/>
            <w:r w:rsidRPr="001F7B7C">
              <w:rPr>
                <w:color w:val="000000"/>
                <w:sz w:val="18"/>
                <w:szCs w:val="18"/>
              </w:rPr>
              <w:t>Centrom</w:t>
            </w:r>
            <w:proofErr w:type="spellEnd"/>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vAlign w:val="center"/>
          </w:tcPr>
          <w:p w:rsidR="00E700FA" w:rsidRPr="001F7B7C" w:rsidRDefault="00E700FA" w:rsidP="004F4455">
            <w:pPr>
              <w:rPr>
                <w:color w:val="000000"/>
                <w:sz w:val="18"/>
                <w:szCs w:val="18"/>
              </w:rPr>
            </w:pPr>
            <w:r w:rsidRPr="001F7B7C">
              <w:rPr>
                <w:color w:val="000000"/>
                <w:sz w:val="18"/>
                <w:szCs w:val="18"/>
              </w:rPr>
              <w:t>CZ.1.04/3.2.01/19.0018</w:t>
            </w:r>
          </w:p>
        </w:tc>
        <w:tc>
          <w:tcPr>
            <w:tcW w:w="1653" w:type="dxa"/>
            <w:vAlign w:val="center"/>
          </w:tcPr>
          <w:p w:rsidR="00E700FA" w:rsidRPr="001F7B7C" w:rsidRDefault="00E700FA" w:rsidP="004F4455">
            <w:pPr>
              <w:rPr>
                <w:color w:val="000000"/>
                <w:sz w:val="18"/>
                <w:szCs w:val="18"/>
              </w:rPr>
            </w:pPr>
            <w:r w:rsidRPr="001F7B7C">
              <w:rPr>
                <w:color w:val="000000"/>
                <w:sz w:val="18"/>
                <w:szCs w:val="18"/>
              </w:rPr>
              <w:t xml:space="preserve">Rozšíření kapacit </w:t>
            </w:r>
            <w:r w:rsidR="00501452">
              <w:rPr>
                <w:color w:val="000000"/>
                <w:sz w:val="18"/>
                <w:szCs w:val="18"/>
              </w:rPr>
              <w:br/>
            </w:r>
            <w:r w:rsidRPr="001F7B7C">
              <w:rPr>
                <w:color w:val="000000"/>
                <w:sz w:val="18"/>
                <w:szCs w:val="18"/>
              </w:rPr>
              <w:t>a spektra služeb CENTROM</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18</w:t>
            </w:r>
          </w:p>
        </w:tc>
        <w:tc>
          <w:tcPr>
            <w:tcW w:w="1337" w:type="dxa"/>
            <w:gridSpan w:val="2"/>
            <w:vAlign w:val="center"/>
          </w:tcPr>
          <w:p w:rsidR="00E700FA" w:rsidRPr="001F7B7C" w:rsidRDefault="00E700FA" w:rsidP="004F4455">
            <w:pPr>
              <w:jc w:val="right"/>
              <w:rPr>
                <w:color w:val="000000"/>
                <w:sz w:val="18"/>
                <w:szCs w:val="18"/>
              </w:rPr>
            </w:pPr>
            <w:r w:rsidRPr="001F7B7C">
              <w:rPr>
                <w:sz w:val="18"/>
                <w:szCs w:val="18"/>
              </w:rPr>
              <w:t>CZ.1.06/3.1.02/01.0</w:t>
            </w:r>
            <w:r w:rsidRPr="001F7B7C">
              <w:rPr>
                <w:color w:val="000000"/>
                <w:sz w:val="18"/>
                <w:szCs w:val="18"/>
              </w:rPr>
              <w:t>6284</w:t>
            </w:r>
          </w:p>
        </w:tc>
        <w:tc>
          <w:tcPr>
            <w:tcW w:w="1418" w:type="dxa"/>
            <w:gridSpan w:val="2"/>
            <w:vAlign w:val="center"/>
          </w:tcPr>
          <w:p w:rsidR="00E700FA" w:rsidRPr="001F7B7C" w:rsidRDefault="00E700FA" w:rsidP="004F4455">
            <w:pPr>
              <w:rPr>
                <w:color w:val="000000"/>
                <w:sz w:val="18"/>
                <w:szCs w:val="18"/>
              </w:rPr>
            </w:pPr>
            <w:r w:rsidRPr="001F7B7C">
              <w:rPr>
                <w:color w:val="000000"/>
                <w:sz w:val="18"/>
                <w:szCs w:val="18"/>
              </w:rPr>
              <w:t xml:space="preserve">Technická kapacita služeb </w:t>
            </w:r>
            <w:proofErr w:type="spellStart"/>
            <w:r w:rsidRPr="001F7B7C">
              <w:rPr>
                <w:color w:val="000000"/>
                <w:sz w:val="18"/>
                <w:szCs w:val="18"/>
              </w:rPr>
              <w:t>Centrom</w:t>
            </w:r>
            <w:proofErr w:type="spellEnd"/>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vAlign w:val="center"/>
          </w:tcPr>
          <w:p w:rsidR="00E700FA" w:rsidRPr="001F7B7C" w:rsidRDefault="00E700FA" w:rsidP="004F4455">
            <w:pPr>
              <w:rPr>
                <w:color w:val="000000"/>
                <w:sz w:val="18"/>
                <w:szCs w:val="18"/>
              </w:rPr>
            </w:pPr>
            <w:r w:rsidRPr="001F7B7C">
              <w:rPr>
                <w:color w:val="000000"/>
                <w:sz w:val="18"/>
                <w:szCs w:val="18"/>
              </w:rPr>
              <w:t>CZ.1.04/3.2.01/19.00182</w:t>
            </w:r>
          </w:p>
        </w:tc>
        <w:tc>
          <w:tcPr>
            <w:tcW w:w="1653" w:type="dxa"/>
            <w:vAlign w:val="center"/>
          </w:tcPr>
          <w:p w:rsidR="00E700FA" w:rsidRPr="001F7B7C" w:rsidRDefault="00E700FA" w:rsidP="004F4455">
            <w:pPr>
              <w:rPr>
                <w:color w:val="000000"/>
                <w:sz w:val="18"/>
                <w:szCs w:val="18"/>
              </w:rPr>
            </w:pPr>
            <w:r w:rsidRPr="001F7B7C">
              <w:rPr>
                <w:color w:val="000000"/>
                <w:sz w:val="18"/>
                <w:szCs w:val="18"/>
              </w:rPr>
              <w:t xml:space="preserve">Řízení kvality poskytovaných registrovaných sociálních služeb </w:t>
            </w:r>
            <w:r w:rsidR="00501452">
              <w:rPr>
                <w:color w:val="000000"/>
                <w:sz w:val="18"/>
                <w:szCs w:val="18"/>
              </w:rPr>
              <w:br/>
            </w:r>
            <w:r w:rsidRPr="001F7B7C">
              <w:rPr>
                <w:color w:val="000000"/>
                <w:sz w:val="18"/>
                <w:szCs w:val="18"/>
              </w:rPr>
              <w:t>v organizaci CENTROM II</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19</w:t>
            </w:r>
          </w:p>
        </w:tc>
        <w:tc>
          <w:tcPr>
            <w:tcW w:w="1337" w:type="dxa"/>
            <w:gridSpan w:val="2"/>
            <w:vAlign w:val="center"/>
          </w:tcPr>
          <w:p w:rsidR="00E700FA" w:rsidRPr="001F7B7C" w:rsidRDefault="00E700FA" w:rsidP="004F4455">
            <w:pPr>
              <w:jc w:val="right"/>
              <w:rPr>
                <w:color w:val="000000"/>
                <w:sz w:val="18"/>
                <w:szCs w:val="18"/>
              </w:rPr>
            </w:pPr>
            <w:r w:rsidRPr="001F7B7C">
              <w:rPr>
                <w:sz w:val="18"/>
                <w:szCs w:val="18"/>
              </w:rPr>
              <w:t>CZ.1.06/3.1.02/01.0</w:t>
            </w:r>
            <w:r w:rsidRPr="001F7B7C">
              <w:rPr>
                <w:color w:val="000000"/>
                <w:sz w:val="18"/>
                <w:szCs w:val="18"/>
              </w:rPr>
              <w:t>6284</w:t>
            </w:r>
          </w:p>
        </w:tc>
        <w:tc>
          <w:tcPr>
            <w:tcW w:w="1418" w:type="dxa"/>
            <w:gridSpan w:val="2"/>
            <w:vAlign w:val="center"/>
          </w:tcPr>
          <w:p w:rsidR="00E700FA" w:rsidRPr="001F7B7C" w:rsidRDefault="00E700FA" w:rsidP="004F4455">
            <w:pPr>
              <w:rPr>
                <w:color w:val="000000"/>
                <w:sz w:val="18"/>
                <w:szCs w:val="18"/>
              </w:rPr>
            </w:pPr>
            <w:r w:rsidRPr="001F7B7C">
              <w:rPr>
                <w:color w:val="000000"/>
                <w:sz w:val="18"/>
                <w:szCs w:val="18"/>
              </w:rPr>
              <w:t xml:space="preserve">Technická kapacita služeb </w:t>
            </w:r>
            <w:proofErr w:type="spellStart"/>
            <w:r w:rsidRPr="001F7B7C">
              <w:rPr>
                <w:color w:val="000000"/>
                <w:sz w:val="18"/>
                <w:szCs w:val="18"/>
              </w:rPr>
              <w:t>Centrom</w:t>
            </w:r>
            <w:proofErr w:type="spellEnd"/>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vAlign w:val="center"/>
          </w:tcPr>
          <w:p w:rsidR="00E700FA" w:rsidRPr="001F7B7C" w:rsidRDefault="00E700FA" w:rsidP="004F4455">
            <w:pPr>
              <w:rPr>
                <w:color w:val="000000"/>
                <w:sz w:val="18"/>
                <w:szCs w:val="18"/>
              </w:rPr>
            </w:pPr>
            <w:r w:rsidRPr="001F7B7C">
              <w:rPr>
                <w:color w:val="000000"/>
                <w:sz w:val="18"/>
                <w:szCs w:val="18"/>
              </w:rPr>
              <w:t>CZ.1.04/3.2.01/19.00229</w:t>
            </w:r>
          </w:p>
        </w:tc>
        <w:tc>
          <w:tcPr>
            <w:tcW w:w="1653" w:type="dxa"/>
            <w:vAlign w:val="center"/>
          </w:tcPr>
          <w:p w:rsidR="00E700FA" w:rsidRPr="001F7B7C" w:rsidRDefault="00E700FA" w:rsidP="004F4455">
            <w:pPr>
              <w:rPr>
                <w:color w:val="000000"/>
                <w:sz w:val="18"/>
                <w:szCs w:val="18"/>
              </w:rPr>
            </w:pPr>
            <w:r w:rsidRPr="001F7B7C">
              <w:rPr>
                <w:color w:val="000000"/>
                <w:sz w:val="18"/>
                <w:szCs w:val="18"/>
              </w:rPr>
              <w:t>Kvalifikační kurz PSS VL</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20</w:t>
            </w:r>
          </w:p>
        </w:tc>
        <w:tc>
          <w:tcPr>
            <w:tcW w:w="1337" w:type="dxa"/>
            <w:gridSpan w:val="2"/>
            <w:vAlign w:val="center"/>
          </w:tcPr>
          <w:p w:rsidR="00E700FA" w:rsidRPr="001F7B7C" w:rsidRDefault="00E700FA" w:rsidP="004F4455">
            <w:pPr>
              <w:jc w:val="right"/>
              <w:rPr>
                <w:color w:val="000000"/>
                <w:sz w:val="18"/>
                <w:szCs w:val="18"/>
              </w:rPr>
            </w:pPr>
            <w:r w:rsidRPr="001F7B7C">
              <w:rPr>
                <w:sz w:val="18"/>
                <w:szCs w:val="18"/>
              </w:rPr>
              <w:t>CZ.1.06/3.1.02/01.0</w:t>
            </w:r>
            <w:r w:rsidRPr="001F7B7C">
              <w:rPr>
                <w:color w:val="000000"/>
                <w:sz w:val="18"/>
                <w:szCs w:val="18"/>
              </w:rPr>
              <w:t>7307</w:t>
            </w:r>
          </w:p>
        </w:tc>
        <w:tc>
          <w:tcPr>
            <w:tcW w:w="1418" w:type="dxa"/>
            <w:gridSpan w:val="2"/>
            <w:vAlign w:val="center"/>
          </w:tcPr>
          <w:p w:rsidR="00E700FA" w:rsidRPr="001F7B7C" w:rsidRDefault="00E700FA" w:rsidP="004F4455">
            <w:pPr>
              <w:rPr>
                <w:color w:val="000000"/>
                <w:sz w:val="18"/>
                <w:szCs w:val="18"/>
              </w:rPr>
            </w:pPr>
            <w:r w:rsidRPr="001F7B7C">
              <w:rPr>
                <w:color w:val="000000"/>
                <w:sz w:val="18"/>
                <w:szCs w:val="18"/>
              </w:rPr>
              <w:t>Výstavba nízkoprahového a poradenského centra v Ostravě - Kunčičkách</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vAlign w:val="center"/>
          </w:tcPr>
          <w:p w:rsidR="00E700FA" w:rsidRPr="001F7B7C" w:rsidRDefault="00E700FA" w:rsidP="004F4455">
            <w:pPr>
              <w:rPr>
                <w:color w:val="000000"/>
                <w:sz w:val="18"/>
                <w:szCs w:val="18"/>
              </w:rPr>
            </w:pPr>
            <w:r w:rsidRPr="001F7B7C">
              <w:rPr>
                <w:color w:val="000000"/>
                <w:sz w:val="18"/>
                <w:szCs w:val="18"/>
              </w:rPr>
              <w:t>CZ.1.04/3.2.00/55.00004</w:t>
            </w:r>
          </w:p>
          <w:p w:rsidR="00E700FA" w:rsidRPr="001F7B7C" w:rsidRDefault="00E700FA" w:rsidP="004F4455">
            <w:pPr>
              <w:rPr>
                <w:color w:val="000000"/>
                <w:sz w:val="18"/>
                <w:szCs w:val="18"/>
              </w:rPr>
            </w:pPr>
          </w:p>
        </w:tc>
        <w:tc>
          <w:tcPr>
            <w:tcW w:w="1653" w:type="dxa"/>
            <w:vAlign w:val="center"/>
          </w:tcPr>
          <w:p w:rsidR="00E700FA" w:rsidRPr="001F7B7C" w:rsidRDefault="00E700FA" w:rsidP="004F4455">
            <w:pPr>
              <w:rPr>
                <w:color w:val="000000"/>
                <w:sz w:val="18"/>
                <w:szCs w:val="18"/>
              </w:rPr>
            </w:pPr>
            <w:r w:rsidRPr="001F7B7C">
              <w:rPr>
                <w:color w:val="000000"/>
                <w:sz w:val="18"/>
                <w:szCs w:val="18"/>
              </w:rPr>
              <w:t xml:space="preserve">Provoz nízkoprahového </w:t>
            </w:r>
            <w:r w:rsidR="00501452">
              <w:rPr>
                <w:color w:val="000000"/>
                <w:sz w:val="18"/>
                <w:szCs w:val="18"/>
              </w:rPr>
              <w:br/>
            </w:r>
            <w:r w:rsidRPr="001F7B7C">
              <w:rPr>
                <w:color w:val="000000"/>
                <w:sz w:val="18"/>
                <w:szCs w:val="18"/>
              </w:rPr>
              <w:t>a poradenského centra v Ostravě - Kunčičkách</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21</w:t>
            </w:r>
          </w:p>
        </w:tc>
        <w:tc>
          <w:tcPr>
            <w:tcW w:w="1337" w:type="dxa"/>
            <w:gridSpan w:val="2"/>
            <w:vAlign w:val="center"/>
          </w:tcPr>
          <w:p w:rsidR="00E700FA" w:rsidRPr="001F7B7C" w:rsidRDefault="00E700FA" w:rsidP="004F4455">
            <w:pPr>
              <w:jc w:val="right"/>
              <w:rPr>
                <w:color w:val="000000"/>
                <w:sz w:val="18"/>
                <w:szCs w:val="18"/>
              </w:rPr>
            </w:pPr>
            <w:r w:rsidRPr="001F7B7C">
              <w:rPr>
                <w:sz w:val="18"/>
                <w:szCs w:val="18"/>
              </w:rPr>
              <w:t>CZ.1.06/3.1.02/01.0</w:t>
            </w:r>
            <w:r w:rsidRPr="001F7B7C">
              <w:rPr>
                <w:color w:val="000000"/>
                <w:sz w:val="18"/>
                <w:szCs w:val="18"/>
              </w:rPr>
              <w:t>7288</w:t>
            </w:r>
          </w:p>
        </w:tc>
        <w:tc>
          <w:tcPr>
            <w:tcW w:w="1418" w:type="dxa"/>
            <w:gridSpan w:val="2"/>
            <w:vAlign w:val="center"/>
          </w:tcPr>
          <w:p w:rsidR="00E700FA" w:rsidRPr="001F7B7C" w:rsidRDefault="00E700FA" w:rsidP="004F4455">
            <w:pPr>
              <w:rPr>
                <w:color w:val="000000"/>
                <w:sz w:val="18"/>
                <w:szCs w:val="18"/>
              </w:rPr>
            </w:pPr>
            <w:r w:rsidRPr="001F7B7C">
              <w:rPr>
                <w:color w:val="000000"/>
                <w:sz w:val="18"/>
                <w:szCs w:val="18"/>
              </w:rPr>
              <w:t>Rozvoj sociálních služeb pro město Broumov - vybavení prostor pro sociální služby</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vAlign w:val="center"/>
          </w:tcPr>
          <w:p w:rsidR="00E700FA" w:rsidRPr="001F7B7C" w:rsidRDefault="00E700FA" w:rsidP="004F4455">
            <w:pPr>
              <w:rPr>
                <w:color w:val="000000"/>
                <w:sz w:val="18"/>
                <w:szCs w:val="18"/>
              </w:rPr>
            </w:pPr>
            <w:r w:rsidRPr="001F7B7C">
              <w:rPr>
                <w:color w:val="000000"/>
                <w:sz w:val="18"/>
                <w:szCs w:val="18"/>
              </w:rPr>
              <w:t>CZ.1.04/3.2.00/55.00007</w:t>
            </w:r>
          </w:p>
          <w:p w:rsidR="00E700FA" w:rsidRPr="001F7B7C" w:rsidRDefault="00E700FA" w:rsidP="004F4455">
            <w:pPr>
              <w:rPr>
                <w:color w:val="000000"/>
                <w:sz w:val="18"/>
                <w:szCs w:val="18"/>
              </w:rPr>
            </w:pPr>
          </w:p>
        </w:tc>
        <w:tc>
          <w:tcPr>
            <w:tcW w:w="1653" w:type="dxa"/>
            <w:vAlign w:val="center"/>
          </w:tcPr>
          <w:p w:rsidR="00E700FA" w:rsidRPr="001F7B7C" w:rsidRDefault="00E700FA" w:rsidP="004F4455">
            <w:pPr>
              <w:rPr>
                <w:color w:val="000000"/>
                <w:sz w:val="18"/>
                <w:szCs w:val="18"/>
              </w:rPr>
            </w:pPr>
            <w:r w:rsidRPr="001F7B7C">
              <w:rPr>
                <w:color w:val="000000"/>
                <w:sz w:val="18"/>
                <w:szCs w:val="18"/>
              </w:rPr>
              <w:t>Rozvoj sociálních služeb pro město Broumov</w:t>
            </w:r>
          </w:p>
        </w:tc>
      </w:tr>
      <w:tr w:rsidR="00E700FA" w:rsidRPr="00F40F28" w:rsidTr="00B70C44">
        <w:trPr>
          <w:trHeight w:val="78"/>
        </w:trPr>
        <w:tc>
          <w:tcPr>
            <w:tcW w:w="567" w:type="dxa"/>
          </w:tcPr>
          <w:p w:rsidR="00E700FA" w:rsidRPr="001F7B7C" w:rsidRDefault="00E700FA" w:rsidP="004F4455">
            <w:pPr>
              <w:rPr>
                <w:sz w:val="18"/>
                <w:szCs w:val="18"/>
              </w:rPr>
            </w:pPr>
            <w:r w:rsidRPr="001F7B7C">
              <w:rPr>
                <w:sz w:val="18"/>
                <w:szCs w:val="18"/>
              </w:rPr>
              <w:t>22</w:t>
            </w:r>
          </w:p>
        </w:tc>
        <w:tc>
          <w:tcPr>
            <w:tcW w:w="1337" w:type="dxa"/>
            <w:gridSpan w:val="2"/>
            <w:vAlign w:val="center"/>
          </w:tcPr>
          <w:p w:rsidR="00E700FA" w:rsidRPr="001F7B7C" w:rsidRDefault="00E700FA" w:rsidP="004F4455">
            <w:pPr>
              <w:jc w:val="right"/>
              <w:rPr>
                <w:color w:val="000000"/>
                <w:sz w:val="18"/>
                <w:szCs w:val="18"/>
              </w:rPr>
            </w:pPr>
            <w:r w:rsidRPr="001F7B7C">
              <w:rPr>
                <w:sz w:val="18"/>
                <w:szCs w:val="18"/>
              </w:rPr>
              <w:t>CZ.1.06/3.1.02/01.0</w:t>
            </w:r>
            <w:r w:rsidRPr="001F7B7C">
              <w:rPr>
                <w:color w:val="000000"/>
                <w:sz w:val="18"/>
                <w:szCs w:val="18"/>
              </w:rPr>
              <w:t>7303</w:t>
            </w:r>
          </w:p>
        </w:tc>
        <w:tc>
          <w:tcPr>
            <w:tcW w:w="1418" w:type="dxa"/>
            <w:gridSpan w:val="2"/>
            <w:vAlign w:val="center"/>
          </w:tcPr>
          <w:p w:rsidR="00E700FA" w:rsidRPr="001F7B7C" w:rsidRDefault="00E700FA" w:rsidP="004F4455">
            <w:pPr>
              <w:rPr>
                <w:color w:val="000000"/>
                <w:sz w:val="18"/>
                <w:szCs w:val="18"/>
              </w:rPr>
            </w:pPr>
            <w:r w:rsidRPr="001F7B7C">
              <w:rPr>
                <w:color w:val="000000"/>
                <w:sz w:val="18"/>
                <w:szCs w:val="18"/>
              </w:rPr>
              <w:t>Poradenské centrum KHAMORO</w:t>
            </w:r>
          </w:p>
        </w:tc>
        <w:tc>
          <w:tcPr>
            <w:tcW w:w="972" w:type="dxa"/>
          </w:tcPr>
          <w:p w:rsidR="00E700FA" w:rsidRPr="001F7B7C" w:rsidRDefault="00E700FA" w:rsidP="004F4455">
            <w:pPr>
              <w:rPr>
                <w:sz w:val="18"/>
                <w:szCs w:val="18"/>
              </w:rPr>
            </w:pPr>
          </w:p>
        </w:tc>
        <w:tc>
          <w:tcPr>
            <w:tcW w:w="809" w:type="dxa"/>
          </w:tcPr>
          <w:p w:rsidR="00E700FA" w:rsidRPr="001F7B7C" w:rsidRDefault="00E700FA" w:rsidP="004F4455">
            <w:pPr>
              <w:rPr>
                <w:sz w:val="18"/>
                <w:szCs w:val="18"/>
              </w:rPr>
            </w:pPr>
          </w:p>
        </w:tc>
        <w:tc>
          <w:tcPr>
            <w:tcW w:w="2444" w:type="dxa"/>
            <w:vAlign w:val="center"/>
          </w:tcPr>
          <w:p w:rsidR="00E700FA" w:rsidRPr="001F7B7C" w:rsidRDefault="00E700FA" w:rsidP="004F4455">
            <w:pPr>
              <w:rPr>
                <w:color w:val="000000"/>
                <w:sz w:val="18"/>
                <w:szCs w:val="18"/>
              </w:rPr>
            </w:pPr>
            <w:r w:rsidRPr="001F7B7C">
              <w:rPr>
                <w:color w:val="000000"/>
                <w:sz w:val="18"/>
                <w:szCs w:val="18"/>
              </w:rPr>
              <w:t>CZ.1.04/3.2.00/55.00010</w:t>
            </w:r>
          </w:p>
          <w:p w:rsidR="00E700FA" w:rsidRPr="001F7B7C" w:rsidRDefault="00E700FA" w:rsidP="004F4455">
            <w:pPr>
              <w:rPr>
                <w:color w:val="000000"/>
                <w:sz w:val="18"/>
                <w:szCs w:val="18"/>
              </w:rPr>
            </w:pPr>
          </w:p>
        </w:tc>
        <w:tc>
          <w:tcPr>
            <w:tcW w:w="1653" w:type="dxa"/>
            <w:vAlign w:val="center"/>
          </w:tcPr>
          <w:p w:rsidR="00E700FA" w:rsidRPr="001F7B7C" w:rsidRDefault="00E700FA" w:rsidP="004F4455">
            <w:pPr>
              <w:rPr>
                <w:color w:val="000000"/>
                <w:sz w:val="18"/>
                <w:szCs w:val="18"/>
              </w:rPr>
            </w:pPr>
            <w:r w:rsidRPr="001F7B7C">
              <w:rPr>
                <w:color w:val="000000"/>
                <w:sz w:val="18"/>
                <w:szCs w:val="18"/>
              </w:rPr>
              <w:t>Služby poradenského centra KHAMORO</w:t>
            </w:r>
          </w:p>
        </w:tc>
      </w:tr>
      <w:tr w:rsidR="00E700FA" w:rsidRPr="00F40F28" w:rsidTr="00501452">
        <w:trPr>
          <w:trHeight w:val="78"/>
        </w:trPr>
        <w:tc>
          <w:tcPr>
            <w:tcW w:w="567" w:type="dxa"/>
            <w:vAlign w:val="center"/>
          </w:tcPr>
          <w:p w:rsidR="00E700FA" w:rsidRPr="00501452" w:rsidRDefault="00E700FA" w:rsidP="00501452">
            <w:pPr>
              <w:rPr>
                <w:sz w:val="18"/>
                <w:szCs w:val="18"/>
              </w:rPr>
            </w:pPr>
            <w:r w:rsidRPr="00501452">
              <w:rPr>
                <w:sz w:val="18"/>
                <w:szCs w:val="18"/>
              </w:rPr>
              <w:t>23</w:t>
            </w:r>
          </w:p>
        </w:tc>
        <w:tc>
          <w:tcPr>
            <w:tcW w:w="1337" w:type="dxa"/>
            <w:gridSpan w:val="2"/>
            <w:vAlign w:val="center"/>
          </w:tcPr>
          <w:p w:rsidR="00E700FA" w:rsidRPr="00501452" w:rsidRDefault="00E700FA" w:rsidP="004F4455">
            <w:pPr>
              <w:jc w:val="right"/>
              <w:rPr>
                <w:sz w:val="18"/>
                <w:szCs w:val="18"/>
              </w:rPr>
            </w:pPr>
            <w:r w:rsidRPr="00501452">
              <w:rPr>
                <w:sz w:val="18"/>
                <w:szCs w:val="18"/>
              </w:rPr>
              <w:t>CZ.1.06/3.1.02/01.07577</w:t>
            </w:r>
          </w:p>
        </w:tc>
        <w:tc>
          <w:tcPr>
            <w:tcW w:w="1418" w:type="dxa"/>
            <w:gridSpan w:val="2"/>
            <w:vAlign w:val="center"/>
          </w:tcPr>
          <w:p w:rsidR="00E700FA" w:rsidRPr="00501452" w:rsidRDefault="00E700FA" w:rsidP="004F4455">
            <w:pPr>
              <w:rPr>
                <w:sz w:val="18"/>
                <w:szCs w:val="18"/>
              </w:rPr>
            </w:pPr>
            <w:r w:rsidRPr="00501452">
              <w:rPr>
                <w:sz w:val="18"/>
                <w:szCs w:val="18"/>
              </w:rPr>
              <w:t>Nízkoprahové zařízení pro děti a mládež ve věku od 15 do 26 let</w:t>
            </w:r>
          </w:p>
          <w:p w:rsidR="00E700FA" w:rsidRPr="00501452" w:rsidRDefault="00E700FA" w:rsidP="004F4455">
            <w:pPr>
              <w:rPr>
                <w:sz w:val="18"/>
                <w:szCs w:val="18"/>
              </w:rPr>
            </w:pP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CZ.1.04/3.2.00/55.00005</w:t>
            </w:r>
          </w:p>
          <w:p w:rsidR="00E700FA" w:rsidRPr="00501452" w:rsidRDefault="00E700FA" w:rsidP="004F4455">
            <w:pPr>
              <w:rPr>
                <w:sz w:val="18"/>
                <w:szCs w:val="18"/>
              </w:rPr>
            </w:pPr>
          </w:p>
        </w:tc>
        <w:tc>
          <w:tcPr>
            <w:tcW w:w="1653" w:type="dxa"/>
            <w:vAlign w:val="center"/>
          </w:tcPr>
          <w:p w:rsidR="00E700FA" w:rsidRPr="00501452" w:rsidRDefault="00E700FA" w:rsidP="004F4455">
            <w:pPr>
              <w:rPr>
                <w:sz w:val="18"/>
                <w:szCs w:val="18"/>
              </w:rPr>
            </w:pPr>
            <w:r w:rsidRPr="00501452">
              <w:rPr>
                <w:sz w:val="18"/>
                <w:szCs w:val="18"/>
              </w:rPr>
              <w:t xml:space="preserve">Komplexní program integrace sociálně vyloučených </w:t>
            </w:r>
            <w:r w:rsidR="00501452">
              <w:rPr>
                <w:sz w:val="18"/>
                <w:szCs w:val="18"/>
              </w:rPr>
              <w:br/>
            </w:r>
            <w:r w:rsidRPr="00501452">
              <w:rPr>
                <w:sz w:val="18"/>
                <w:szCs w:val="18"/>
              </w:rPr>
              <w:t>a sociálním vyloučením ohrožených obyvatel města Mostu do společnosti</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lastRenderedPageBreak/>
              <w:t>24</w:t>
            </w:r>
          </w:p>
        </w:tc>
        <w:tc>
          <w:tcPr>
            <w:tcW w:w="1276" w:type="dxa"/>
            <w:vAlign w:val="center"/>
          </w:tcPr>
          <w:p w:rsidR="00E700FA" w:rsidRPr="00501452" w:rsidRDefault="00E700FA" w:rsidP="004F4455">
            <w:pPr>
              <w:jc w:val="right"/>
              <w:rPr>
                <w:sz w:val="18"/>
                <w:szCs w:val="18"/>
              </w:rPr>
            </w:pPr>
            <w:r w:rsidRPr="00501452">
              <w:rPr>
                <w:sz w:val="18"/>
                <w:szCs w:val="18"/>
              </w:rPr>
              <w:t>CZ.1.06/3.1.02/08.07973</w:t>
            </w:r>
          </w:p>
        </w:tc>
        <w:tc>
          <w:tcPr>
            <w:tcW w:w="1479" w:type="dxa"/>
            <w:gridSpan w:val="3"/>
            <w:vAlign w:val="center"/>
          </w:tcPr>
          <w:p w:rsidR="00E700FA" w:rsidRPr="00501452" w:rsidRDefault="00E700FA" w:rsidP="004F4455">
            <w:pPr>
              <w:rPr>
                <w:sz w:val="18"/>
                <w:szCs w:val="18"/>
              </w:rPr>
            </w:pPr>
            <w:proofErr w:type="spellStart"/>
            <w:r w:rsidRPr="00501452">
              <w:rPr>
                <w:sz w:val="18"/>
                <w:szCs w:val="18"/>
              </w:rPr>
              <w:t>Minitechnické</w:t>
            </w:r>
            <w:proofErr w:type="spellEnd"/>
            <w:r w:rsidRPr="00501452">
              <w:rPr>
                <w:sz w:val="18"/>
                <w:szCs w:val="18"/>
              </w:rPr>
              <w:t xml:space="preserve"> služby</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CZ.1.04/3.1.06/30.00220</w:t>
            </w:r>
          </w:p>
        </w:tc>
        <w:tc>
          <w:tcPr>
            <w:tcW w:w="1653" w:type="dxa"/>
            <w:vAlign w:val="center"/>
          </w:tcPr>
          <w:p w:rsidR="00E700FA" w:rsidRPr="00501452" w:rsidRDefault="00E700FA" w:rsidP="004F4455">
            <w:pPr>
              <w:rPr>
                <w:sz w:val="18"/>
                <w:szCs w:val="18"/>
              </w:rPr>
            </w:pPr>
            <w:r w:rsidRPr="00501452">
              <w:rPr>
                <w:sz w:val="18"/>
                <w:szCs w:val="18"/>
              </w:rPr>
              <w:t>Mini technické služby</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25</w:t>
            </w:r>
          </w:p>
        </w:tc>
        <w:tc>
          <w:tcPr>
            <w:tcW w:w="1276" w:type="dxa"/>
            <w:vAlign w:val="center"/>
          </w:tcPr>
          <w:p w:rsidR="00E700FA" w:rsidRPr="00501452" w:rsidRDefault="00E700FA" w:rsidP="004F4455">
            <w:pPr>
              <w:jc w:val="right"/>
              <w:rPr>
                <w:sz w:val="18"/>
                <w:szCs w:val="18"/>
              </w:rPr>
            </w:pPr>
            <w:r w:rsidRPr="00501452">
              <w:rPr>
                <w:sz w:val="18"/>
                <w:szCs w:val="18"/>
              </w:rPr>
              <w:t>CZ.1.06/3.1.02/08.08002</w:t>
            </w:r>
          </w:p>
        </w:tc>
        <w:tc>
          <w:tcPr>
            <w:tcW w:w="1479" w:type="dxa"/>
            <w:gridSpan w:val="3"/>
            <w:vAlign w:val="center"/>
          </w:tcPr>
          <w:p w:rsidR="00E700FA" w:rsidRPr="00501452" w:rsidRDefault="00E700FA" w:rsidP="004F4455">
            <w:pPr>
              <w:rPr>
                <w:sz w:val="18"/>
                <w:szCs w:val="18"/>
              </w:rPr>
            </w:pPr>
            <w:r w:rsidRPr="00501452">
              <w:rPr>
                <w:sz w:val="18"/>
                <w:szCs w:val="18"/>
              </w:rPr>
              <w:t>Těžba a zpracování kamene v obci Stará Červená Voda</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CZ.1.04/3.1.06/30.00232</w:t>
            </w:r>
          </w:p>
        </w:tc>
        <w:tc>
          <w:tcPr>
            <w:tcW w:w="1653" w:type="dxa"/>
            <w:vAlign w:val="center"/>
          </w:tcPr>
          <w:p w:rsidR="00E700FA" w:rsidRPr="00501452" w:rsidRDefault="00E700FA" w:rsidP="004F4455">
            <w:pPr>
              <w:rPr>
                <w:sz w:val="18"/>
                <w:szCs w:val="18"/>
              </w:rPr>
            </w:pPr>
            <w:r w:rsidRPr="00501452">
              <w:rPr>
                <w:sz w:val="18"/>
                <w:szCs w:val="18"/>
              </w:rPr>
              <w:t>Těžba a zpracování kamene ve Staré Červené Vodě</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26</w:t>
            </w:r>
          </w:p>
        </w:tc>
        <w:tc>
          <w:tcPr>
            <w:tcW w:w="1276" w:type="dxa"/>
            <w:vAlign w:val="center"/>
          </w:tcPr>
          <w:p w:rsidR="00E700FA" w:rsidRPr="00501452" w:rsidRDefault="00E700FA" w:rsidP="004F4455">
            <w:pPr>
              <w:jc w:val="right"/>
              <w:rPr>
                <w:sz w:val="18"/>
                <w:szCs w:val="18"/>
              </w:rPr>
            </w:pPr>
            <w:r w:rsidRPr="00501452">
              <w:rPr>
                <w:sz w:val="18"/>
                <w:szCs w:val="18"/>
              </w:rPr>
              <w:t>CZ.1.06/3.1.02./08.8035</w:t>
            </w:r>
          </w:p>
        </w:tc>
        <w:tc>
          <w:tcPr>
            <w:tcW w:w="1479" w:type="dxa"/>
            <w:gridSpan w:val="3"/>
            <w:vAlign w:val="center"/>
          </w:tcPr>
          <w:p w:rsidR="00E700FA" w:rsidRPr="00501452" w:rsidRDefault="00E700FA" w:rsidP="004F4455">
            <w:pPr>
              <w:rPr>
                <w:sz w:val="18"/>
                <w:szCs w:val="18"/>
              </w:rPr>
            </w:pPr>
            <w:r w:rsidRPr="00501452">
              <w:rPr>
                <w:sz w:val="18"/>
                <w:szCs w:val="18"/>
              </w:rPr>
              <w:t>S citem pro věc</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CZ.1.04/3.1.06/30.00242</w:t>
            </w:r>
          </w:p>
        </w:tc>
        <w:tc>
          <w:tcPr>
            <w:tcW w:w="1653" w:type="dxa"/>
            <w:vAlign w:val="center"/>
          </w:tcPr>
          <w:p w:rsidR="00E700FA" w:rsidRPr="00501452" w:rsidRDefault="00E700FA" w:rsidP="004F4455">
            <w:pPr>
              <w:rPr>
                <w:sz w:val="18"/>
                <w:szCs w:val="18"/>
              </w:rPr>
            </w:pPr>
            <w:r w:rsidRPr="00501452">
              <w:rPr>
                <w:sz w:val="18"/>
                <w:szCs w:val="18"/>
              </w:rPr>
              <w:t>S citem pro věc</w:t>
            </w:r>
          </w:p>
        </w:tc>
      </w:tr>
      <w:tr w:rsidR="00E700FA" w:rsidRPr="004F5E98" w:rsidTr="00501452">
        <w:trPr>
          <w:trHeight w:val="78"/>
        </w:trPr>
        <w:tc>
          <w:tcPr>
            <w:tcW w:w="567" w:type="dxa"/>
          </w:tcPr>
          <w:p w:rsidR="00E700FA" w:rsidRPr="00501452" w:rsidRDefault="00E700FA" w:rsidP="004F4455">
            <w:pPr>
              <w:rPr>
                <w:sz w:val="18"/>
                <w:szCs w:val="18"/>
              </w:rPr>
            </w:pPr>
            <w:r w:rsidRPr="00501452">
              <w:rPr>
                <w:sz w:val="18"/>
                <w:szCs w:val="18"/>
              </w:rPr>
              <w:t>27</w:t>
            </w:r>
          </w:p>
        </w:tc>
        <w:tc>
          <w:tcPr>
            <w:tcW w:w="1276" w:type="dxa"/>
            <w:vAlign w:val="center"/>
          </w:tcPr>
          <w:p w:rsidR="00E700FA" w:rsidRPr="00501452" w:rsidRDefault="00E700FA" w:rsidP="004F4455">
            <w:pPr>
              <w:jc w:val="right"/>
              <w:rPr>
                <w:sz w:val="18"/>
                <w:szCs w:val="18"/>
              </w:rPr>
            </w:pPr>
            <w:r w:rsidRPr="00501452">
              <w:rPr>
                <w:sz w:val="18"/>
                <w:szCs w:val="18"/>
              </w:rPr>
              <w:t>CZ.1.06/3.1.02/08.08119</w:t>
            </w:r>
          </w:p>
        </w:tc>
        <w:tc>
          <w:tcPr>
            <w:tcW w:w="1479" w:type="dxa"/>
            <w:gridSpan w:val="3"/>
            <w:vAlign w:val="center"/>
          </w:tcPr>
          <w:p w:rsidR="00E700FA" w:rsidRPr="00501452" w:rsidRDefault="00E700FA" w:rsidP="004F4455">
            <w:pPr>
              <w:rPr>
                <w:sz w:val="18"/>
                <w:szCs w:val="18"/>
              </w:rPr>
            </w:pPr>
            <w:proofErr w:type="spellStart"/>
            <w:r w:rsidRPr="00501452">
              <w:rPr>
                <w:sz w:val="18"/>
                <w:szCs w:val="18"/>
              </w:rPr>
              <w:t>Welness</w:t>
            </w:r>
            <w:proofErr w:type="spellEnd"/>
            <w:r w:rsidRPr="00501452">
              <w:rPr>
                <w:sz w:val="18"/>
                <w:szCs w:val="18"/>
              </w:rPr>
              <w:t xml:space="preserve"> centrum ve Svitavách</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CZ.1.04/3.1.06/30.00276</w:t>
            </w:r>
          </w:p>
        </w:tc>
        <w:tc>
          <w:tcPr>
            <w:tcW w:w="1653" w:type="dxa"/>
            <w:vAlign w:val="center"/>
          </w:tcPr>
          <w:p w:rsidR="00E700FA" w:rsidRPr="00501452" w:rsidRDefault="00E700FA" w:rsidP="004F4455">
            <w:pPr>
              <w:rPr>
                <w:sz w:val="18"/>
                <w:szCs w:val="18"/>
              </w:rPr>
            </w:pPr>
            <w:proofErr w:type="spellStart"/>
            <w:r w:rsidRPr="00501452">
              <w:rPr>
                <w:sz w:val="18"/>
                <w:szCs w:val="18"/>
              </w:rPr>
              <w:t>Welness</w:t>
            </w:r>
            <w:proofErr w:type="spellEnd"/>
            <w:r w:rsidRPr="00501452">
              <w:rPr>
                <w:sz w:val="18"/>
                <w:szCs w:val="18"/>
              </w:rPr>
              <w:t xml:space="preserve"> centrum ve Svitavách</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28</w:t>
            </w:r>
          </w:p>
        </w:tc>
        <w:tc>
          <w:tcPr>
            <w:tcW w:w="1276" w:type="dxa"/>
            <w:vAlign w:val="center"/>
          </w:tcPr>
          <w:p w:rsidR="00E700FA" w:rsidRPr="00501452" w:rsidRDefault="00E700FA" w:rsidP="004F4455">
            <w:pPr>
              <w:jc w:val="right"/>
              <w:rPr>
                <w:sz w:val="18"/>
                <w:szCs w:val="18"/>
              </w:rPr>
            </w:pPr>
            <w:r w:rsidRPr="00501452">
              <w:rPr>
                <w:sz w:val="18"/>
                <w:szCs w:val="18"/>
              </w:rPr>
              <w:t>CZ.1.06/3.1.02/08.08141</w:t>
            </w:r>
          </w:p>
        </w:tc>
        <w:tc>
          <w:tcPr>
            <w:tcW w:w="1479" w:type="dxa"/>
            <w:gridSpan w:val="3"/>
            <w:vAlign w:val="center"/>
          </w:tcPr>
          <w:p w:rsidR="00E700FA" w:rsidRPr="00501452" w:rsidRDefault="00E700FA" w:rsidP="004F4455">
            <w:pPr>
              <w:rPr>
                <w:sz w:val="18"/>
                <w:szCs w:val="18"/>
              </w:rPr>
            </w:pPr>
            <w:r w:rsidRPr="00501452">
              <w:rPr>
                <w:sz w:val="18"/>
                <w:szCs w:val="18"/>
              </w:rPr>
              <w:t>Kořeny jsou základ II.</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CZ.1.04/3.1.06/30.00290</w:t>
            </w:r>
          </w:p>
        </w:tc>
        <w:tc>
          <w:tcPr>
            <w:tcW w:w="1653" w:type="dxa"/>
            <w:vAlign w:val="center"/>
          </w:tcPr>
          <w:p w:rsidR="00E700FA" w:rsidRPr="00501452" w:rsidRDefault="00E700FA" w:rsidP="004F4455">
            <w:pPr>
              <w:rPr>
                <w:sz w:val="18"/>
                <w:szCs w:val="18"/>
              </w:rPr>
            </w:pPr>
            <w:r w:rsidRPr="00501452">
              <w:rPr>
                <w:sz w:val="18"/>
                <w:szCs w:val="18"/>
              </w:rPr>
              <w:t>Kořeny jsou základ II.</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29</w:t>
            </w:r>
          </w:p>
        </w:tc>
        <w:tc>
          <w:tcPr>
            <w:tcW w:w="1276" w:type="dxa"/>
            <w:vAlign w:val="center"/>
          </w:tcPr>
          <w:p w:rsidR="00E700FA" w:rsidRPr="00501452" w:rsidRDefault="00E700FA" w:rsidP="004F4455">
            <w:pPr>
              <w:jc w:val="right"/>
              <w:rPr>
                <w:sz w:val="18"/>
                <w:szCs w:val="18"/>
              </w:rPr>
            </w:pPr>
            <w:r w:rsidRPr="00501452">
              <w:rPr>
                <w:sz w:val="18"/>
                <w:szCs w:val="18"/>
              </w:rPr>
              <w:t>CZ.1.06/3.1.02/08.08134</w:t>
            </w:r>
          </w:p>
        </w:tc>
        <w:tc>
          <w:tcPr>
            <w:tcW w:w="1479" w:type="dxa"/>
            <w:gridSpan w:val="3"/>
            <w:vAlign w:val="center"/>
          </w:tcPr>
          <w:p w:rsidR="00E700FA" w:rsidRPr="00501452" w:rsidRDefault="00E700FA" w:rsidP="004F4455">
            <w:pPr>
              <w:rPr>
                <w:sz w:val="18"/>
                <w:szCs w:val="18"/>
              </w:rPr>
            </w:pPr>
            <w:r w:rsidRPr="00501452">
              <w:rPr>
                <w:sz w:val="18"/>
                <w:szCs w:val="18"/>
              </w:rPr>
              <w:t>Sociální podnik – Účetní firma</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CZ.1.04/3.1.06/30.00293</w:t>
            </w:r>
          </w:p>
        </w:tc>
        <w:tc>
          <w:tcPr>
            <w:tcW w:w="1653" w:type="dxa"/>
            <w:vAlign w:val="center"/>
          </w:tcPr>
          <w:p w:rsidR="00E700FA" w:rsidRPr="00501452" w:rsidRDefault="00E700FA" w:rsidP="004F4455">
            <w:pPr>
              <w:rPr>
                <w:sz w:val="18"/>
                <w:szCs w:val="18"/>
              </w:rPr>
            </w:pPr>
            <w:r w:rsidRPr="00501452">
              <w:rPr>
                <w:sz w:val="18"/>
                <w:szCs w:val="18"/>
              </w:rPr>
              <w:t>Sociální podnik - Účetní firma</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30</w:t>
            </w:r>
          </w:p>
        </w:tc>
        <w:tc>
          <w:tcPr>
            <w:tcW w:w="1276" w:type="dxa"/>
            <w:vAlign w:val="center"/>
          </w:tcPr>
          <w:p w:rsidR="00E700FA" w:rsidRPr="00501452" w:rsidRDefault="00E700FA" w:rsidP="004F4455">
            <w:pPr>
              <w:jc w:val="right"/>
              <w:rPr>
                <w:sz w:val="18"/>
                <w:szCs w:val="18"/>
              </w:rPr>
            </w:pPr>
            <w:r w:rsidRPr="00501452">
              <w:rPr>
                <w:sz w:val="18"/>
                <w:szCs w:val="18"/>
              </w:rPr>
              <w:t>CZ.1.06/3.1.02/08.08125</w:t>
            </w:r>
          </w:p>
        </w:tc>
        <w:tc>
          <w:tcPr>
            <w:tcW w:w="1479" w:type="dxa"/>
            <w:gridSpan w:val="3"/>
            <w:vAlign w:val="center"/>
          </w:tcPr>
          <w:p w:rsidR="00E700FA" w:rsidRPr="00501452" w:rsidRDefault="00E700FA" w:rsidP="004F4455">
            <w:pPr>
              <w:rPr>
                <w:sz w:val="18"/>
                <w:szCs w:val="18"/>
              </w:rPr>
            </w:pPr>
            <w:r w:rsidRPr="00501452">
              <w:rPr>
                <w:sz w:val="18"/>
                <w:szCs w:val="18"/>
              </w:rPr>
              <w:t>Sociální podnik BENECKL investiční část</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CZ.1.04/3.1.06/30.00275</w:t>
            </w:r>
          </w:p>
        </w:tc>
        <w:tc>
          <w:tcPr>
            <w:tcW w:w="1653" w:type="dxa"/>
            <w:vAlign w:val="center"/>
          </w:tcPr>
          <w:p w:rsidR="00E700FA" w:rsidRPr="00501452" w:rsidRDefault="00E700FA" w:rsidP="004F4455">
            <w:pPr>
              <w:rPr>
                <w:sz w:val="18"/>
                <w:szCs w:val="18"/>
              </w:rPr>
            </w:pPr>
            <w:r w:rsidRPr="00501452">
              <w:rPr>
                <w:sz w:val="18"/>
                <w:szCs w:val="18"/>
              </w:rPr>
              <w:t>Sociální podnik BENECYKL s. r.o.</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31</w:t>
            </w:r>
          </w:p>
        </w:tc>
        <w:tc>
          <w:tcPr>
            <w:tcW w:w="1276" w:type="dxa"/>
            <w:vAlign w:val="center"/>
          </w:tcPr>
          <w:p w:rsidR="00E700FA" w:rsidRPr="00501452" w:rsidRDefault="00E700FA" w:rsidP="004F4455">
            <w:pPr>
              <w:jc w:val="right"/>
              <w:rPr>
                <w:sz w:val="18"/>
                <w:szCs w:val="18"/>
              </w:rPr>
            </w:pPr>
            <w:r w:rsidRPr="00501452">
              <w:rPr>
                <w:sz w:val="18"/>
                <w:szCs w:val="18"/>
              </w:rPr>
              <w:t>CZ.1.06/3.1.02/08.08302</w:t>
            </w:r>
          </w:p>
        </w:tc>
        <w:tc>
          <w:tcPr>
            <w:tcW w:w="1479" w:type="dxa"/>
            <w:gridSpan w:val="3"/>
            <w:vAlign w:val="center"/>
          </w:tcPr>
          <w:p w:rsidR="00E700FA" w:rsidRPr="00501452" w:rsidRDefault="00E700FA" w:rsidP="004F4455">
            <w:pPr>
              <w:rPr>
                <w:sz w:val="18"/>
                <w:szCs w:val="18"/>
              </w:rPr>
            </w:pPr>
            <w:r w:rsidRPr="00501452">
              <w:rPr>
                <w:sz w:val="18"/>
                <w:szCs w:val="18"/>
              </w:rPr>
              <w:t xml:space="preserve">Sociální podnik stavební </w:t>
            </w:r>
            <w:proofErr w:type="gramStart"/>
            <w:r w:rsidRPr="00501452">
              <w:rPr>
                <w:sz w:val="18"/>
                <w:szCs w:val="18"/>
              </w:rPr>
              <w:t>firmy I.V. ENERGY</w:t>
            </w:r>
            <w:proofErr w:type="gramEnd"/>
            <w:r w:rsidRPr="00501452">
              <w:rPr>
                <w:sz w:val="18"/>
                <w:szCs w:val="18"/>
              </w:rPr>
              <w:t xml:space="preserve"> s.r.o.</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CZ.1.04/3.1.06/30.00511</w:t>
            </w:r>
          </w:p>
        </w:tc>
        <w:tc>
          <w:tcPr>
            <w:tcW w:w="1653" w:type="dxa"/>
            <w:vAlign w:val="center"/>
          </w:tcPr>
          <w:p w:rsidR="00E700FA" w:rsidRPr="00501452" w:rsidRDefault="00E700FA" w:rsidP="004F4455">
            <w:pPr>
              <w:rPr>
                <w:sz w:val="18"/>
                <w:szCs w:val="18"/>
              </w:rPr>
            </w:pPr>
            <w:r w:rsidRPr="00501452">
              <w:rPr>
                <w:sz w:val="18"/>
                <w:szCs w:val="18"/>
              </w:rPr>
              <w:t xml:space="preserve">Sociální </w:t>
            </w:r>
            <w:r w:rsidR="00501452" w:rsidRPr="00501452">
              <w:rPr>
                <w:sz w:val="18"/>
                <w:szCs w:val="18"/>
              </w:rPr>
              <w:t>podnik I. V. ENERGY</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32</w:t>
            </w:r>
          </w:p>
        </w:tc>
        <w:tc>
          <w:tcPr>
            <w:tcW w:w="1276" w:type="dxa"/>
            <w:vAlign w:val="center"/>
          </w:tcPr>
          <w:p w:rsidR="00E700FA" w:rsidRPr="00501452" w:rsidRDefault="00E700FA" w:rsidP="004F4455">
            <w:pPr>
              <w:jc w:val="right"/>
              <w:rPr>
                <w:sz w:val="18"/>
                <w:szCs w:val="18"/>
              </w:rPr>
            </w:pPr>
            <w:r w:rsidRPr="00501452">
              <w:rPr>
                <w:sz w:val="18"/>
                <w:szCs w:val="18"/>
              </w:rPr>
              <w:t>CZ.1.06/3.1.02/08.08366</w:t>
            </w:r>
          </w:p>
        </w:tc>
        <w:tc>
          <w:tcPr>
            <w:tcW w:w="1479" w:type="dxa"/>
            <w:gridSpan w:val="3"/>
            <w:vAlign w:val="center"/>
          </w:tcPr>
          <w:p w:rsidR="00E700FA" w:rsidRPr="00501452" w:rsidRDefault="00E700FA" w:rsidP="004F4455">
            <w:pPr>
              <w:rPr>
                <w:sz w:val="18"/>
                <w:szCs w:val="18"/>
              </w:rPr>
            </w:pPr>
            <w:r w:rsidRPr="00501452">
              <w:rPr>
                <w:sz w:val="18"/>
                <w:szCs w:val="18"/>
              </w:rPr>
              <w:t xml:space="preserve">První výrobce přírodního </w:t>
            </w:r>
            <w:proofErr w:type="spellStart"/>
            <w:r w:rsidRPr="00501452">
              <w:rPr>
                <w:sz w:val="18"/>
                <w:szCs w:val="18"/>
              </w:rPr>
              <w:t>cideru</w:t>
            </w:r>
            <w:proofErr w:type="spellEnd"/>
            <w:r w:rsidRPr="00501452">
              <w:rPr>
                <w:sz w:val="18"/>
                <w:szCs w:val="18"/>
              </w:rPr>
              <w:t xml:space="preserve"> v ČR</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CZ.1.04/3.1.06/30.00387</w:t>
            </w:r>
          </w:p>
        </w:tc>
        <w:tc>
          <w:tcPr>
            <w:tcW w:w="1653" w:type="dxa"/>
            <w:vAlign w:val="center"/>
          </w:tcPr>
          <w:p w:rsidR="00E700FA" w:rsidRPr="00501452" w:rsidRDefault="00E700FA" w:rsidP="004F4455">
            <w:pPr>
              <w:rPr>
                <w:sz w:val="18"/>
                <w:szCs w:val="18"/>
              </w:rPr>
            </w:pPr>
            <w:r w:rsidRPr="00501452">
              <w:rPr>
                <w:sz w:val="18"/>
                <w:szCs w:val="18"/>
              </w:rPr>
              <w:t xml:space="preserve">První výrobce přírodního </w:t>
            </w:r>
            <w:proofErr w:type="spellStart"/>
            <w:r w:rsidRPr="00501452">
              <w:rPr>
                <w:sz w:val="18"/>
                <w:szCs w:val="18"/>
              </w:rPr>
              <w:t>cideru</w:t>
            </w:r>
            <w:proofErr w:type="spellEnd"/>
            <w:r w:rsidRPr="00501452">
              <w:rPr>
                <w:sz w:val="18"/>
                <w:szCs w:val="18"/>
              </w:rPr>
              <w:t xml:space="preserve"> </w:t>
            </w:r>
            <w:r w:rsidR="00501452">
              <w:rPr>
                <w:sz w:val="18"/>
                <w:szCs w:val="18"/>
              </w:rPr>
              <w:br/>
            </w:r>
            <w:r w:rsidRPr="00501452">
              <w:rPr>
                <w:sz w:val="18"/>
                <w:szCs w:val="18"/>
              </w:rPr>
              <w:t>v ČR</w:t>
            </w:r>
          </w:p>
        </w:tc>
      </w:tr>
      <w:tr w:rsidR="00E700FA" w:rsidRPr="00F40F28" w:rsidTr="00501452">
        <w:trPr>
          <w:trHeight w:val="78"/>
        </w:trPr>
        <w:tc>
          <w:tcPr>
            <w:tcW w:w="567" w:type="dxa"/>
          </w:tcPr>
          <w:p w:rsidR="00E700FA" w:rsidRPr="00501452" w:rsidRDefault="00E700FA" w:rsidP="004F4455">
            <w:pPr>
              <w:rPr>
                <w:sz w:val="18"/>
                <w:szCs w:val="18"/>
              </w:rPr>
            </w:pPr>
            <w:r w:rsidRPr="00501452">
              <w:rPr>
                <w:sz w:val="18"/>
                <w:szCs w:val="18"/>
              </w:rPr>
              <w:t>33</w:t>
            </w:r>
          </w:p>
        </w:tc>
        <w:tc>
          <w:tcPr>
            <w:tcW w:w="1276" w:type="dxa"/>
            <w:vAlign w:val="center"/>
          </w:tcPr>
          <w:p w:rsidR="00E700FA" w:rsidRPr="00501452" w:rsidRDefault="00E700FA" w:rsidP="004F4455">
            <w:pPr>
              <w:jc w:val="center"/>
              <w:rPr>
                <w:sz w:val="18"/>
                <w:szCs w:val="18"/>
              </w:rPr>
            </w:pPr>
            <w:r w:rsidRPr="00501452">
              <w:rPr>
                <w:sz w:val="18"/>
                <w:szCs w:val="18"/>
              </w:rPr>
              <w:t>CZ.1.06/3.1.02/08.08355</w:t>
            </w:r>
          </w:p>
        </w:tc>
        <w:tc>
          <w:tcPr>
            <w:tcW w:w="1479" w:type="dxa"/>
            <w:gridSpan w:val="3"/>
            <w:vAlign w:val="center"/>
          </w:tcPr>
          <w:p w:rsidR="00E700FA" w:rsidRPr="00501452" w:rsidRDefault="00E700FA" w:rsidP="004F4455">
            <w:pPr>
              <w:rPr>
                <w:sz w:val="18"/>
                <w:szCs w:val="18"/>
              </w:rPr>
            </w:pPr>
            <w:r w:rsidRPr="00501452">
              <w:rPr>
                <w:sz w:val="18"/>
                <w:szCs w:val="18"/>
              </w:rPr>
              <w:t>Šikulové – výroba modelářských doplňků</w:t>
            </w: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CZ.1.04/3.1.06/30.00244</w:t>
            </w:r>
          </w:p>
        </w:tc>
        <w:tc>
          <w:tcPr>
            <w:tcW w:w="1653" w:type="dxa"/>
            <w:vAlign w:val="center"/>
          </w:tcPr>
          <w:p w:rsidR="00E700FA" w:rsidRPr="00501452" w:rsidRDefault="00E700FA" w:rsidP="004F4455">
            <w:pPr>
              <w:rPr>
                <w:sz w:val="18"/>
                <w:szCs w:val="18"/>
              </w:rPr>
            </w:pPr>
            <w:r w:rsidRPr="00501452">
              <w:rPr>
                <w:sz w:val="18"/>
                <w:szCs w:val="18"/>
              </w:rPr>
              <w:t>Sociální podnik Šikulové - výroba modelářských doplňků</w:t>
            </w:r>
          </w:p>
        </w:tc>
      </w:tr>
      <w:tr w:rsidR="00E700FA" w:rsidRPr="004F5E98" w:rsidTr="00501452">
        <w:trPr>
          <w:trHeight w:val="78"/>
        </w:trPr>
        <w:tc>
          <w:tcPr>
            <w:tcW w:w="567" w:type="dxa"/>
          </w:tcPr>
          <w:p w:rsidR="00E700FA" w:rsidRPr="00501452" w:rsidRDefault="00E700FA" w:rsidP="004F4455">
            <w:pPr>
              <w:rPr>
                <w:sz w:val="18"/>
                <w:szCs w:val="18"/>
              </w:rPr>
            </w:pPr>
            <w:r w:rsidRPr="00501452">
              <w:rPr>
                <w:sz w:val="18"/>
                <w:szCs w:val="18"/>
              </w:rPr>
              <w:t>34</w:t>
            </w:r>
          </w:p>
        </w:tc>
        <w:tc>
          <w:tcPr>
            <w:tcW w:w="1276" w:type="dxa"/>
            <w:vAlign w:val="center"/>
          </w:tcPr>
          <w:p w:rsidR="00E700FA" w:rsidRPr="00501452" w:rsidRDefault="00E700FA" w:rsidP="004F4455">
            <w:pPr>
              <w:jc w:val="center"/>
              <w:rPr>
                <w:sz w:val="18"/>
                <w:szCs w:val="18"/>
              </w:rPr>
            </w:pPr>
            <w:r w:rsidRPr="00501452">
              <w:rPr>
                <w:sz w:val="18"/>
                <w:szCs w:val="18"/>
              </w:rPr>
              <w:t>CZ.1.06/3.1.02/08.08340</w:t>
            </w:r>
          </w:p>
          <w:p w:rsidR="00E700FA" w:rsidRPr="00501452" w:rsidRDefault="00E700FA" w:rsidP="004F4455">
            <w:pPr>
              <w:jc w:val="center"/>
              <w:rPr>
                <w:sz w:val="18"/>
                <w:szCs w:val="18"/>
              </w:rPr>
            </w:pPr>
          </w:p>
        </w:tc>
        <w:tc>
          <w:tcPr>
            <w:tcW w:w="1479" w:type="dxa"/>
            <w:gridSpan w:val="3"/>
            <w:vAlign w:val="center"/>
          </w:tcPr>
          <w:p w:rsidR="00E700FA" w:rsidRPr="00501452" w:rsidRDefault="00E700FA" w:rsidP="004F4455">
            <w:pPr>
              <w:rPr>
                <w:sz w:val="18"/>
                <w:szCs w:val="18"/>
              </w:rPr>
            </w:pPr>
            <w:r w:rsidRPr="00501452">
              <w:rPr>
                <w:sz w:val="18"/>
                <w:szCs w:val="18"/>
              </w:rPr>
              <w:t>Minipivovar na statku</w:t>
            </w:r>
          </w:p>
          <w:p w:rsidR="00E700FA" w:rsidRPr="00501452" w:rsidRDefault="00E700FA" w:rsidP="004F4455">
            <w:pPr>
              <w:rPr>
                <w:sz w:val="18"/>
                <w:szCs w:val="18"/>
              </w:rPr>
            </w:pP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CZ.1.04/3.1.06/30.00401</w:t>
            </w:r>
          </w:p>
        </w:tc>
        <w:tc>
          <w:tcPr>
            <w:tcW w:w="1653" w:type="dxa"/>
            <w:vAlign w:val="center"/>
          </w:tcPr>
          <w:p w:rsidR="00E700FA" w:rsidRPr="00501452" w:rsidRDefault="00E700FA" w:rsidP="004F4455">
            <w:pPr>
              <w:rPr>
                <w:sz w:val="18"/>
                <w:szCs w:val="18"/>
              </w:rPr>
            </w:pPr>
            <w:r w:rsidRPr="00501452">
              <w:rPr>
                <w:sz w:val="18"/>
                <w:szCs w:val="18"/>
              </w:rPr>
              <w:t>Minipivovar na statku</w:t>
            </w:r>
          </w:p>
          <w:p w:rsidR="00E700FA" w:rsidRPr="00501452" w:rsidRDefault="00E700FA" w:rsidP="004F4455">
            <w:pPr>
              <w:rPr>
                <w:sz w:val="18"/>
                <w:szCs w:val="18"/>
              </w:rPr>
            </w:pPr>
          </w:p>
        </w:tc>
      </w:tr>
      <w:tr w:rsidR="00E700FA" w:rsidRPr="004F5E98" w:rsidTr="00501452">
        <w:trPr>
          <w:trHeight w:val="78"/>
        </w:trPr>
        <w:tc>
          <w:tcPr>
            <w:tcW w:w="567" w:type="dxa"/>
          </w:tcPr>
          <w:p w:rsidR="00E700FA" w:rsidRPr="00501452" w:rsidRDefault="00E700FA" w:rsidP="004F4455">
            <w:pPr>
              <w:rPr>
                <w:sz w:val="18"/>
                <w:szCs w:val="18"/>
              </w:rPr>
            </w:pPr>
            <w:r w:rsidRPr="00501452">
              <w:rPr>
                <w:sz w:val="18"/>
                <w:szCs w:val="18"/>
              </w:rPr>
              <w:t>35</w:t>
            </w:r>
          </w:p>
        </w:tc>
        <w:tc>
          <w:tcPr>
            <w:tcW w:w="1276" w:type="dxa"/>
            <w:vAlign w:val="center"/>
          </w:tcPr>
          <w:p w:rsidR="00E700FA" w:rsidRPr="00501452" w:rsidRDefault="00E700FA" w:rsidP="004F4455">
            <w:pPr>
              <w:jc w:val="center"/>
              <w:rPr>
                <w:sz w:val="18"/>
                <w:szCs w:val="18"/>
              </w:rPr>
            </w:pPr>
            <w:r w:rsidRPr="00501452">
              <w:rPr>
                <w:sz w:val="18"/>
                <w:szCs w:val="18"/>
              </w:rPr>
              <w:t>CZ.1.06/3.1.02/08.08389</w:t>
            </w:r>
          </w:p>
          <w:p w:rsidR="00E700FA" w:rsidRPr="00501452" w:rsidRDefault="00E700FA" w:rsidP="004F4455">
            <w:pPr>
              <w:jc w:val="center"/>
              <w:rPr>
                <w:sz w:val="18"/>
                <w:szCs w:val="18"/>
              </w:rPr>
            </w:pPr>
          </w:p>
        </w:tc>
        <w:tc>
          <w:tcPr>
            <w:tcW w:w="1479" w:type="dxa"/>
            <w:gridSpan w:val="3"/>
            <w:vAlign w:val="center"/>
          </w:tcPr>
          <w:p w:rsidR="00E700FA" w:rsidRPr="00501452" w:rsidRDefault="00E700FA" w:rsidP="004F4455">
            <w:pPr>
              <w:rPr>
                <w:sz w:val="18"/>
                <w:szCs w:val="18"/>
              </w:rPr>
            </w:pPr>
            <w:r w:rsidRPr="00501452">
              <w:rPr>
                <w:sz w:val="18"/>
                <w:szCs w:val="18"/>
              </w:rPr>
              <w:t xml:space="preserve">Prádelna </w:t>
            </w:r>
            <w:proofErr w:type="spellStart"/>
            <w:r w:rsidRPr="00501452">
              <w:rPr>
                <w:sz w:val="18"/>
                <w:szCs w:val="18"/>
              </w:rPr>
              <w:t>Collarca</w:t>
            </w:r>
            <w:proofErr w:type="spellEnd"/>
          </w:p>
          <w:p w:rsidR="00E700FA" w:rsidRPr="00501452" w:rsidRDefault="00E700FA" w:rsidP="004F4455">
            <w:pPr>
              <w:rPr>
                <w:sz w:val="18"/>
                <w:szCs w:val="18"/>
              </w:rPr>
            </w:pP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CZ.1.04/3.1.06/30.00533</w:t>
            </w:r>
          </w:p>
        </w:tc>
        <w:tc>
          <w:tcPr>
            <w:tcW w:w="1653" w:type="dxa"/>
            <w:vAlign w:val="center"/>
          </w:tcPr>
          <w:p w:rsidR="00E700FA" w:rsidRPr="00501452" w:rsidRDefault="00E700FA" w:rsidP="004F4455">
            <w:pPr>
              <w:rPr>
                <w:sz w:val="18"/>
                <w:szCs w:val="18"/>
              </w:rPr>
            </w:pPr>
            <w:r w:rsidRPr="00501452">
              <w:rPr>
                <w:sz w:val="18"/>
                <w:szCs w:val="18"/>
              </w:rPr>
              <w:t xml:space="preserve">Prádelna </w:t>
            </w:r>
            <w:proofErr w:type="spellStart"/>
            <w:r w:rsidRPr="00501452">
              <w:rPr>
                <w:sz w:val="18"/>
                <w:szCs w:val="18"/>
              </w:rPr>
              <w:t>Collarca</w:t>
            </w:r>
            <w:proofErr w:type="spellEnd"/>
          </w:p>
          <w:p w:rsidR="00E700FA" w:rsidRPr="00501452" w:rsidRDefault="00E700FA" w:rsidP="004F4455">
            <w:pPr>
              <w:rPr>
                <w:sz w:val="18"/>
                <w:szCs w:val="18"/>
              </w:rPr>
            </w:pPr>
          </w:p>
        </w:tc>
      </w:tr>
      <w:tr w:rsidR="00E700FA" w:rsidRPr="00F40F28" w:rsidTr="00501452">
        <w:trPr>
          <w:trHeight w:val="78"/>
        </w:trPr>
        <w:tc>
          <w:tcPr>
            <w:tcW w:w="567" w:type="dxa"/>
          </w:tcPr>
          <w:p w:rsidR="00501452" w:rsidRDefault="00501452" w:rsidP="004F4455">
            <w:pPr>
              <w:rPr>
                <w:sz w:val="18"/>
                <w:szCs w:val="18"/>
              </w:rPr>
            </w:pPr>
          </w:p>
          <w:p w:rsidR="00E700FA" w:rsidRPr="00501452" w:rsidRDefault="00E700FA" w:rsidP="004F4455">
            <w:pPr>
              <w:rPr>
                <w:sz w:val="18"/>
                <w:szCs w:val="18"/>
              </w:rPr>
            </w:pPr>
            <w:r w:rsidRPr="00501452">
              <w:rPr>
                <w:sz w:val="18"/>
                <w:szCs w:val="18"/>
              </w:rPr>
              <w:t>36</w:t>
            </w:r>
          </w:p>
        </w:tc>
        <w:tc>
          <w:tcPr>
            <w:tcW w:w="1276" w:type="dxa"/>
            <w:vAlign w:val="center"/>
          </w:tcPr>
          <w:p w:rsidR="00E700FA" w:rsidRPr="00501452" w:rsidRDefault="00E700FA" w:rsidP="004F4455">
            <w:pPr>
              <w:jc w:val="center"/>
              <w:rPr>
                <w:sz w:val="18"/>
                <w:szCs w:val="18"/>
              </w:rPr>
            </w:pPr>
            <w:r w:rsidRPr="00501452">
              <w:rPr>
                <w:sz w:val="18"/>
                <w:szCs w:val="18"/>
              </w:rPr>
              <w:t>CZ.1.06/3.1.02/08.08632</w:t>
            </w:r>
          </w:p>
          <w:p w:rsidR="00E700FA" w:rsidRPr="00501452" w:rsidRDefault="00E700FA" w:rsidP="004F4455">
            <w:pPr>
              <w:jc w:val="center"/>
              <w:rPr>
                <w:sz w:val="18"/>
                <w:szCs w:val="18"/>
              </w:rPr>
            </w:pPr>
          </w:p>
        </w:tc>
        <w:tc>
          <w:tcPr>
            <w:tcW w:w="1479" w:type="dxa"/>
            <w:gridSpan w:val="3"/>
            <w:vAlign w:val="center"/>
          </w:tcPr>
          <w:p w:rsidR="00E700FA" w:rsidRPr="00501452" w:rsidRDefault="00E700FA" w:rsidP="004F4455">
            <w:pPr>
              <w:rPr>
                <w:sz w:val="18"/>
                <w:szCs w:val="18"/>
              </w:rPr>
            </w:pPr>
            <w:r w:rsidRPr="00501452">
              <w:rPr>
                <w:sz w:val="18"/>
                <w:szCs w:val="18"/>
              </w:rPr>
              <w:t>Sociální podnik AZPO Group s.r.o. - trvale udržitelné zaměstnání pro znevýhodněné</w:t>
            </w:r>
          </w:p>
          <w:p w:rsidR="00E700FA" w:rsidRPr="00501452" w:rsidRDefault="00E700FA" w:rsidP="004F4455">
            <w:pPr>
              <w:rPr>
                <w:sz w:val="18"/>
                <w:szCs w:val="18"/>
              </w:rPr>
            </w:pPr>
          </w:p>
        </w:tc>
        <w:tc>
          <w:tcPr>
            <w:tcW w:w="972" w:type="dxa"/>
          </w:tcPr>
          <w:p w:rsidR="00E700FA" w:rsidRPr="00501452" w:rsidRDefault="00E700FA" w:rsidP="004F4455">
            <w:pPr>
              <w:rPr>
                <w:sz w:val="18"/>
                <w:szCs w:val="18"/>
              </w:rPr>
            </w:pPr>
          </w:p>
        </w:tc>
        <w:tc>
          <w:tcPr>
            <w:tcW w:w="809" w:type="dxa"/>
          </w:tcPr>
          <w:p w:rsidR="00E700FA" w:rsidRPr="00501452" w:rsidRDefault="00E700FA" w:rsidP="004F4455">
            <w:pPr>
              <w:rPr>
                <w:sz w:val="18"/>
                <w:szCs w:val="18"/>
              </w:rPr>
            </w:pPr>
          </w:p>
        </w:tc>
        <w:tc>
          <w:tcPr>
            <w:tcW w:w="2444" w:type="dxa"/>
            <w:vAlign w:val="center"/>
          </w:tcPr>
          <w:p w:rsidR="00E700FA" w:rsidRPr="00501452" w:rsidRDefault="00E700FA" w:rsidP="004F4455">
            <w:pPr>
              <w:rPr>
                <w:sz w:val="18"/>
                <w:szCs w:val="18"/>
              </w:rPr>
            </w:pPr>
            <w:r w:rsidRPr="00501452">
              <w:rPr>
                <w:sz w:val="18"/>
                <w:szCs w:val="18"/>
              </w:rPr>
              <w:t>CZ.1.06/3.1.02/08.08632</w:t>
            </w:r>
          </w:p>
        </w:tc>
        <w:tc>
          <w:tcPr>
            <w:tcW w:w="1653" w:type="dxa"/>
            <w:vAlign w:val="center"/>
          </w:tcPr>
          <w:p w:rsidR="00E700FA" w:rsidRPr="00501452" w:rsidRDefault="00E700FA" w:rsidP="004F4455">
            <w:pPr>
              <w:rPr>
                <w:sz w:val="18"/>
                <w:szCs w:val="18"/>
              </w:rPr>
            </w:pPr>
            <w:r w:rsidRPr="00501452">
              <w:rPr>
                <w:sz w:val="18"/>
                <w:szCs w:val="18"/>
              </w:rPr>
              <w:t>Sociální podnik AZPO Group s.r.o. - trvale udržitelné zaměstnání pro znevýhodněné</w:t>
            </w:r>
          </w:p>
          <w:p w:rsidR="00E700FA" w:rsidRPr="00501452" w:rsidRDefault="00E700FA" w:rsidP="004F4455">
            <w:pPr>
              <w:rPr>
                <w:sz w:val="18"/>
                <w:szCs w:val="18"/>
              </w:rPr>
            </w:pPr>
          </w:p>
        </w:tc>
      </w:tr>
      <w:tr w:rsidR="00E700FA" w:rsidRPr="00F40F28" w:rsidTr="00B70C44">
        <w:tc>
          <w:tcPr>
            <w:tcW w:w="9200" w:type="dxa"/>
            <w:gridSpan w:val="9"/>
            <w:shd w:val="clear" w:color="auto" w:fill="C2D69B" w:themeFill="accent3" w:themeFillTint="99"/>
          </w:tcPr>
          <w:p w:rsidR="00E700FA" w:rsidRPr="00501452" w:rsidRDefault="00E700FA" w:rsidP="004F4455">
            <w:pPr>
              <w:autoSpaceDE w:val="0"/>
              <w:autoSpaceDN w:val="0"/>
              <w:adjustRightInd w:val="0"/>
              <w:rPr>
                <w:rFonts w:ascii="Arial" w:eastAsia="SimSun" w:hAnsi="Arial" w:cs="Arial"/>
                <w:sz w:val="18"/>
                <w:szCs w:val="18"/>
                <w:lang w:eastAsia="zh-CN"/>
              </w:rPr>
            </w:pPr>
            <w:r w:rsidRPr="00501452">
              <w:rPr>
                <w:rFonts w:ascii="Arial" w:eastAsia="SimSun" w:hAnsi="Arial" w:cs="Arial"/>
                <w:b/>
                <w:bCs/>
                <w:i/>
                <w:iCs/>
                <w:sz w:val="18"/>
                <w:szCs w:val="18"/>
                <w:lang w:eastAsia="zh-CN"/>
              </w:rPr>
              <w:t xml:space="preserve">Komentář k tabulce a další informace o synergických projektech </w:t>
            </w:r>
            <w:r w:rsidRPr="00501452">
              <w:rPr>
                <w:rFonts w:ascii="Arial" w:eastAsia="SimSun" w:hAnsi="Arial" w:cs="Arial"/>
                <w:i/>
                <w:iCs/>
                <w:sz w:val="18"/>
                <w:szCs w:val="18"/>
                <w:lang w:eastAsia="zh-CN"/>
              </w:rPr>
              <w:t>(celkový počet synergických projektů, nejčetnější synergická oblast, počet nevykazovaných vazeb v sestavě z důvodu přejití NP/PP do negativního stavu,…):</w:t>
            </w:r>
          </w:p>
        </w:tc>
      </w:tr>
      <w:tr w:rsidR="00E700FA" w:rsidRPr="00F40F28" w:rsidTr="00B70C44">
        <w:trPr>
          <w:trHeight w:val="579"/>
        </w:trPr>
        <w:tc>
          <w:tcPr>
            <w:tcW w:w="9200" w:type="dxa"/>
            <w:gridSpan w:val="9"/>
          </w:tcPr>
          <w:p w:rsidR="00E700FA" w:rsidRPr="00501452" w:rsidRDefault="00E700FA" w:rsidP="004F4455">
            <w:pPr>
              <w:rPr>
                <w:b/>
                <w:bCs/>
                <w:i/>
                <w:iCs/>
                <w:sz w:val="18"/>
                <w:szCs w:val="18"/>
              </w:rPr>
            </w:pPr>
          </w:p>
        </w:tc>
      </w:tr>
      <w:tr w:rsidR="00E700FA" w:rsidRPr="00F40F28" w:rsidTr="00B70C44">
        <w:tc>
          <w:tcPr>
            <w:tcW w:w="9200" w:type="dxa"/>
            <w:gridSpan w:val="9"/>
            <w:shd w:val="clear" w:color="auto" w:fill="C2D69B" w:themeFill="accent3" w:themeFillTint="99"/>
          </w:tcPr>
          <w:p w:rsidR="00E700FA" w:rsidRPr="00501452" w:rsidRDefault="00E700FA" w:rsidP="004F4455">
            <w:pPr>
              <w:rPr>
                <w:b/>
                <w:bCs/>
                <w:i/>
                <w:iCs/>
              </w:rPr>
            </w:pPr>
            <w:r w:rsidRPr="00501452">
              <w:rPr>
                <w:b/>
                <w:bCs/>
                <w:i/>
                <w:iCs/>
              </w:rPr>
              <w:t>Problémy a identifikovaná rizika při zajištění vazby řídícími orgány, přijatá opatření:</w:t>
            </w:r>
          </w:p>
        </w:tc>
      </w:tr>
      <w:tr w:rsidR="00E700FA" w:rsidRPr="00F40F28" w:rsidTr="00B70C44">
        <w:tc>
          <w:tcPr>
            <w:tcW w:w="9200" w:type="dxa"/>
            <w:gridSpan w:val="9"/>
          </w:tcPr>
          <w:p w:rsidR="00E700FA" w:rsidRPr="00501452" w:rsidRDefault="00E700FA" w:rsidP="004F4455"/>
        </w:tc>
      </w:tr>
      <w:tr w:rsidR="00E700FA" w:rsidRPr="00F40F28" w:rsidTr="00B70C44">
        <w:tc>
          <w:tcPr>
            <w:tcW w:w="9200" w:type="dxa"/>
            <w:gridSpan w:val="9"/>
            <w:shd w:val="clear" w:color="auto" w:fill="C2D69B" w:themeFill="accent3" w:themeFillTint="99"/>
          </w:tcPr>
          <w:p w:rsidR="00E700FA" w:rsidRPr="00501452" w:rsidRDefault="00E700FA" w:rsidP="00501452">
            <w:pPr>
              <w:rPr>
                <w:b/>
                <w:bCs/>
                <w:i/>
                <w:iCs/>
              </w:rPr>
            </w:pPr>
            <w:r w:rsidRPr="00501452">
              <w:rPr>
                <w:b/>
                <w:bCs/>
                <w:i/>
                <w:iCs/>
              </w:rPr>
              <w:t>Náměty na jednání koordinačního výboru/tematického</w:t>
            </w:r>
            <w:r w:rsidR="00501452" w:rsidRPr="00501452">
              <w:rPr>
                <w:b/>
                <w:bCs/>
                <w:i/>
                <w:iCs/>
              </w:rPr>
              <w:t xml:space="preserve"> </w:t>
            </w:r>
            <w:proofErr w:type="spellStart"/>
            <w:r w:rsidRPr="00501452">
              <w:rPr>
                <w:b/>
                <w:bCs/>
                <w:i/>
                <w:iCs/>
              </w:rPr>
              <w:t>mikrotýmu</w:t>
            </w:r>
            <w:proofErr w:type="spellEnd"/>
            <w:r w:rsidRPr="00501452">
              <w:rPr>
                <w:b/>
                <w:bCs/>
                <w:i/>
                <w:iCs/>
              </w:rPr>
              <w:t>:</w:t>
            </w:r>
          </w:p>
        </w:tc>
      </w:tr>
      <w:tr w:rsidR="00E700FA" w:rsidRPr="00F40F28" w:rsidTr="00B70C44">
        <w:tc>
          <w:tcPr>
            <w:tcW w:w="9200" w:type="dxa"/>
            <w:gridSpan w:val="9"/>
          </w:tcPr>
          <w:p w:rsidR="00E700FA" w:rsidRPr="00501452" w:rsidRDefault="00E700FA" w:rsidP="004F4455"/>
          <w:p w:rsidR="00E700FA" w:rsidRPr="00501452" w:rsidRDefault="00E700FA" w:rsidP="004F4455"/>
        </w:tc>
      </w:tr>
      <w:tr w:rsidR="00E700FA" w:rsidRPr="00F40F28" w:rsidTr="00B70C44">
        <w:tc>
          <w:tcPr>
            <w:tcW w:w="9200" w:type="dxa"/>
            <w:gridSpan w:val="9"/>
            <w:shd w:val="clear" w:color="auto" w:fill="C2D69B" w:themeFill="accent3" w:themeFillTint="99"/>
          </w:tcPr>
          <w:p w:rsidR="00E700FA" w:rsidRPr="00501452" w:rsidRDefault="00E700FA" w:rsidP="004F4455">
            <w:pPr>
              <w:rPr>
                <w:b/>
                <w:bCs/>
                <w:i/>
                <w:iCs/>
              </w:rPr>
            </w:pPr>
            <w:r w:rsidRPr="00501452">
              <w:rPr>
                <w:b/>
                <w:bCs/>
                <w:i/>
                <w:iCs/>
              </w:rPr>
              <w:t>Další poznámky:</w:t>
            </w:r>
          </w:p>
        </w:tc>
      </w:tr>
      <w:tr w:rsidR="00E700FA" w:rsidRPr="00F40F28" w:rsidTr="00B70C44">
        <w:tc>
          <w:tcPr>
            <w:tcW w:w="9200" w:type="dxa"/>
            <w:gridSpan w:val="9"/>
          </w:tcPr>
          <w:p w:rsidR="00E700FA" w:rsidRPr="00501452" w:rsidRDefault="00E700FA" w:rsidP="004F4455"/>
          <w:p w:rsidR="00E700FA" w:rsidRPr="00501452" w:rsidRDefault="00E700FA" w:rsidP="004F4455"/>
        </w:tc>
      </w:tr>
      <w:tr w:rsidR="00E700FA" w:rsidRPr="00F40F28" w:rsidTr="00B70C44">
        <w:tc>
          <w:tcPr>
            <w:tcW w:w="9200" w:type="dxa"/>
            <w:gridSpan w:val="9"/>
            <w:shd w:val="clear" w:color="auto" w:fill="F3F3F3"/>
          </w:tcPr>
          <w:p w:rsidR="00E700FA" w:rsidRPr="00501452" w:rsidRDefault="00E700FA" w:rsidP="00E700FA">
            <w:pPr>
              <w:rPr>
                <w:b/>
                <w:bCs/>
              </w:rPr>
            </w:pPr>
            <w:r w:rsidRPr="00501452">
              <w:rPr>
                <w:b/>
                <w:bCs/>
              </w:rPr>
              <w:t>Vypracoval:</w:t>
            </w:r>
            <w:r w:rsidRPr="00501452">
              <w:rPr>
                <w:bCs/>
              </w:rPr>
              <w:t xml:space="preserve"> ZS IOP - MPSV</w:t>
            </w:r>
          </w:p>
        </w:tc>
      </w:tr>
    </w:tbl>
    <w:p w:rsidR="00A75862" w:rsidRPr="005C1B89" w:rsidRDefault="00A75862" w:rsidP="00A664CB">
      <w:pPr>
        <w:rPr>
          <w:b/>
        </w:rPr>
      </w:pPr>
    </w:p>
    <w:p w:rsidR="00A75862" w:rsidRDefault="00A75862" w:rsidP="00A664CB">
      <w:pPr>
        <w:rPr>
          <w:b/>
          <w:sz w:val="22"/>
          <w:szCs w:val="22"/>
        </w:rPr>
      </w:pPr>
    </w:p>
    <w:p w:rsidR="00A75862" w:rsidRDefault="00A75862" w:rsidP="00A664CB"/>
    <w:p w:rsidR="00A75862" w:rsidRDefault="00A75862" w:rsidP="00A664CB"/>
    <w:p w:rsidR="00A75862" w:rsidRDefault="00A75862" w:rsidP="00A664CB"/>
    <w:p w:rsidR="00A75862" w:rsidRDefault="00A75862" w:rsidP="00A664CB"/>
    <w:p w:rsidR="00A75862" w:rsidRDefault="00A75862" w:rsidP="00A664CB">
      <w:pPr>
        <w:rPr>
          <w:b/>
          <w:sz w:val="28"/>
          <w:szCs w:val="28"/>
        </w:rPr>
      </w:pPr>
    </w:p>
    <w:p w:rsidR="00A75862" w:rsidRDefault="00A75862" w:rsidP="00A664CB">
      <w:pPr>
        <w:jc w:val="center"/>
        <w:rPr>
          <w:b/>
          <w:sz w:val="28"/>
          <w:szCs w:val="28"/>
        </w:rPr>
      </w:pPr>
      <w:r>
        <w:rPr>
          <w:b/>
          <w:bCs/>
          <w:smallCaps/>
          <w:sz w:val="24"/>
          <w:szCs w:val="24"/>
        </w:rPr>
        <w:br w:type="page"/>
      </w:r>
      <w:r w:rsidRPr="0069586A">
        <w:rPr>
          <w:b/>
          <w:bCs/>
          <w:smallCaps/>
          <w:sz w:val="24"/>
          <w:szCs w:val="24"/>
        </w:rPr>
        <w:lastRenderedPageBreak/>
        <w:t xml:space="preserve">formulář </w:t>
      </w:r>
      <w:r>
        <w:rPr>
          <w:b/>
          <w:bCs/>
          <w:smallCaps/>
          <w:sz w:val="24"/>
          <w:szCs w:val="24"/>
        </w:rPr>
        <w:t>č. 4 – cestovní ruch, propagace, marketing</w:t>
      </w:r>
    </w:p>
    <w:p w:rsidR="00A75862" w:rsidRDefault="00A75862" w:rsidP="00A664CB">
      <w:pPr>
        <w:rPr>
          <w:b/>
          <w:bCs/>
          <w:smallCaps/>
          <w:sz w:val="24"/>
          <w:szCs w:val="24"/>
        </w:rPr>
      </w:pPr>
    </w:p>
    <w:p w:rsidR="00A75862" w:rsidRPr="009026D3" w:rsidRDefault="00A75862" w:rsidP="00A664CB">
      <w:pPr>
        <w:rPr>
          <w:b/>
          <w:bCs/>
          <w:smallCaps/>
          <w:sz w:val="22"/>
          <w:szCs w:val="22"/>
        </w:rPr>
      </w:pPr>
      <w:r w:rsidRPr="00642A6C">
        <w:rPr>
          <w:b/>
          <w:bCs/>
          <w:smallCaps/>
          <w:sz w:val="22"/>
          <w:szCs w:val="22"/>
        </w:rPr>
        <w:t>Zpracovatel podkladu</w:t>
      </w:r>
      <w:r w:rsidRPr="009026D3">
        <w:rPr>
          <w:b/>
          <w:bCs/>
          <w:smallCaps/>
          <w:sz w:val="22"/>
          <w:szCs w:val="22"/>
        </w:rPr>
        <w:t>: ŘÍDÍCÍ ORGÁN IOP</w:t>
      </w:r>
    </w:p>
    <w:tbl>
      <w:tblPr>
        <w:tblW w:w="9104" w:type="dxa"/>
        <w:tblInd w:w="108"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Look w:val="01E0" w:firstRow="1" w:lastRow="1" w:firstColumn="1" w:lastColumn="1" w:noHBand="0" w:noVBand="0"/>
      </w:tblPr>
      <w:tblGrid>
        <w:gridCol w:w="1284"/>
        <w:gridCol w:w="1288"/>
        <w:gridCol w:w="454"/>
        <w:gridCol w:w="832"/>
        <w:gridCol w:w="1279"/>
        <w:gridCol w:w="1284"/>
        <w:gridCol w:w="1395"/>
        <w:gridCol w:w="1288"/>
      </w:tblGrid>
      <w:tr w:rsidR="00A75862" w:rsidRPr="004B2D6C" w:rsidTr="00B70C44">
        <w:tc>
          <w:tcPr>
            <w:tcW w:w="3026" w:type="dxa"/>
            <w:gridSpan w:val="3"/>
            <w:shd w:val="clear" w:color="auto" w:fill="C2D69B" w:themeFill="accent3" w:themeFillTint="99"/>
          </w:tcPr>
          <w:p w:rsidR="00A75862" w:rsidRPr="00642A6C" w:rsidRDefault="00A75862" w:rsidP="002338EB">
            <w:pPr>
              <w:rPr>
                <w:b/>
                <w:bCs/>
              </w:rPr>
            </w:pPr>
            <w:r w:rsidRPr="00642A6C">
              <w:rPr>
                <w:b/>
                <w:bCs/>
              </w:rPr>
              <w:t>Zpracovatel formuláře:</w:t>
            </w:r>
          </w:p>
        </w:tc>
        <w:tc>
          <w:tcPr>
            <w:tcW w:w="6078" w:type="dxa"/>
            <w:gridSpan w:val="5"/>
            <w:shd w:val="clear" w:color="auto" w:fill="C2D69B" w:themeFill="accent3" w:themeFillTint="99"/>
          </w:tcPr>
          <w:p w:rsidR="00A75862" w:rsidRPr="00642A6C" w:rsidRDefault="00A75862" w:rsidP="002338EB">
            <w:pPr>
              <w:rPr>
                <w:i/>
                <w:iCs/>
              </w:rPr>
            </w:pPr>
            <w:r w:rsidRPr="009026D3">
              <w:rPr>
                <w:i/>
                <w:iCs/>
              </w:rPr>
              <w:t>Integrovaný operační program – ŘO IOP</w:t>
            </w:r>
            <w:r w:rsidRPr="00642A6C">
              <w:rPr>
                <w:i/>
                <w:iCs/>
              </w:rPr>
              <w:t xml:space="preserve"> </w:t>
            </w:r>
          </w:p>
        </w:tc>
      </w:tr>
      <w:tr w:rsidR="00A75862" w:rsidRPr="004B2D6C" w:rsidTr="00B70C44">
        <w:tc>
          <w:tcPr>
            <w:tcW w:w="3026" w:type="dxa"/>
            <w:gridSpan w:val="3"/>
            <w:shd w:val="clear" w:color="auto" w:fill="C2D69B" w:themeFill="accent3" w:themeFillTint="99"/>
          </w:tcPr>
          <w:p w:rsidR="00A75862" w:rsidRPr="00642A6C" w:rsidRDefault="00A75862" w:rsidP="002338EB">
            <w:pPr>
              <w:rPr>
                <w:b/>
                <w:bCs/>
              </w:rPr>
            </w:pPr>
            <w:r w:rsidRPr="00642A6C">
              <w:rPr>
                <w:b/>
                <w:bCs/>
              </w:rPr>
              <w:t>Tematická oblast*:</w:t>
            </w:r>
          </w:p>
        </w:tc>
        <w:tc>
          <w:tcPr>
            <w:tcW w:w="6078" w:type="dxa"/>
            <w:gridSpan w:val="5"/>
            <w:shd w:val="clear" w:color="auto" w:fill="C2D69B" w:themeFill="accent3" w:themeFillTint="99"/>
          </w:tcPr>
          <w:p w:rsidR="00A75862" w:rsidRPr="00642A6C" w:rsidRDefault="00A75862" w:rsidP="002338EB">
            <w:pPr>
              <w:rPr>
                <w:b/>
                <w:bCs/>
                <w:i/>
                <w:iCs/>
              </w:rPr>
            </w:pPr>
            <w:r w:rsidRPr="009026D3">
              <w:rPr>
                <w:b/>
                <w:bCs/>
                <w:i/>
                <w:iCs/>
              </w:rPr>
              <w:t>Cestovní ruch, propagace, marketing</w:t>
            </w:r>
            <w:r w:rsidRPr="00642A6C">
              <w:rPr>
                <w:b/>
                <w:bCs/>
                <w:i/>
                <w:iCs/>
              </w:rPr>
              <w:t xml:space="preserve"> </w:t>
            </w:r>
          </w:p>
        </w:tc>
      </w:tr>
      <w:tr w:rsidR="00A75862" w:rsidRPr="004B2D6C" w:rsidTr="00B70C44">
        <w:tc>
          <w:tcPr>
            <w:tcW w:w="3026" w:type="dxa"/>
            <w:gridSpan w:val="3"/>
            <w:vAlign w:val="center"/>
          </w:tcPr>
          <w:p w:rsidR="00A75862" w:rsidRPr="00642A6C" w:rsidRDefault="00A75862" w:rsidP="002338EB">
            <w:r w:rsidRPr="00642A6C">
              <w:t>Synergické oblasti podpory OP/ROP1*</w:t>
            </w:r>
            <w:r w:rsidRPr="00642A6C">
              <w:rPr>
                <w:b/>
                <w:bCs/>
                <w:u w:val="single"/>
              </w:rPr>
              <w:t xml:space="preserve">                               </w:t>
            </w:r>
            <w:r w:rsidRPr="00642A6C">
              <w:rPr>
                <w:b/>
                <w:bCs/>
              </w:rPr>
              <w:t xml:space="preserve"> </w:t>
            </w:r>
            <w:r w:rsidRPr="00642A6C">
              <w:t>:</w:t>
            </w:r>
          </w:p>
        </w:tc>
        <w:tc>
          <w:tcPr>
            <w:tcW w:w="6078" w:type="dxa"/>
            <w:gridSpan w:val="5"/>
          </w:tcPr>
          <w:p w:rsidR="00A75862" w:rsidRPr="009026D3" w:rsidRDefault="00A75862" w:rsidP="002338EB">
            <w:pPr>
              <w:rPr>
                <w:i/>
                <w:iCs/>
              </w:rPr>
            </w:pPr>
            <w:r w:rsidRPr="009026D3">
              <w:rPr>
                <w:i/>
                <w:iCs/>
              </w:rPr>
              <w:t xml:space="preserve">ROP JV 2.2 Rozvoj </w:t>
            </w:r>
            <w:proofErr w:type="gramStart"/>
            <w:r w:rsidRPr="009026D3">
              <w:rPr>
                <w:i/>
                <w:iCs/>
              </w:rPr>
              <w:t>služeb v CR</w:t>
            </w:r>
            <w:proofErr w:type="gramEnd"/>
          </w:p>
          <w:p w:rsidR="00A75862" w:rsidRPr="009026D3" w:rsidRDefault="00A75862" w:rsidP="002338EB">
            <w:pPr>
              <w:rPr>
                <w:i/>
                <w:iCs/>
              </w:rPr>
            </w:pPr>
            <w:r w:rsidRPr="009026D3">
              <w:rPr>
                <w:i/>
                <w:iCs/>
              </w:rPr>
              <w:t>ROP JZ 3.3 Rozvoj služeb v CR, marketingu a produktů CR</w:t>
            </w:r>
          </w:p>
          <w:p w:rsidR="00A75862" w:rsidRPr="009026D3" w:rsidRDefault="00A75862" w:rsidP="002338EB">
            <w:pPr>
              <w:rPr>
                <w:i/>
                <w:iCs/>
              </w:rPr>
            </w:pPr>
            <w:r w:rsidRPr="009026D3">
              <w:rPr>
                <w:i/>
                <w:iCs/>
              </w:rPr>
              <w:t>ROP SC 2.3 Propagace a řízení turistických destinací SČ kraje</w:t>
            </w:r>
          </w:p>
          <w:p w:rsidR="00A75862" w:rsidRPr="009026D3" w:rsidRDefault="00A75862" w:rsidP="002338EB">
            <w:pPr>
              <w:rPr>
                <w:i/>
                <w:iCs/>
              </w:rPr>
            </w:pPr>
            <w:r w:rsidRPr="009026D3">
              <w:rPr>
                <w:i/>
                <w:iCs/>
              </w:rPr>
              <w:t>ROP MS 2.4 Marketing regionu</w:t>
            </w:r>
          </w:p>
          <w:p w:rsidR="00A75862" w:rsidRPr="009026D3" w:rsidRDefault="00A75862" w:rsidP="002338EB">
            <w:pPr>
              <w:rPr>
                <w:i/>
                <w:iCs/>
              </w:rPr>
            </w:pPr>
            <w:r w:rsidRPr="009026D3">
              <w:rPr>
                <w:i/>
                <w:iCs/>
              </w:rPr>
              <w:t>ROP SM 3.4 Propagace a řízení</w:t>
            </w:r>
          </w:p>
          <w:p w:rsidR="00A75862" w:rsidRPr="009026D3" w:rsidRDefault="00A75862" w:rsidP="002338EB">
            <w:pPr>
              <w:rPr>
                <w:i/>
                <w:iCs/>
              </w:rPr>
            </w:pPr>
            <w:r w:rsidRPr="009026D3">
              <w:rPr>
                <w:i/>
                <w:iCs/>
              </w:rPr>
              <w:t>ROP SV 3.2 Marketingové a koordinační aktivity v oblasti CR</w:t>
            </w:r>
          </w:p>
          <w:p w:rsidR="00A75862" w:rsidRPr="00642A6C" w:rsidRDefault="00A75862" w:rsidP="002338EB">
            <w:pPr>
              <w:rPr>
                <w:i/>
                <w:iCs/>
              </w:rPr>
            </w:pPr>
            <w:r w:rsidRPr="009026D3">
              <w:rPr>
                <w:i/>
                <w:iCs/>
              </w:rPr>
              <w:t>ROP SZ 4.3 Podpora marketingu a tvorby rozvoje produktů CR</w:t>
            </w:r>
            <w:r w:rsidRPr="00642A6C">
              <w:rPr>
                <w:i/>
                <w:iCs/>
              </w:rPr>
              <w:t xml:space="preserve"> </w:t>
            </w:r>
          </w:p>
        </w:tc>
      </w:tr>
      <w:tr w:rsidR="00A75862" w:rsidRPr="004B2D6C" w:rsidTr="00B70C44">
        <w:trPr>
          <w:trHeight w:val="328"/>
        </w:trPr>
        <w:tc>
          <w:tcPr>
            <w:tcW w:w="3026" w:type="dxa"/>
            <w:gridSpan w:val="3"/>
            <w:vAlign w:val="center"/>
          </w:tcPr>
          <w:p w:rsidR="00A75862" w:rsidRPr="00642A6C" w:rsidRDefault="00A75862" w:rsidP="002338EB">
            <w:r w:rsidRPr="00642A6C">
              <w:t>Návaznost na oblasti podpory OP/ROP2*</w:t>
            </w:r>
            <w:r w:rsidRPr="00642A6C">
              <w:rPr>
                <w:b/>
                <w:bCs/>
                <w:u w:val="single"/>
              </w:rPr>
              <w:t xml:space="preserve">                               </w:t>
            </w:r>
            <w:r w:rsidRPr="00642A6C">
              <w:rPr>
                <w:b/>
                <w:bCs/>
              </w:rPr>
              <w:t xml:space="preserve"> </w:t>
            </w:r>
            <w:r w:rsidRPr="00642A6C">
              <w:t>:</w:t>
            </w:r>
          </w:p>
        </w:tc>
        <w:tc>
          <w:tcPr>
            <w:tcW w:w="6078" w:type="dxa"/>
            <w:gridSpan w:val="5"/>
          </w:tcPr>
          <w:p w:rsidR="00A75862" w:rsidRPr="00642A6C" w:rsidRDefault="00A75862" w:rsidP="002338EB">
            <w:pPr>
              <w:rPr>
                <w:i/>
                <w:iCs/>
              </w:rPr>
            </w:pPr>
            <w:r w:rsidRPr="00642A6C">
              <w:rPr>
                <w:i/>
                <w:iCs/>
              </w:rPr>
              <w:t>(názvy oblastí podpory* OP/ROP2)</w:t>
            </w:r>
          </w:p>
        </w:tc>
      </w:tr>
      <w:tr w:rsidR="00A75862" w:rsidRPr="004B2D6C" w:rsidTr="00B70C44">
        <w:tc>
          <w:tcPr>
            <w:tcW w:w="3026" w:type="dxa"/>
            <w:gridSpan w:val="3"/>
            <w:vAlign w:val="center"/>
          </w:tcPr>
          <w:p w:rsidR="00A75862" w:rsidRPr="00642A6C" w:rsidRDefault="00A75862" w:rsidP="002338EB">
            <w:r w:rsidRPr="00642A6C">
              <w:t>Je uzavřena dohoda o spolupráci mezi ŘO (PP) a ŘO (NP):</w:t>
            </w:r>
          </w:p>
        </w:tc>
        <w:tc>
          <w:tcPr>
            <w:tcW w:w="6078" w:type="dxa"/>
            <w:gridSpan w:val="5"/>
            <w:vAlign w:val="center"/>
          </w:tcPr>
          <w:p w:rsidR="00A75862" w:rsidRPr="00642A6C" w:rsidRDefault="00A75862" w:rsidP="002338EB">
            <w:r w:rsidRPr="00642A6C">
              <w:t xml:space="preserve">ANO </w:t>
            </w:r>
          </w:p>
        </w:tc>
      </w:tr>
      <w:tr w:rsidR="00A75862" w:rsidRPr="004B2D6C" w:rsidTr="00B70C44">
        <w:tc>
          <w:tcPr>
            <w:tcW w:w="9104" w:type="dxa"/>
            <w:gridSpan w:val="8"/>
            <w:shd w:val="clear" w:color="auto" w:fill="C2D69B" w:themeFill="accent3" w:themeFillTint="99"/>
          </w:tcPr>
          <w:p w:rsidR="00A75862" w:rsidRPr="00642A6C" w:rsidRDefault="00A75862" w:rsidP="002338EB">
            <w:pPr>
              <w:rPr>
                <w:i/>
                <w:iCs/>
              </w:rPr>
            </w:pPr>
            <w:r w:rsidRPr="00642A6C">
              <w:rPr>
                <w:b/>
                <w:bCs/>
                <w:i/>
                <w:iCs/>
              </w:rPr>
              <w:t xml:space="preserve">Zhodnocení fungování koordinačních mechanismů mezi ŘO(PP) a ŘO (NP) nastavených v dohodách mezi ŘO/v programové dokumentaci/dalších koordinačních mechanismů, vč. popisu formy </w:t>
            </w:r>
            <w:r w:rsidRPr="00642A6C">
              <w:rPr>
                <w:i/>
                <w:iCs/>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A75862" w:rsidRPr="004B2D6C" w:rsidTr="00B70C44">
        <w:trPr>
          <w:trHeight w:val="648"/>
        </w:trPr>
        <w:tc>
          <w:tcPr>
            <w:tcW w:w="9104" w:type="dxa"/>
            <w:gridSpan w:val="8"/>
          </w:tcPr>
          <w:p w:rsidR="00A75862" w:rsidRPr="00642A6C" w:rsidRDefault="00A75862" w:rsidP="002338EB"/>
          <w:p w:rsidR="00A75862" w:rsidRPr="00642A6C" w:rsidRDefault="00A75862" w:rsidP="002338EB"/>
        </w:tc>
      </w:tr>
      <w:tr w:rsidR="00A75862" w:rsidRPr="00072D95" w:rsidTr="00B70C44">
        <w:trPr>
          <w:trHeight w:val="66"/>
        </w:trPr>
        <w:tc>
          <w:tcPr>
            <w:tcW w:w="9104" w:type="dxa"/>
            <w:gridSpan w:val="8"/>
            <w:shd w:val="clear" w:color="auto" w:fill="C2D69B" w:themeFill="accent3" w:themeFillTint="99"/>
          </w:tcPr>
          <w:p w:rsidR="00A75862" w:rsidRPr="00642A6C" w:rsidRDefault="00A75862" w:rsidP="002338EB">
            <w:pPr>
              <w:autoSpaceDE w:val="0"/>
              <w:autoSpaceDN w:val="0"/>
              <w:adjustRightInd w:val="0"/>
              <w:rPr>
                <w:rFonts w:eastAsia="SimSun"/>
                <w:lang w:eastAsia="zh-CN"/>
              </w:rPr>
            </w:pPr>
            <w:r w:rsidRPr="00642A6C">
              <w:rPr>
                <w:rFonts w:eastAsia="SimSun"/>
                <w:b/>
                <w:bCs/>
                <w:i/>
                <w:iCs/>
                <w:lang w:eastAsia="zh-CN"/>
              </w:rPr>
              <w:t>Přehled synergických projektů naplňujících danou vazbu – sestava MSC2007 221, v případě, že se nevyužívá ke sledování všech synergických vazeb systém MSC2007, uvede se vlastní evidence synergických projektů</w:t>
            </w:r>
          </w:p>
        </w:tc>
      </w:tr>
      <w:tr w:rsidR="00A75862" w:rsidRPr="004B2D6C" w:rsidTr="00B70C44">
        <w:trPr>
          <w:trHeight w:val="66"/>
        </w:trPr>
        <w:tc>
          <w:tcPr>
            <w:tcW w:w="9104" w:type="dxa"/>
            <w:gridSpan w:val="8"/>
          </w:tcPr>
          <w:p w:rsidR="00A75862" w:rsidRPr="00642A6C" w:rsidRDefault="00A75862" w:rsidP="002338EB">
            <w:pPr>
              <w:autoSpaceDE w:val="0"/>
              <w:autoSpaceDN w:val="0"/>
              <w:adjustRightInd w:val="0"/>
              <w:rPr>
                <w:rFonts w:eastAsia="SimSun"/>
                <w:lang w:eastAsia="zh-CN"/>
              </w:rPr>
            </w:pPr>
            <w:r w:rsidRPr="00642A6C">
              <w:rPr>
                <w:rFonts w:eastAsia="SimSun"/>
                <w:lang w:eastAsia="zh-CN"/>
              </w:rPr>
              <w:t>Není relevantní</w:t>
            </w:r>
          </w:p>
        </w:tc>
      </w:tr>
      <w:tr w:rsidR="00A75862" w:rsidRPr="004B2D6C" w:rsidTr="00B70C44">
        <w:trPr>
          <w:trHeight w:val="81"/>
        </w:trPr>
        <w:tc>
          <w:tcPr>
            <w:tcW w:w="1284" w:type="dxa"/>
            <w:vAlign w:val="center"/>
          </w:tcPr>
          <w:p w:rsidR="00A75862" w:rsidRPr="00642A6C" w:rsidRDefault="00A75862" w:rsidP="002338EB">
            <w:pPr>
              <w:jc w:val="center"/>
            </w:pPr>
          </w:p>
        </w:tc>
        <w:tc>
          <w:tcPr>
            <w:tcW w:w="1288" w:type="dxa"/>
            <w:vAlign w:val="center"/>
          </w:tcPr>
          <w:p w:rsidR="00A75862" w:rsidRPr="00642A6C" w:rsidRDefault="00A75862" w:rsidP="002338EB">
            <w:pPr>
              <w:jc w:val="center"/>
            </w:pPr>
          </w:p>
        </w:tc>
        <w:tc>
          <w:tcPr>
            <w:tcW w:w="1286" w:type="dxa"/>
            <w:gridSpan w:val="2"/>
            <w:vAlign w:val="center"/>
          </w:tcPr>
          <w:p w:rsidR="00A75862" w:rsidRPr="00642A6C" w:rsidRDefault="00A75862" w:rsidP="002338EB">
            <w:pPr>
              <w:jc w:val="center"/>
            </w:pPr>
          </w:p>
        </w:tc>
        <w:tc>
          <w:tcPr>
            <w:tcW w:w="1279" w:type="dxa"/>
            <w:vAlign w:val="center"/>
          </w:tcPr>
          <w:p w:rsidR="00A75862" w:rsidRPr="00642A6C" w:rsidRDefault="00A75862" w:rsidP="002338EB">
            <w:pPr>
              <w:jc w:val="center"/>
            </w:pPr>
          </w:p>
        </w:tc>
        <w:tc>
          <w:tcPr>
            <w:tcW w:w="1284" w:type="dxa"/>
            <w:vAlign w:val="center"/>
          </w:tcPr>
          <w:p w:rsidR="00A75862" w:rsidRPr="00642A6C" w:rsidRDefault="00A75862" w:rsidP="002338EB">
            <w:pPr>
              <w:jc w:val="center"/>
            </w:pPr>
          </w:p>
        </w:tc>
        <w:tc>
          <w:tcPr>
            <w:tcW w:w="1395" w:type="dxa"/>
            <w:vAlign w:val="center"/>
          </w:tcPr>
          <w:p w:rsidR="00A75862" w:rsidRPr="00642A6C" w:rsidRDefault="00A75862" w:rsidP="002338EB">
            <w:pPr>
              <w:jc w:val="center"/>
            </w:pPr>
          </w:p>
        </w:tc>
        <w:tc>
          <w:tcPr>
            <w:tcW w:w="1288" w:type="dxa"/>
            <w:vAlign w:val="center"/>
          </w:tcPr>
          <w:p w:rsidR="00A75862" w:rsidRPr="00642A6C" w:rsidRDefault="00A75862" w:rsidP="002338EB">
            <w:pPr>
              <w:jc w:val="center"/>
            </w:pPr>
          </w:p>
        </w:tc>
      </w:tr>
      <w:tr w:rsidR="00A75862" w:rsidRPr="004B2D6C" w:rsidTr="00B70C44">
        <w:trPr>
          <w:trHeight w:val="78"/>
        </w:trPr>
        <w:tc>
          <w:tcPr>
            <w:tcW w:w="1284" w:type="dxa"/>
          </w:tcPr>
          <w:p w:rsidR="00A75862" w:rsidRPr="00642A6C" w:rsidRDefault="00A75862" w:rsidP="002338EB"/>
        </w:tc>
        <w:tc>
          <w:tcPr>
            <w:tcW w:w="1288" w:type="dxa"/>
          </w:tcPr>
          <w:p w:rsidR="00A75862" w:rsidRPr="00642A6C" w:rsidRDefault="00A75862" w:rsidP="002338EB"/>
        </w:tc>
        <w:tc>
          <w:tcPr>
            <w:tcW w:w="1286" w:type="dxa"/>
            <w:gridSpan w:val="2"/>
          </w:tcPr>
          <w:p w:rsidR="00A75862" w:rsidRPr="00642A6C" w:rsidRDefault="00A75862" w:rsidP="002338EB"/>
        </w:tc>
        <w:tc>
          <w:tcPr>
            <w:tcW w:w="1279" w:type="dxa"/>
          </w:tcPr>
          <w:p w:rsidR="00A75862" w:rsidRPr="00642A6C" w:rsidRDefault="00A75862" w:rsidP="002338EB"/>
        </w:tc>
        <w:tc>
          <w:tcPr>
            <w:tcW w:w="1284" w:type="dxa"/>
          </w:tcPr>
          <w:p w:rsidR="00A75862" w:rsidRPr="00642A6C" w:rsidRDefault="00A75862" w:rsidP="002338EB"/>
        </w:tc>
        <w:tc>
          <w:tcPr>
            <w:tcW w:w="1395" w:type="dxa"/>
          </w:tcPr>
          <w:p w:rsidR="00A75862" w:rsidRPr="00642A6C" w:rsidRDefault="00A75862" w:rsidP="002338EB"/>
        </w:tc>
        <w:tc>
          <w:tcPr>
            <w:tcW w:w="1288" w:type="dxa"/>
          </w:tcPr>
          <w:p w:rsidR="00A75862" w:rsidRPr="00642A6C" w:rsidRDefault="00A75862" w:rsidP="002338EB"/>
        </w:tc>
      </w:tr>
      <w:tr w:rsidR="00A75862" w:rsidRPr="004B2D6C" w:rsidTr="00B70C44">
        <w:trPr>
          <w:trHeight w:val="78"/>
        </w:trPr>
        <w:tc>
          <w:tcPr>
            <w:tcW w:w="1284" w:type="dxa"/>
          </w:tcPr>
          <w:p w:rsidR="00A75862" w:rsidRPr="00642A6C" w:rsidRDefault="00A75862" w:rsidP="002338EB"/>
        </w:tc>
        <w:tc>
          <w:tcPr>
            <w:tcW w:w="1288" w:type="dxa"/>
          </w:tcPr>
          <w:p w:rsidR="00A75862" w:rsidRPr="00642A6C" w:rsidRDefault="00A75862" w:rsidP="002338EB"/>
        </w:tc>
        <w:tc>
          <w:tcPr>
            <w:tcW w:w="1286" w:type="dxa"/>
            <w:gridSpan w:val="2"/>
          </w:tcPr>
          <w:p w:rsidR="00A75862" w:rsidRPr="00642A6C" w:rsidRDefault="00A75862" w:rsidP="002338EB"/>
        </w:tc>
        <w:tc>
          <w:tcPr>
            <w:tcW w:w="1279" w:type="dxa"/>
          </w:tcPr>
          <w:p w:rsidR="00A75862" w:rsidRPr="00642A6C" w:rsidRDefault="00A75862" w:rsidP="002338EB"/>
        </w:tc>
        <w:tc>
          <w:tcPr>
            <w:tcW w:w="1284" w:type="dxa"/>
          </w:tcPr>
          <w:p w:rsidR="00A75862" w:rsidRPr="00642A6C" w:rsidRDefault="00A75862" w:rsidP="002338EB"/>
        </w:tc>
        <w:tc>
          <w:tcPr>
            <w:tcW w:w="1395" w:type="dxa"/>
          </w:tcPr>
          <w:p w:rsidR="00A75862" w:rsidRPr="00642A6C" w:rsidRDefault="00A75862" w:rsidP="002338EB"/>
        </w:tc>
        <w:tc>
          <w:tcPr>
            <w:tcW w:w="1288" w:type="dxa"/>
          </w:tcPr>
          <w:p w:rsidR="00A75862" w:rsidRPr="00642A6C" w:rsidRDefault="00A75862" w:rsidP="002338EB"/>
        </w:tc>
      </w:tr>
      <w:tr w:rsidR="00A75862" w:rsidRPr="004B2D6C" w:rsidTr="00B70C44">
        <w:trPr>
          <w:trHeight w:val="78"/>
        </w:trPr>
        <w:tc>
          <w:tcPr>
            <w:tcW w:w="1284" w:type="dxa"/>
          </w:tcPr>
          <w:p w:rsidR="00A75862" w:rsidRPr="00642A6C" w:rsidRDefault="00A75862" w:rsidP="002338EB"/>
        </w:tc>
        <w:tc>
          <w:tcPr>
            <w:tcW w:w="1288" w:type="dxa"/>
          </w:tcPr>
          <w:p w:rsidR="00A75862" w:rsidRPr="00642A6C" w:rsidRDefault="00A75862" w:rsidP="002338EB"/>
        </w:tc>
        <w:tc>
          <w:tcPr>
            <w:tcW w:w="1286" w:type="dxa"/>
            <w:gridSpan w:val="2"/>
          </w:tcPr>
          <w:p w:rsidR="00A75862" w:rsidRPr="00642A6C" w:rsidRDefault="00A75862" w:rsidP="002338EB"/>
        </w:tc>
        <w:tc>
          <w:tcPr>
            <w:tcW w:w="1279" w:type="dxa"/>
          </w:tcPr>
          <w:p w:rsidR="00A75862" w:rsidRPr="00642A6C" w:rsidRDefault="00A75862" w:rsidP="002338EB"/>
        </w:tc>
        <w:tc>
          <w:tcPr>
            <w:tcW w:w="1284" w:type="dxa"/>
          </w:tcPr>
          <w:p w:rsidR="00A75862" w:rsidRPr="00642A6C" w:rsidRDefault="00A75862" w:rsidP="002338EB"/>
        </w:tc>
        <w:tc>
          <w:tcPr>
            <w:tcW w:w="1395" w:type="dxa"/>
          </w:tcPr>
          <w:p w:rsidR="00A75862" w:rsidRPr="00642A6C" w:rsidRDefault="00A75862" w:rsidP="002338EB"/>
        </w:tc>
        <w:tc>
          <w:tcPr>
            <w:tcW w:w="1288" w:type="dxa"/>
          </w:tcPr>
          <w:p w:rsidR="00A75862" w:rsidRPr="00642A6C" w:rsidRDefault="00A75862" w:rsidP="002338EB"/>
        </w:tc>
      </w:tr>
      <w:tr w:rsidR="00A75862" w:rsidRPr="004B2D6C" w:rsidTr="00B70C44">
        <w:tc>
          <w:tcPr>
            <w:tcW w:w="9104" w:type="dxa"/>
            <w:gridSpan w:val="8"/>
            <w:shd w:val="clear" w:color="auto" w:fill="C2D69B" w:themeFill="accent3" w:themeFillTint="99"/>
          </w:tcPr>
          <w:p w:rsidR="00A75862" w:rsidRPr="00642A6C" w:rsidRDefault="00A75862" w:rsidP="002338EB">
            <w:pPr>
              <w:autoSpaceDE w:val="0"/>
              <w:autoSpaceDN w:val="0"/>
              <w:adjustRightInd w:val="0"/>
              <w:rPr>
                <w:rFonts w:eastAsia="SimSun"/>
                <w:lang w:eastAsia="zh-CN"/>
              </w:rPr>
            </w:pPr>
            <w:r w:rsidRPr="00642A6C">
              <w:rPr>
                <w:rFonts w:eastAsia="SimSun"/>
                <w:b/>
                <w:bCs/>
                <w:i/>
                <w:iCs/>
                <w:lang w:eastAsia="zh-CN"/>
              </w:rPr>
              <w:t xml:space="preserve">Komentář k tabulce a další informace o synergických projektech </w:t>
            </w:r>
            <w:r w:rsidRPr="00642A6C">
              <w:rPr>
                <w:rFonts w:eastAsia="SimSun"/>
                <w:i/>
                <w:iCs/>
                <w:lang w:eastAsia="zh-CN"/>
              </w:rPr>
              <w:t>(celkový počet synergických projektů, nejčetnější synergická oblast, počet nevykazovaných vazeb v sestavě z důvodu přejití NP/PP do negativního stavu,…):</w:t>
            </w:r>
          </w:p>
        </w:tc>
      </w:tr>
      <w:tr w:rsidR="00A75862" w:rsidRPr="004B2D6C" w:rsidTr="00B70C44">
        <w:trPr>
          <w:trHeight w:val="579"/>
        </w:trPr>
        <w:tc>
          <w:tcPr>
            <w:tcW w:w="9104" w:type="dxa"/>
            <w:gridSpan w:val="8"/>
          </w:tcPr>
          <w:p w:rsidR="00A75862" w:rsidRPr="00642A6C" w:rsidRDefault="00A75862" w:rsidP="002338EB">
            <w:pPr>
              <w:jc w:val="both"/>
            </w:pPr>
            <w:r w:rsidRPr="00642A6C">
              <w:t xml:space="preserve">V e 4. prioritní ose nejsou realizovány žádné projekty prokazující  synergické vazby na projekty realizované </w:t>
            </w:r>
            <w:r w:rsidR="00A85969">
              <w:br/>
            </w:r>
            <w:r w:rsidRPr="00642A6C">
              <w:t xml:space="preserve">v </w:t>
            </w:r>
            <w:proofErr w:type="gramStart"/>
            <w:r w:rsidRPr="00642A6C">
              <w:t>ROP</w:t>
            </w:r>
            <w:proofErr w:type="gramEnd"/>
            <w:r w:rsidRPr="00642A6C">
              <w:t>.</w:t>
            </w:r>
          </w:p>
          <w:p w:rsidR="00A75862" w:rsidRPr="00642A6C" w:rsidRDefault="00A75862" w:rsidP="002338EB">
            <w:pPr>
              <w:jc w:val="both"/>
            </w:pPr>
            <w:r w:rsidRPr="00642A6C">
              <w:t xml:space="preserve">V projektech v aktivitě d) prezentace a propagace přírodního a kulturního bohatství, kulturního průmyslu </w:t>
            </w:r>
            <w:r w:rsidR="00A85969">
              <w:br/>
            </w:r>
            <w:r w:rsidRPr="00642A6C">
              <w:t xml:space="preserve">a služeb s využitím pro cestovní ruch je prokazována vazby na projekty </w:t>
            </w:r>
            <w:proofErr w:type="spellStart"/>
            <w:r w:rsidRPr="00642A6C">
              <w:t>CzechTourism</w:t>
            </w:r>
            <w:proofErr w:type="spellEnd"/>
            <w:r w:rsidRPr="00642A6C">
              <w:t xml:space="preserve"> na základě uzavřených partnerských smluv. </w:t>
            </w:r>
          </w:p>
          <w:p w:rsidR="00A75862" w:rsidRPr="00642A6C" w:rsidRDefault="00A75862" w:rsidP="002338EB">
            <w:pPr>
              <w:jc w:val="both"/>
              <w:rPr>
                <w:b/>
                <w:bCs/>
                <w:i/>
                <w:iCs/>
              </w:rPr>
            </w:pPr>
            <w:r w:rsidRPr="00642A6C">
              <w:t xml:space="preserve">Projekty realizované v aktivitě e) propagace ČR jako destinace cestovního ruchu vykazují synergie mezi sebou. </w:t>
            </w:r>
          </w:p>
        </w:tc>
      </w:tr>
      <w:tr w:rsidR="00A75862" w:rsidRPr="004B2D6C" w:rsidTr="00B70C44">
        <w:tc>
          <w:tcPr>
            <w:tcW w:w="9104" w:type="dxa"/>
            <w:gridSpan w:val="8"/>
            <w:shd w:val="clear" w:color="auto" w:fill="C2D69B" w:themeFill="accent3" w:themeFillTint="99"/>
          </w:tcPr>
          <w:p w:rsidR="00A75862" w:rsidRPr="00642A6C" w:rsidRDefault="00A75862" w:rsidP="002338EB">
            <w:pPr>
              <w:rPr>
                <w:b/>
                <w:bCs/>
                <w:i/>
                <w:iCs/>
              </w:rPr>
            </w:pPr>
            <w:r w:rsidRPr="00642A6C">
              <w:rPr>
                <w:b/>
                <w:bCs/>
                <w:i/>
                <w:iCs/>
              </w:rPr>
              <w:t>Problémy a identifikovaná rizika při zajištění vazby řídícími orgány, přijatá opatření:</w:t>
            </w:r>
          </w:p>
        </w:tc>
      </w:tr>
      <w:tr w:rsidR="00A75862" w:rsidRPr="004B2D6C" w:rsidTr="00B70C44">
        <w:tc>
          <w:tcPr>
            <w:tcW w:w="9104" w:type="dxa"/>
            <w:gridSpan w:val="8"/>
          </w:tcPr>
          <w:p w:rsidR="00A75862" w:rsidRPr="00642A6C" w:rsidRDefault="00A75862" w:rsidP="002338EB">
            <w:r w:rsidRPr="00642A6C">
              <w:t xml:space="preserve">Nejsou identifikovány žádné problémy v této oblasti. </w:t>
            </w:r>
          </w:p>
          <w:p w:rsidR="00A75862" w:rsidRPr="00642A6C" w:rsidRDefault="00A75862" w:rsidP="002338EB"/>
        </w:tc>
      </w:tr>
      <w:tr w:rsidR="00A75862" w:rsidRPr="004B2D6C" w:rsidTr="00B70C44">
        <w:tc>
          <w:tcPr>
            <w:tcW w:w="9104" w:type="dxa"/>
            <w:gridSpan w:val="8"/>
            <w:shd w:val="clear" w:color="auto" w:fill="C2D69B" w:themeFill="accent3" w:themeFillTint="99"/>
          </w:tcPr>
          <w:p w:rsidR="00A75862" w:rsidRPr="00642A6C" w:rsidRDefault="00A75862" w:rsidP="002338EB">
            <w:pPr>
              <w:rPr>
                <w:b/>
                <w:bCs/>
                <w:i/>
                <w:iCs/>
              </w:rPr>
            </w:pPr>
            <w:r w:rsidRPr="00642A6C">
              <w:rPr>
                <w:b/>
                <w:bCs/>
                <w:i/>
                <w:iCs/>
              </w:rPr>
              <w:t xml:space="preserve">Náměty na jednání koordinačního výboru/tematického </w:t>
            </w:r>
            <w:proofErr w:type="spellStart"/>
            <w:r w:rsidRPr="00642A6C">
              <w:rPr>
                <w:b/>
                <w:bCs/>
                <w:i/>
                <w:iCs/>
              </w:rPr>
              <w:t>mikrotýmu</w:t>
            </w:r>
            <w:proofErr w:type="spellEnd"/>
            <w:r w:rsidRPr="00642A6C">
              <w:rPr>
                <w:b/>
                <w:bCs/>
                <w:i/>
                <w:iCs/>
              </w:rPr>
              <w:t>:</w:t>
            </w:r>
          </w:p>
        </w:tc>
      </w:tr>
      <w:tr w:rsidR="00A75862" w:rsidRPr="004B2D6C" w:rsidTr="00B70C44">
        <w:tc>
          <w:tcPr>
            <w:tcW w:w="9104" w:type="dxa"/>
            <w:gridSpan w:val="8"/>
          </w:tcPr>
          <w:p w:rsidR="00A75862" w:rsidRPr="00642A6C" w:rsidRDefault="00A75862" w:rsidP="002338EB"/>
          <w:p w:rsidR="00A75862" w:rsidRPr="00642A6C" w:rsidRDefault="00A75862" w:rsidP="002338EB"/>
        </w:tc>
      </w:tr>
      <w:tr w:rsidR="00A75862" w:rsidRPr="004B2D6C" w:rsidTr="00B70C44">
        <w:tc>
          <w:tcPr>
            <w:tcW w:w="9104" w:type="dxa"/>
            <w:gridSpan w:val="8"/>
            <w:shd w:val="clear" w:color="auto" w:fill="C2D69B" w:themeFill="accent3" w:themeFillTint="99"/>
          </w:tcPr>
          <w:p w:rsidR="00A75862" w:rsidRPr="00642A6C" w:rsidRDefault="00A75862" w:rsidP="002338EB">
            <w:pPr>
              <w:rPr>
                <w:b/>
                <w:bCs/>
                <w:i/>
                <w:iCs/>
              </w:rPr>
            </w:pPr>
            <w:r w:rsidRPr="00642A6C">
              <w:rPr>
                <w:b/>
                <w:bCs/>
                <w:i/>
                <w:iCs/>
              </w:rPr>
              <w:t>Další poznámky:</w:t>
            </w:r>
          </w:p>
        </w:tc>
      </w:tr>
      <w:tr w:rsidR="00A75862" w:rsidRPr="004B2D6C" w:rsidTr="00B70C44">
        <w:tc>
          <w:tcPr>
            <w:tcW w:w="9104" w:type="dxa"/>
            <w:gridSpan w:val="8"/>
          </w:tcPr>
          <w:p w:rsidR="00A75862" w:rsidRPr="00642A6C" w:rsidRDefault="00A75862" w:rsidP="002338EB"/>
          <w:p w:rsidR="00A75862" w:rsidRPr="00642A6C" w:rsidRDefault="00A75862" w:rsidP="002338EB"/>
        </w:tc>
      </w:tr>
      <w:tr w:rsidR="00A75862" w:rsidRPr="004B2D6C" w:rsidTr="00B70C44">
        <w:tc>
          <w:tcPr>
            <w:tcW w:w="9104" w:type="dxa"/>
            <w:gridSpan w:val="8"/>
            <w:shd w:val="clear" w:color="auto" w:fill="F3F3F3"/>
          </w:tcPr>
          <w:p w:rsidR="00A75862" w:rsidRPr="00642A6C" w:rsidRDefault="00A75862" w:rsidP="002338EB">
            <w:pPr>
              <w:rPr>
                <w:b/>
                <w:bCs/>
              </w:rPr>
            </w:pPr>
            <w:r w:rsidRPr="00642A6C">
              <w:rPr>
                <w:b/>
                <w:bCs/>
              </w:rPr>
              <w:t>Vypracoval: ŘO IOP</w:t>
            </w:r>
          </w:p>
        </w:tc>
      </w:tr>
    </w:tbl>
    <w:p w:rsidR="00A75862" w:rsidRDefault="00A75862" w:rsidP="002338EB"/>
    <w:p w:rsidR="00A75862" w:rsidRPr="00E05AE9" w:rsidRDefault="00A75862" w:rsidP="00A664CB">
      <w:pPr>
        <w:rPr>
          <w:sz w:val="22"/>
          <w:szCs w:val="22"/>
        </w:rPr>
      </w:pPr>
    </w:p>
    <w:p w:rsidR="00A75862" w:rsidRDefault="00A75862" w:rsidP="00A664CB">
      <w:pPr>
        <w:tabs>
          <w:tab w:val="left" w:pos="8931"/>
        </w:tabs>
        <w:snapToGrid w:val="0"/>
        <w:spacing w:line="312" w:lineRule="auto"/>
        <w:jc w:val="both"/>
      </w:pPr>
    </w:p>
    <w:p w:rsidR="00A75862" w:rsidRDefault="00A75862" w:rsidP="00A664CB">
      <w:pPr>
        <w:tabs>
          <w:tab w:val="left" w:pos="8931"/>
        </w:tabs>
        <w:snapToGrid w:val="0"/>
        <w:spacing w:line="312" w:lineRule="auto"/>
        <w:jc w:val="both"/>
      </w:pPr>
    </w:p>
    <w:p w:rsidR="00A75862" w:rsidRDefault="00A75862" w:rsidP="00A664CB">
      <w:pPr>
        <w:tabs>
          <w:tab w:val="left" w:pos="8931"/>
        </w:tabs>
        <w:snapToGrid w:val="0"/>
        <w:spacing w:line="312" w:lineRule="auto"/>
        <w:jc w:val="both"/>
      </w:pPr>
    </w:p>
    <w:p w:rsidR="00642A6C" w:rsidRDefault="00642A6C" w:rsidP="00A90096">
      <w:pPr>
        <w:jc w:val="center"/>
        <w:rPr>
          <w:b/>
          <w:bCs/>
          <w:smallCaps/>
          <w:sz w:val="24"/>
          <w:szCs w:val="24"/>
        </w:rPr>
      </w:pPr>
    </w:p>
    <w:p w:rsidR="00A90096" w:rsidRPr="0069586A" w:rsidRDefault="00A90096" w:rsidP="00A90096">
      <w:pPr>
        <w:jc w:val="center"/>
        <w:rPr>
          <w:b/>
          <w:bCs/>
          <w:smallCaps/>
          <w:sz w:val="24"/>
          <w:szCs w:val="24"/>
        </w:rPr>
      </w:pPr>
      <w:r w:rsidRPr="0069586A">
        <w:rPr>
          <w:b/>
          <w:bCs/>
          <w:smallCaps/>
          <w:sz w:val="24"/>
          <w:szCs w:val="24"/>
        </w:rPr>
        <w:lastRenderedPageBreak/>
        <w:t xml:space="preserve">formulář </w:t>
      </w:r>
      <w:r>
        <w:rPr>
          <w:b/>
          <w:bCs/>
          <w:smallCaps/>
          <w:sz w:val="24"/>
          <w:szCs w:val="24"/>
        </w:rPr>
        <w:t xml:space="preserve">č. 5 – využití potenciálu kulturního dědictví </w:t>
      </w:r>
    </w:p>
    <w:p w:rsidR="00A90096" w:rsidRDefault="00A90096" w:rsidP="00A90096">
      <w:pPr>
        <w:rPr>
          <w:b/>
          <w:sz w:val="28"/>
          <w:szCs w:val="28"/>
        </w:rPr>
      </w:pPr>
      <w:r w:rsidRPr="00642A6C">
        <w:rPr>
          <w:b/>
          <w:bCs/>
          <w:smallCaps/>
          <w:sz w:val="22"/>
          <w:szCs w:val="22"/>
        </w:rPr>
        <w:t>Zpracovatel podkladu: Řídící orgán IOP</w:t>
      </w:r>
    </w:p>
    <w:tbl>
      <w:tblPr>
        <w:tblW w:w="9072"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Look w:val="01E0" w:firstRow="1" w:lastRow="1" w:firstColumn="1" w:lastColumn="1" w:noHBand="0" w:noVBand="0"/>
      </w:tblPr>
      <w:tblGrid>
        <w:gridCol w:w="567"/>
        <w:gridCol w:w="1701"/>
        <w:gridCol w:w="1535"/>
        <w:gridCol w:w="308"/>
        <w:gridCol w:w="992"/>
        <w:gridCol w:w="993"/>
        <w:gridCol w:w="1275"/>
        <w:gridCol w:w="1701"/>
      </w:tblGrid>
      <w:tr w:rsidR="00D76BEF" w:rsidRPr="00DD3ABB" w:rsidTr="004C144E">
        <w:tc>
          <w:tcPr>
            <w:tcW w:w="3803" w:type="dxa"/>
            <w:gridSpan w:val="3"/>
            <w:shd w:val="clear" w:color="auto" w:fill="C2D69B" w:themeFill="accent3" w:themeFillTint="99"/>
          </w:tcPr>
          <w:p w:rsidR="00D76BEF" w:rsidRPr="00642A6C" w:rsidRDefault="00D76BEF" w:rsidP="00E61550">
            <w:pPr>
              <w:rPr>
                <w:b/>
                <w:bCs/>
              </w:rPr>
            </w:pPr>
            <w:r w:rsidRPr="00642A6C">
              <w:rPr>
                <w:b/>
                <w:bCs/>
              </w:rPr>
              <w:t>Zpracovatel formuláře:</w:t>
            </w:r>
          </w:p>
        </w:tc>
        <w:tc>
          <w:tcPr>
            <w:tcW w:w="5269" w:type="dxa"/>
            <w:gridSpan w:val="5"/>
            <w:shd w:val="clear" w:color="auto" w:fill="C2D69B" w:themeFill="accent3" w:themeFillTint="99"/>
          </w:tcPr>
          <w:p w:rsidR="00D76BEF" w:rsidRPr="00642A6C" w:rsidRDefault="00D76BEF" w:rsidP="00E61550">
            <w:pPr>
              <w:rPr>
                <w:i/>
                <w:iCs/>
              </w:rPr>
            </w:pPr>
            <w:r w:rsidRPr="00642A6C">
              <w:rPr>
                <w:i/>
                <w:iCs/>
              </w:rPr>
              <w:t>Řídící orgán IOP</w:t>
            </w:r>
          </w:p>
        </w:tc>
      </w:tr>
      <w:tr w:rsidR="00D76BEF" w:rsidRPr="00DD3ABB" w:rsidTr="004C144E">
        <w:tc>
          <w:tcPr>
            <w:tcW w:w="3803" w:type="dxa"/>
            <w:gridSpan w:val="3"/>
            <w:shd w:val="clear" w:color="auto" w:fill="C2D69B" w:themeFill="accent3" w:themeFillTint="99"/>
          </w:tcPr>
          <w:p w:rsidR="00D76BEF" w:rsidRPr="00642A6C" w:rsidRDefault="00D76BEF" w:rsidP="00E61550">
            <w:pPr>
              <w:rPr>
                <w:b/>
                <w:bCs/>
              </w:rPr>
            </w:pPr>
            <w:r w:rsidRPr="00642A6C">
              <w:rPr>
                <w:b/>
                <w:bCs/>
              </w:rPr>
              <w:t>Tematická oblast*:</w:t>
            </w:r>
          </w:p>
        </w:tc>
        <w:tc>
          <w:tcPr>
            <w:tcW w:w="5269" w:type="dxa"/>
            <w:gridSpan w:val="5"/>
            <w:shd w:val="clear" w:color="auto" w:fill="C2D69B" w:themeFill="accent3" w:themeFillTint="99"/>
          </w:tcPr>
          <w:p w:rsidR="00D76BEF" w:rsidRPr="00642A6C" w:rsidRDefault="00D76BEF" w:rsidP="00E61550">
            <w:pPr>
              <w:rPr>
                <w:b/>
                <w:bCs/>
                <w:i/>
                <w:iCs/>
              </w:rPr>
            </w:pPr>
            <w:r w:rsidRPr="00642A6C">
              <w:rPr>
                <w:b/>
                <w:bCs/>
                <w:i/>
                <w:iCs/>
              </w:rPr>
              <w:t>Národní podpora územního rozvoje</w:t>
            </w:r>
          </w:p>
        </w:tc>
      </w:tr>
      <w:tr w:rsidR="00D76BEF" w:rsidRPr="00DD3ABB" w:rsidTr="004C144E">
        <w:tc>
          <w:tcPr>
            <w:tcW w:w="3803" w:type="dxa"/>
            <w:gridSpan w:val="3"/>
            <w:vAlign w:val="center"/>
          </w:tcPr>
          <w:p w:rsidR="00D76BEF" w:rsidRPr="00642A6C" w:rsidRDefault="00D76BEF" w:rsidP="00E61550">
            <w:r w:rsidRPr="00642A6C">
              <w:t>Synergické oblasti podpory OP/ROP1*</w:t>
            </w:r>
            <w:r w:rsidRPr="00642A6C">
              <w:rPr>
                <w:b/>
                <w:bCs/>
                <w:u w:val="single"/>
              </w:rPr>
              <w:t xml:space="preserve">                      </w:t>
            </w:r>
            <w:r w:rsidRPr="00642A6C">
              <w:rPr>
                <w:b/>
                <w:bCs/>
              </w:rPr>
              <w:t xml:space="preserve">IOP/ROP    </w:t>
            </w:r>
            <w:r w:rsidRPr="00642A6C">
              <w:t xml:space="preserve">      :</w:t>
            </w:r>
          </w:p>
        </w:tc>
        <w:tc>
          <w:tcPr>
            <w:tcW w:w="5269" w:type="dxa"/>
            <w:gridSpan w:val="5"/>
          </w:tcPr>
          <w:p w:rsidR="00D76BEF" w:rsidRPr="00642A6C" w:rsidRDefault="00D76BEF" w:rsidP="00E61550">
            <w:pPr>
              <w:rPr>
                <w:i/>
                <w:iCs/>
              </w:rPr>
            </w:pPr>
            <w:r w:rsidRPr="00642A6C">
              <w:rPr>
                <w:i/>
                <w:iCs/>
              </w:rPr>
              <w:t>(názvy oblastí podpory* OP/ROP1)</w:t>
            </w:r>
          </w:p>
          <w:p w:rsidR="00D76BEF" w:rsidRPr="00642A6C" w:rsidRDefault="00D76BEF" w:rsidP="00E61550">
            <w:pPr>
              <w:rPr>
                <w:i/>
                <w:iCs/>
              </w:rPr>
            </w:pPr>
            <w:r w:rsidRPr="00642A6C">
              <w:rPr>
                <w:i/>
                <w:iCs/>
              </w:rPr>
              <w:t>5.1 Národní podpora využití potenciálu kulturního dědictví</w:t>
            </w:r>
          </w:p>
        </w:tc>
      </w:tr>
      <w:tr w:rsidR="00D76BEF" w:rsidRPr="00DD3ABB" w:rsidTr="004C144E">
        <w:trPr>
          <w:trHeight w:val="328"/>
        </w:trPr>
        <w:tc>
          <w:tcPr>
            <w:tcW w:w="3803" w:type="dxa"/>
            <w:gridSpan w:val="3"/>
            <w:vAlign w:val="center"/>
          </w:tcPr>
          <w:p w:rsidR="00D76BEF" w:rsidRPr="00642A6C" w:rsidRDefault="00D76BEF" w:rsidP="00E61550">
            <w:r w:rsidRPr="00642A6C">
              <w:t>Návaznost na oblasti podpory OP/ROP2*</w:t>
            </w:r>
            <w:r w:rsidRPr="00642A6C">
              <w:rPr>
                <w:b/>
                <w:bCs/>
                <w:u w:val="single"/>
              </w:rPr>
              <w:t xml:space="preserve">                               </w:t>
            </w:r>
            <w:r w:rsidRPr="00642A6C">
              <w:rPr>
                <w:b/>
                <w:bCs/>
              </w:rPr>
              <w:t xml:space="preserve"> </w:t>
            </w:r>
            <w:r w:rsidRPr="00642A6C">
              <w:t>:</w:t>
            </w:r>
          </w:p>
        </w:tc>
        <w:tc>
          <w:tcPr>
            <w:tcW w:w="5269" w:type="dxa"/>
            <w:gridSpan w:val="5"/>
          </w:tcPr>
          <w:p w:rsidR="00D76BEF" w:rsidRPr="00642A6C" w:rsidRDefault="00D76BEF" w:rsidP="00E61550">
            <w:pPr>
              <w:rPr>
                <w:i/>
                <w:iCs/>
              </w:rPr>
            </w:pPr>
            <w:r w:rsidRPr="00642A6C">
              <w:rPr>
                <w:i/>
                <w:iCs/>
              </w:rPr>
              <w:t>(názvy oblastí podpory* OP/ROP2)místně příslušné Regionální operační programy</w:t>
            </w:r>
          </w:p>
        </w:tc>
      </w:tr>
      <w:tr w:rsidR="00D76BEF" w:rsidRPr="00DD3ABB" w:rsidTr="004C144E">
        <w:tc>
          <w:tcPr>
            <w:tcW w:w="3803" w:type="dxa"/>
            <w:gridSpan w:val="3"/>
            <w:vAlign w:val="center"/>
          </w:tcPr>
          <w:p w:rsidR="00D76BEF" w:rsidRPr="00642A6C" w:rsidRDefault="00D76BEF" w:rsidP="00E61550">
            <w:r w:rsidRPr="00642A6C">
              <w:t>Je uzavřena dohoda o spolupráci mezi ŘO (PP) a ŘO (NP):</w:t>
            </w:r>
          </w:p>
        </w:tc>
        <w:tc>
          <w:tcPr>
            <w:tcW w:w="5269" w:type="dxa"/>
            <w:gridSpan w:val="5"/>
            <w:vAlign w:val="center"/>
          </w:tcPr>
          <w:p w:rsidR="00D76BEF" w:rsidRPr="00642A6C" w:rsidRDefault="00D76BEF" w:rsidP="00E61550">
            <w:r w:rsidRPr="00642A6C">
              <w:t>ANO /</w:t>
            </w:r>
          </w:p>
        </w:tc>
      </w:tr>
      <w:tr w:rsidR="00D76BEF" w:rsidRPr="00DD3ABB" w:rsidTr="004C144E">
        <w:tc>
          <w:tcPr>
            <w:tcW w:w="9072" w:type="dxa"/>
            <w:gridSpan w:val="8"/>
            <w:shd w:val="clear" w:color="auto" w:fill="C2D69B" w:themeFill="accent3" w:themeFillTint="99"/>
          </w:tcPr>
          <w:p w:rsidR="00D76BEF" w:rsidRPr="00642A6C" w:rsidRDefault="00D76BEF" w:rsidP="00E61550">
            <w:pPr>
              <w:rPr>
                <w:i/>
                <w:iCs/>
              </w:rPr>
            </w:pPr>
            <w:r w:rsidRPr="00642A6C">
              <w:rPr>
                <w:b/>
                <w:bCs/>
                <w:i/>
                <w:iCs/>
              </w:rPr>
              <w:t xml:space="preserve">Zhodnocení fungování koordinačních mechanismů mezi ŘO(PP) a ŘO (NP) nastavených v dohodách mezi ŘO/v programové dokumentaci/dalších koordinačních mechanismů, vč. popisu formy </w:t>
            </w:r>
            <w:r w:rsidRPr="00642A6C">
              <w:rPr>
                <w:i/>
                <w:iCs/>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D76BEF" w:rsidRPr="00DD3ABB" w:rsidTr="004C144E">
        <w:trPr>
          <w:trHeight w:val="648"/>
        </w:trPr>
        <w:tc>
          <w:tcPr>
            <w:tcW w:w="9072" w:type="dxa"/>
            <w:gridSpan w:val="8"/>
          </w:tcPr>
          <w:p w:rsidR="00D76BEF" w:rsidRPr="00642A6C" w:rsidRDefault="00D76BEF" w:rsidP="00E61550"/>
          <w:p w:rsidR="00D76BEF" w:rsidRPr="00642A6C" w:rsidRDefault="00D76BEF" w:rsidP="00E61550"/>
        </w:tc>
      </w:tr>
      <w:tr w:rsidR="00D76BEF" w:rsidRPr="00DD3ABB" w:rsidTr="004C144E">
        <w:trPr>
          <w:trHeight w:val="66"/>
        </w:trPr>
        <w:tc>
          <w:tcPr>
            <w:tcW w:w="9072" w:type="dxa"/>
            <w:gridSpan w:val="8"/>
            <w:shd w:val="clear" w:color="auto" w:fill="C2D69B" w:themeFill="accent3" w:themeFillTint="99"/>
          </w:tcPr>
          <w:p w:rsidR="00D76BEF" w:rsidRPr="00642A6C" w:rsidRDefault="00D76BEF" w:rsidP="00E61550">
            <w:pPr>
              <w:autoSpaceDE w:val="0"/>
              <w:autoSpaceDN w:val="0"/>
              <w:adjustRightInd w:val="0"/>
              <w:rPr>
                <w:rFonts w:eastAsia="SimSun"/>
                <w:lang w:eastAsia="zh-CN"/>
              </w:rPr>
            </w:pPr>
            <w:r w:rsidRPr="00642A6C">
              <w:rPr>
                <w:rFonts w:eastAsia="SimSun"/>
                <w:b/>
                <w:bCs/>
                <w:i/>
                <w:iCs/>
                <w:lang w:eastAsia="zh-CN"/>
              </w:rPr>
              <w:t>Přehled synergických projektů naplňujících danou vazbu – sestava MSC2007 221, v případě, že se nevyužívá ke sledování všech synergických vazeb systém MSC2007, uvede se vlastní evidence synergických projektů</w:t>
            </w:r>
          </w:p>
        </w:tc>
      </w:tr>
      <w:tr w:rsidR="00D76BEF" w:rsidRPr="00DD3ABB" w:rsidTr="004C144E">
        <w:trPr>
          <w:trHeight w:val="66"/>
        </w:trPr>
        <w:tc>
          <w:tcPr>
            <w:tcW w:w="9072" w:type="dxa"/>
            <w:gridSpan w:val="8"/>
          </w:tcPr>
          <w:p w:rsidR="00D76BEF" w:rsidRPr="00642A6C" w:rsidRDefault="00D76BEF" w:rsidP="00E61550">
            <w:pPr>
              <w:autoSpaceDE w:val="0"/>
              <w:autoSpaceDN w:val="0"/>
              <w:adjustRightInd w:val="0"/>
              <w:rPr>
                <w:rFonts w:eastAsia="SimSun"/>
                <w:lang w:eastAsia="zh-CN"/>
              </w:rPr>
            </w:pPr>
            <w:r w:rsidRPr="00642A6C">
              <w:rPr>
                <w:rFonts w:eastAsia="SimSun"/>
                <w:lang w:eastAsia="zh-CN"/>
              </w:rPr>
              <w:t>Výběrová kritéria: Program = OP/</w:t>
            </w:r>
            <w:r w:rsidRPr="00642A6C">
              <w:rPr>
                <w:rFonts w:eastAsia="SimSun"/>
                <w:i/>
                <w:iCs/>
                <w:lang w:eastAsia="zh-CN"/>
              </w:rPr>
              <w:t>ROP1</w:t>
            </w:r>
          </w:p>
        </w:tc>
      </w:tr>
      <w:tr w:rsidR="00D76BEF" w:rsidRPr="00DD3ABB" w:rsidTr="004C144E">
        <w:trPr>
          <w:trHeight w:val="81"/>
        </w:trPr>
        <w:tc>
          <w:tcPr>
            <w:tcW w:w="567" w:type="dxa"/>
            <w:vAlign w:val="center"/>
          </w:tcPr>
          <w:p w:rsidR="00D76BEF" w:rsidRPr="00A85969" w:rsidRDefault="00D76BEF" w:rsidP="00E61550">
            <w:pPr>
              <w:jc w:val="center"/>
              <w:rPr>
                <w:sz w:val="18"/>
                <w:szCs w:val="18"/>
              </w:rPr>
            </w:pPr>
            <w:r w:rsidRPr="00A85969">
              <w:rPr>
                <w:sz w:val="18"/>
                <w:szCs w:val="18"/>
              </w:rPr>
              <w:t>Pořadové č.</w:t>
            </w:r>
          </w:p>
        </w:tc>
        <w:tc>
          <w:tcPr>
            <w:tcW w:w="1701" w:type="dxa"/>
            <w:vAlign w:val="center"/>
          </w:tcPr>
          <w:p w:rsidR="00D76BEF" w:rsidRPr="00A85969" w:rsidRDefault="00D76BEF" w:rsidP="00E61550">
            <w:pPr>
              <w:jc w:val="center"/>
              <w:rPr>
                <w:sz w:val="18"/>
                <w:szCs w:val="18"/>
              </w:rPr>
            </w:pPr>
            <w:r w:rsidRPr="00A85969">
              <w:rPr>
                <w:sz w:val="18"/>
                <w:szCs w:val="18"/>
              </w:rPr>
              <w:t xml:space="preserve">Č. </w:t>
            </w:r>
            <w:proofErr w:type="spellStart"/>
            <w:r w:rsidRPr="00A85969">
              <w:rPr>
                <w:sz w:val="18"/>
                <w:szCs w:val="18"/>
              </w:rPr>
              <w:t>synerg</w:t>
            </w:r>
            <w:proofErr w:type="spellEnd"/>
            <w:r w:rsidRPr="00A85969">
              <w:rPr>
                <w:sz w:val="18"/>
                <w:szCs w:val="18"/>
              </w:rPr>
              <w:t>. projektu OP/ROP1 (PP, NP)</w:t>
            </w:r>
          </w:p>
        </w:tc>
        <w:tc>
          <w:tcPr>
            <w:tcW w:w="1843" w:type="dxa"/>
            <w:gridSpan w:val="2"/>
            <w:vAlign w:val="center"/>
          </w:tcPr>
          <w:p w:rsidR="00D76BEF" w:rsidRPr="00A85969" w:rsidRDefault="00D76BEF" w:rsidP="00E61550">
            <w:pPr>
              <w:jc w:val="center"/>
              <w:rPr>
                <w:sz w:val="18"/>
                <w:szCs w:val="18"/>
              </w:rPr>
            </w:pPr>
            <w:r w:rsidRPr="00A85969">
              <w:rPr>
                <w:sz w:val="18"/>
                <w:szCs w:val="18"/>
              </w:rPr>
              <w:t>Název projektu OP/ROP1</w:t>
            </w:r>
          </w:p>
        </w:tc>
        <w:tc>
          <w:tcPr>
            <w:tcW w:w="992" w:type="dxa"/>
            <w:vAlign w:val="center"/>
          </w:tcPr>
          <w:p w:rsidR="00D76BEF" w:rsidRPr="00A85969" w:rsidRDefault="00D76BEF" w:rsidP="00E61550">
            <w:pPr>
              <w:jc w:val="center"/>
              <w:rPr>
                <w:sz w:val="18"/>
                <w:szCs w:val="18"/>
              </w:rPr>
            </w:pPr>
            <w:r w:rsidRPr="00A85969">
              <w:rPr>
                <w:sz w:val="18"/>
                <w:szCs w:val="18"/>
              </w:rPr>
              <w:t>Popis synergie</w:t>
            </w:r>
          </w:p>
        </w:tc>
        <w:tc>
          <w:tcPr>
            <w:tcW w:w="993" w:type="dxa"/>
            <w:vAlign w:val="center"/>
          </w:tcPr>
          <w:p w:rsidR="00D76BEF" w:rsidRPr="00A85969" w:rsidRDefault="00D76BEF" w:rsidP="00E61550">
            <w:pPr>
              <w:jc w:val="center"/>
              <w:rPr>
                <w:sz w:val="18"/>
                <w:szCs w:val="18"/>
              </w:rPr>
            </w:pPr>
            <w:r w:rsidRPr="00A85969">
              <w:rPr>
                <w:sz w:val="18"/>
                <w:szCs w:val="18"/>
              </w:rPr>
              <w:t>Přiřazený kód synergie</w:t>
            </w:r>
          </w:p>
        </w:tc>
        <w:tc>
          <w:tcPr>
            <w:tcW w:w="1275" w:type="dxa"/>
            <w:vAlign w:val="center"/>
          </w:tcPr>
          <w:p w:rsidR="00D76BEF" w:rsidRPr="00A85969" w:rsidRDefault="00D76BEF" w:rsidP="00E61550">
            <w:pPr>
              <w:jc w:val="center"/>
              <w:rPr>
                <w:sz w:val="18"/>
                <w:szCs w:val="18"/>
              </w:rPr>
            </w:pPr>
            <w:r w:rsidRPr="00A85969">
              <w:rPr>
                <w:sz w:val="18"/>
                <w:szCs w:val="18"/>
              </w:rPr>
              <w:t xml:space="preserve">Č. </w:t>
            </w:r>
            <w:proofErr w:type="spellStart"/>
            <w:r w:rsidRPr="00A85969">
              <w:rPr>
                <w:sz w:val="18"/>
                <w:szCs w:val="18"/>
              </w:rPr>
              <w:t>synerg</w:t>
            </w:r>
            <w:proofErr w:type="spellEnd"/>
            <w:r w:rsidRPr="00A85969">
              <w:rPr>
                <w:sz w:val="18"/>
                <w:szCs w:val="18"/>
              </w:rPr>
              <w:t>. projektu OP/ROP2</w:t>
            </w:r>
          </w:p>
        </w:tc>
        <w:tc>
          <w:tcPr>
            <w:tcW w:w="1701" w:type="dxa"/>
            <w:vAlign w:val="center"/>
          </w:tcPr>
          <w:p w:rsidR="00D76BEF" w:rsidRPr="00A85969" w:rsidRDefault="00D76BEF" w:rsidP="00E61550">
            <w:pPr>
              <w:jc w:val="center"/>
              <w:rPr>
                <w:sz w:val="18"/>
                <w:szCs w:val="18"/>
              </w:rPr>
            </w:pPr>
            <w:r w:rsidRPr="00A85969">
              <w:rPr>
                <w:sz w:val="18"/>
                <w:szCs w:val="18"/>
              </w:rPr>
              <w:t>Název projektu OP/ROP2</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t>1</w:t>
            </w:r>
          </w:p>
        </w:tc>
        <w:tc>
          <w:tcPr>
            <w:tcW w:w="1701" w:type="dxa"/>
            <w:vAlign w:val="center"/>
          </w:tcPr>
          <w:p w:rsidR="00D76BEF" w:rsidRPr="00A85969" w:rsidRDefault="00D76BEF" w:rsidP="00E61550">
            <w:pPr>
              <w:rPr>
                <w:sz w:val="18"/>
                <w:szCs w:val="18"/>
              </w:rPr>
            </w:pPr>
            <w:r w:rsidRPr="00A85969">
              <w:rPr>
                <w:sz w:val="18"/>
                <w:szCs w:val="18"/>
              </w:rPr>
              <w:t>CZ.1.06/5.1.00/01/06156</w:t>
            </w:r>
          </w:p>
        </w:tc>
        <w:tc>
          <w:tcPr>
            <w:tcW w:w="1843" w:type="dxa"/>
            <w:gridSpan w:val="2"/>
            <w:vAlign w:val="center"/>
          </w:tcPr>
          <w:p w:rsidR="00D76BEF" w:rsidRPr="00A85969" w:rsidRDefault="00D76BEF" w:rsidP="00E61550">
            <w:pPr>
              <w:rPr>
                <w:sz w:val="18"/>
                <w:szCs w:val="18"/>
              </w:rPr>
            </w:pPr>
            <w:r w:rsidRPr="00A85969">
              <w:rPr>
                <w:sz w:val="18"/>
                <w:szCs w:val="18"/>
              </w:rPr>
              <w:t>Terezín - projekt oživení historických památek</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CZ.1.09/4.1.00/31.00770</w:t>
            </w:r>
          </w:p>
        </w:tc>
        <w:tc>
          <w:tcPr>
            <w:tcW w:w="1701" w:type="dxa"/>
            <w:vAlign w:val="center"/>
          </w:tcPr>
          <w:p w:rsidR="00D76BEF" w:rsidRPr="00A85969" w:rsidRDefault="00D76BEF" w:rsidP="00E61550">
            <w:pPr>
              <w:rPr>
                <w:sz w:val="18"/>
                <w:szCs w:val="18"/>
              </w:rPr>
            </w:pPr>
            <w:r w:rsidRPr="00A85969">
              <w:rPr>
                <w:sz w:val="18"/>
                <w:szCs w:val="18"/>
              </w:rPr>
              <w:t>Revitalizace přístupů k rekonstruovaným budovám v Terezíně</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t>2</w:t>
            </w:r>
          </w:p>
        </w:tc>
        <w:tc>
          <w:tcPr>
            <w:tcW w:w="1701" w:type="dxa"/>
            <w:vAlign w:val="center"/>
          </w:tcPr>
          <w:p w:rsidR="00D76BEF" w:rsidRPr="00A85969" w:rsidRDefault="00D76BEF" w:rsidP="00E61550">
            <w:pPr>
              <w:rPr>
                <w:sz w:val="18"/>
                <w:szCs w:val="18"/>
              </w:rPr>
            </w:pPr>
            <w:r w:rsidRPr="00A85969">
              <w:rPr>
                <w:sz w:val="18"/>
                <w:szCs w:val="18"/>
              </w:rPr>
              <w:t>CZ.1.06/5.1.00/01.05508</w:t>
            </w:r>
          </w:p>
        </w:tc>
        <w:tc>
          <w:tcPr>
            <w:tcW w:w="1843" w:type="dxa"/>
            <w:gridSpan w:val="2"/>
            <w:vAlign w:val="center"/>
          </w:tcPr>
          <w:p w:rsidR="00D76BEF" w:rsidRPr="00A85969" w:rsidRDefault="00D76BEF" w:rsidP="00E61550">
            <w:pPr>
              <w:rPr>
                <w:sz w:val="18"/>
                <w:szCs w:val="18"/>
              </w:rPr>
            </w:pPr>
            <w:r w:rsidRPr="00A85969">
              <w:rPr>
                <w:sz w:val="18"/>
                <w:szCs w:val="18"/>
              </w:rPr>
              <w:t>Vzorová obnova NKP Klášter premonstrátů Teplá</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 -</w:t>
            </w:r>
          </w:p>
        </w:tc>
        <w:tc>
          <w:tcPr>
            <w:tcW w:w="1701" w:type="dxa"/>
            <w:vAlign w:val="center"/>
          </w:tcPr>
          <w:p w:rsidR="00D76BEF" w:rsidRPr="00A85969" w:rsidRDefault="00D76BEF" w:rsidP="00E61550">
            <w:pPr>
              <w:rPr>
                <w:sz w:val="18"/>
                <w:szCs w:val="18"/>
              </w:rPr>
            </w:pPr>
            <w:r w:rsidRPr="00A85969">
              <w:rPr>
                <w:sz w:val="18"/>
                <w:szCs w:val="18"/>
              </w:rPr>
              <w:t> -</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t>3</w:t>
            </w:r>
          </w:p>
        </w:tc>
        <w:tc>
          <w:tcPr>
            <w:tcW w:w="1701" w:type="dxa"/>
            <w:vAlign w:val="center"/>
          </w:tcPr>
          <w:p w:rsidR="00D76BEF" w:rsidRPr="00A85969" w:rsidRDefault="00D76BEF" w:rsidP="00E61550">
            <w:pPr>
              <w:rPr>
                <w:sz w:val="18"/>
                <w:szCs w:val="18"/>
              </w:rPr>
            </w:pPr>
            <w:r w:rsidRPr="00A85969">
              <w:rPr>
                <w:sz w:val="18"/>
                <w:szCs w:val="18"/>
              </w:rPr>
              <w:t>CZ.1.06/5.1.00/01.05498</w:t>
            </w:r>
          </w:p>
        </w:tc>
        <w:tc>
          <w:tcPr>
            <w:tcW w:w="1843" w:type="dxa"/>
            <w:gridSpan w:val="2"/>
            <w:vAlign w:val="center"/>
          </w:tcPr>
          <w:p w:rsidR="00D76BEF" w:rsidRPr="00A85969" w:rsidRDefault="00D76BEF" w:rsidP="00E61550">
            <w:pPr>
              <w:rPr>
                <w:sz w:val="18"/>
                <w:szCs w:val="18"/>
              </w:rPr>
            </w:pPr>
            <w:r w:rsidRPr="00A85969">
              <w:rPr>
                <w:sz w:val="18"/>
                <w:szCs w:val="18"/>
              </w:rPr>
              <w:t>Zpřístupnění a nové využití NKP Vítkovice</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CZ.1.10/2.2.00/10.01160</w:t>
            </w:r>
          </w:p>
        </w:tc>
        <w:tc>
          <w:tcPr>
            <w:tcW w:w="1701" w:type="dxa"/>
            <w:vAlign w:val="center"/>
          </w:tcPr>
          <w:p w:rsidR="00D76BEF" w:rsidRPr="00A85969" w:rsidRDefault="00D76BEF" w:rsidP="00E61550">
            <w:pPr>
              <w:rPr>
                <w:sz w:val="18"/>
                <w:szCs w:val="18"/>
              </w:rPr>
            </w:pPr>
            <w:r w:rsidRPr="00A85969">
              <w:rPr>
                <w:sz w:val="18"/>
                <w:szCs w:val="18"/>
              </w:rPr>
              <w:t>Doprovodná infrastruktura</w:t>
            </w:r>
            <w:r w:rsidRPr="00A85969">
              <w:rPr>
                <w:sz w:val="18"/>
                <w:szCs w:val="18"/>
              </w:rPr>
              <w:br/>
              <w:t>cestovního ruchu pro NKP</w:t>
            </w:r>
            <w:r w:rsidRPr="00A85969">
              <w:rPr>
                <w:sz w:val="18"/>
                <w:szCs w:val="18"/>
              </w:rPr>
              <w:br/>
              <w:t>Vítkovice</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t>4</w:t>
            </w:r>
          </w:p>
        </w:tc>
        <w:tc>
          <w:tcPr>
            <w:tcW w:w="1701" w:type="dxa"/>
            <w:vAlign w:val="center"/>
          </w:tcPr>
          <w:p w:rsidR="00D76BEF" w:rsidRPr="00A85969" w:rsidRDefault="00D76BEF" w:rsidP="00E61550">
            <w:pPr>
              <w:rPr>
                <w:sz w:val="18"/>
                <w:szCs w:val="18"/>
              </w:rPr>
            </w:pPr>
            <w:r w:rsidRPr="00A85969">
              <w:rPr>
                <w:sz w:val="18"/>
                <w:szCs w:val="18"/>
              </w:rPr>
              <w:t>CZ.1.06/5.1.00/01.06135</w:t>
            </w:r>
          </w:p>
        </w:tc>
        <w:tc>
          <w:tcPr>
            <w:tcW w:w="1843" w:type="dxa"/>
            <w:gridSpan w:val="2"/>
            <w:vAlign w:val="center"/>
          </w:tcPr>
          <w:p w:rsidR="00D76BEF" w:rsidRPr="00A85969" w:rsidRDefault="00D76BEF" w:rsidP="00E61550">
            <w:pPr>
              <w:rPr>
                <w:sz w:val="18"/>
                <w:szCs w:val="18"/>
              </w:rPr>
            </w:pPr>
            <w:r w:rsidRPr="00A85969">
              <w:rPr>
                <w:sz w:val="18"/>
                <w:szCs w:val="18"/>
              </w:rPr>
              <w:t>Revitalizace zámeckého návrší v Litomyšli</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CZ.1.13/3.1.00/15.00844</w:t>
            </w:r>
          </w:p>
        </w:tc>
        <w:tc>
          <w:tcPr>
            <w:tcW w:w="1701" w:type="dxa"/>
            <w:vAlign w:val="center"/>
          </w:tcPr>
          <w:p w:rsidR="00D76BEF" w:rsidRPr="00A85969" w:rsidRDefault="00D76BEF" w:rsidP="00E61550">
            <w:pPr>
              <w:rPr>
                <w:sz w:val="18"/>
                <w:szCs w:val="18"/>
              </w:rPr>
            </w:pPr>
            <w:r w:rsidRPr="00A85969">
              <w:rPr>
                <w:sz w:val="18"/>
                <w:szCs w:val="18"/>
              </w:rPr>
              <w:t>Revitalizace historické budovy Regionálního muzea v Litomyšli</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t>5</w:t>
            </w:r>
          </w:p>
        </w:tc>
        <w:tc>
          <w:tcPr>
            <w:tcW w:w="1701" w:type="dxa"/>
            <w:vAlign w:val="center"/>
          </w:tcPr>
          <w:p w:rsidR="00D76BEF" w:rsidRPr="00A85969" w:rsidRDefault="00D76BEF" w:rsidP="00E61550">
            <w:pPr>
              <w:rPr>
                <w:sz w:val="18"/>
                <w:szCs w:val="18"/>
              </w:rPr>
            </w:pPr>
            <w:r w:rsidRPr="00A85969">
              <w:rPr>
                <w:sz w:val="18"/>
                <w:szCs w:val="18"/>
              </w:rPr>
              <w:t>CZ.1.06/5.1.00/01.06155</w:t>
            </w:r>
          </w:p>
        </w:tc>
        <w:tc>
          <w:tcPr>
            <w:tcW w:w="1843" w:type="dxa"/>
            <w:gridSpan w:val="2"/>
            <w:vAlign w:val="center"/>
          </w:tcPr>
          <w:p w:rsidR="00D76BEF" w:rsidRPr="00A85969" w:rsidRDefault="00D76BEF" w:rsidP="00E61550">
            <w:pPr>
              <w:rPr>
                <w:sz w:val="18"/>
                <w:szCs w:val="18"/>
              </w:rPr>
            </w:pPr>
            <w:r w:rsidRPr="00A85969">
              <w:rPr>
                <w:sz w:val="18"/>
                <w:szCs w:val="18"/>
              </w:rPr>
              <w:t>Kuks - Granátové jablko</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CZ.1.13/3.1.00/24.01133</w:t>
            </w:r>
          </w:p>
        </w:tc>
        <w:tc>
          <w:tcPr>
            <w:tcW w:w="1701" w:type="dxa"/>
            <w:vAlign w:val="center"/>
          </w:tcPr>
          <w:p w:rsidR="00D76BEF" w:rsidRPr="00A85969" w:rsidRDefault="00D76BEF" w:rsidP="00E61550">
            <w:pPr>
              <w:rPr>
                <w:sz w:val="18"/>
                <w:szCs w:val="18"/>
              </w:rPr>
            </w:pPr>
            <w:r w:rsidRPr="00A85969">
              <w:rPr>
                <w:sz w:val="18"/>
                <w:szCs w:val="18"/>
              </w:rPr>
              <w:t>Braunův kraj II.</w:t>
            </w:r>
          </w:p>
        </w:tc>
      </w:tr>
      <w:tr w:rsidR="00D76BEF" w:rsidRPr="00DD3ABB" w:rsidTr="00A85969">
        <w:trPr>
          <w:trHeight w:val="78"/>
        </w:trPr>
        <w:tc>
          <w:tcPr>
            <w:tcW w:w="567" w:type="dxa"/>
            <w:vAlign w:val="center"/>
          </w:tcPr>
          <w:p w:rsidR="00D76BEF" w:rsidRPr="00A85969" w:rsidRDefault="00D76BEF" w:rsidP="00A85969">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CZ.1.13/3.1.00/24.01130</w:t>
            </w:r>
          </w:p>
        </w:tc>
        <w:tc>
          <w:tcPr>
            <w:tcW w:w="1701" w:type="dxa"/>
            <w:vAlign w:val="center"/>
          </w:tcPr>
          <w:p w:rsidR="00D76BEF" w:rsidRPr="00A85969" w:rsidRDefault="00D76BEF" w:rsidP="00E61550">
            <w:pPr>
              <w:rPr>
                <w:sz w:val="18"/>
                <w:szCs w:val="18"/>
              </w:rPr>
            </w:pPr>
            <w:r w:rsidRPr="00A85969">
              <w:rPr>
                <w:sz w:val="18"/>
                <w:szCs w:val="18"/>
              </w:rPr>
              <w:t>Zajištění dostupnosti atraktivit CR v obci Kuks</w:t>
            </w:r>
          </w:p>
        </w:tc>
      </w:tr>
      <w:tr w:rsidR="00D76BEF" w:rsidRPr="00DD3ABB" w:rsidTr="00A85969">
        <w:trPr>
          <w:trHeight w:val="78"/>
        </w:trPr>
        <w:tc>
          <w:tcPr>
            <w:tcW w:w="567" w:type="dxa"/>
            <w:vAlign w:val="center"/>
          </w:tcPr>
          <w:p w:rsidR="00D76BEF" w:rsidRPr="00A85969" w:rsidRDefault="00D76BEF" w:rsidP="00A85969">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CZ.1.13/3.1.00/24.01132</w:t>
            </w:r>
          </w:p>
        </w:tc>
        <w:tc>
          <w:tcPr>
            <w:tcW w:w="1701" w:type="dxa"/>
            <w:vAlign w:val="center"/>
          </w:tcPr>
          <w:p w:rsidR="00D76BEF" w:rsidRPr="00A85969" w:rsidRDefault="00D76BEF" w:rsidP="00E61550">
            <w:pPr>
              <w:rPr>
                <w:sz w:val="18"/>
                <w:szCs w:val="18"/>
              </w:rPr>
            </w:pPr>
            <w:r w:rsidRPr="00A85969">
              <w:rPr>
                <w:sz w:val="18"/>
                <w:szCs w:val="18"/>
              </w:rPr>
              <w:t>ZOO Dvůr Králové a.s.</w:t>
            </w:r>
          </w:p>
        </w:tc>
      </w:tr>
      <w:tr w:rsidR="00D76BEF" w:rsidRPr="00DD3ABB" w:rsidTr="00A85969">
        <w:trPr>
          <w:trHeight w:val="78"/>
        </w:trPr>
        <w:tc>
          <w:tcPr>
            <w:tcW w:w="567" w:type="dxa"/>
            <w:vAlign w:val="center"/>
          </w:tcPr>
          <w:p w:rsidR="00D76BEF" w:rsidRPr="00A85969" w:rsidRDefault="00D76BEF" w:rsidP="00A85969">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CZ.1.13/3.1.00/24.01134</w:t>
            </w:r>
          </w:p>
        </w:tc>
        <w:tc>
          <w:tcPr>
            <w:tcW w:w="1701" w:type="dxa"/>
            <w:vAlign w:val="center"/>
          </w:tcPr>
          <w:p w:rsidR="00D76BEF" w:rsidRPr="00A85969" w:rsidRDefault="00D76BEF" w:rsidP="00E61550">
            <w:pPr>
              <w:rPr>
                <w:sz w:val="18"/>
                <w:szCs w:val="18"/>
              </w:rPr>
            </w:pPr>
            <w:proofErr w:type="spellStart"/>
            <w:r w:rsidRPr="00A85969">
              <w:rPr>
                <w:sz w:val="18"/>
                <w:szCs w:val="18"/>
              </w:rPr>
              <w:t>Rentzova</w:t>
            </w:r>
            <w:proofErr w:type="spellEnd"/>
            <w:r w:rsidRPr="00A85969">
              <w:rPr>
                <w:sz w:val="18"/>
                <w:szCs w:val="18"/>
              </w:rPr>
              <w:t xml:space="preserve"> barokní tiskárna a pouliční divadlo v Kuksu</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t>6</w:t>
            </w:r>
          </w:p>
        </w:tc>
        <w:tc>
          <w:tcPr>
            <w:tcW w:w="1701" w:type="dxa"/>
            <w:vAlign w:val="center"/>
          </w:tcPr>
          <w:p w:rsidR="00D76BEF" w:rsidRPr="00A85969" w:rsidRDefault="00D76BEF" w:rsidP="00E61550">
            <w:pPr>
              <w:rPr>
                <w:sz w:val="18"/>
                <w:szCs w:val="18"/>
              </w:rPr>
            </w:pPr>
            <w:r w:rsidRPr="00A85969">
              <w:rPr>
                <w:sz w:val="18"/>
                <w:szCs w:val="18"/>
              </w:rPr>
              <w:t>CZ.1.06/5.1.00/01.06095</w:t>
            </w:r>
          </w:p>
        </w:tc>
        <w:tc>
          <w:tcPr>
            <w:tcW w:w="1843" w:type="dxa"/>
            <w:gridSpan w:val="2"/>
            <w:vAlign w:val="center"/>
          </w:tcPr>
          <w:p w:rsidR="00D76BEF" w:rsidRPr="00A85969" w:rsidRDefault="00D76BEF" w:rsidP="00E61550">
            <w:pPr>
              <w:rPr>
                <w:sz w:val="18"/>
                <w:szCs w:val="18"/>
              </w:rPr>
            </w:pPr>
            <w:r w:rsidRPr="00A85969">
              <w:rPr>
                <w:sz w:val="18"/>
                <w:szCs w:val="18"/>
              </w:rPr>
              <w:t>Multifunkční centrum Zámecká jízdárna v Lednici</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CZ.1.11/2.1.00/02.00453</w:t>
            </w:r>
          </w:p>
        </w:tc>
        <w:tc>
          <w:tcPr>
            <w:tcW w:w="1701" w:type="dxa"/>
            <w:vAlign w:val="center"/>
          </w:tcPr>
          <w:p w:rsidR="00D76BEF" w:rsidRPr="00A85969" w:rsidRDefault="00D76BEF" w:rsidP="00E61550">
            <w:pPr>
              <w:rPr>
                <w:sz w:val="18"/>
                <w:szCs w:val="18"/>
              </w:rPr>
            </w:pPr>
            <w:r w:rsidRPr="00A85969">
              <w:rPr>
                <w:sz w:val="18"/>
                <w:szCs w:val="18"/>
              </w:rPr>
              <w:t>Rekonstrukce Zámeckého hotelu Lednice</w:t>
            </w:r>
          </w:p>
        </w:tc>
      </w:tr>
      <w:tr w:rsidR="00D76BEF" w:rsidRPr="00DD3ABB" w:rsidTr="004C144E">
        <w:trPr>
          <w:trHeight w:val="78"/>
        </w:trPr>
        <w:tc>
          <w:tcPr>
            <w:tcW w:w="567" w:type="dxa"/>
          </w:tcPr>
          <w:p w:rsidR="00D76BEF" w:rsidRPr="00A85969" w:rsidRDefault="00D76BEF" w:rsidP="00E61550">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CZ.1.11/2.2.00/02.00545</w:t>
            </w:r>
          </w:p>
        </w:tc>
        <w:tc>
          <w:tcPr>
            <w:tcW w:w="1701" w:type="dxa"/>
            <w:vAlign w:val="center"/>
          </w:tcPr>
          <w:p w:rsidR="00D76BEF" w:rsidRPr="00A85969" w:rsidRDefault="00D76BEF" w:rsidP="00E61550">
            <w:pPr>
              <w:rPr>
                <w:sz w:val="18"/>
                <w:szCs w:val="18"/>
              </w:rPr>
            </w:pPr>
            <w:r w:rsidRPr="00A85969">
              <w:rPr>
                <w:sz w:val="18"/>
                <w:szCs w:val="18"/>
              </w:rPr>
              <w:t>Tvorba a propagace produktů, realizace marketingové kampaně v turistické oblasti Pálava a LVA</w:t>
            </w:r>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642A6C" w:rsidRDefault="00D76BEF" w:rsidP="00E61550"/>
        </w:tc>
        <w:tc>
          <w:tcPr>
            <w:tcW w:w="1843" w:type="dxa"/>
            <w:gridSpan w:val="2"/>
            <w:vAlign w:val="center"/>
          </w:tcPr>
          <w:p w:rsidR="00D76BEF" w:rsidRPr="00642A6C" w:rsidRDefault="00D76BEF" w:rsidP="00E61550"/>
        </w:tc>
        <w:tc>
          <w:tcPr>
            <w:tcW w:w="992" w:type="dxa"/>
          </w:tcPr>
          <w:p w:rsidR="00D76BEF" w:rsidRPr="00642A6C" w:rsidRDefault="00D76BEF" w:rsidP="00E61550"/>
        </w:tc>
        <w:tc>
          <w:tcPr>
            <w:tcW w:w="993" w:type="dxa"/>
          </w:tcPr>
          <w:p w:rsidR="00D76BEF" w:rsidRPr="00642A6C" w:rsidRDefault="00D76BEF" w:rsidP="00E61550"/>
        </w:tc>
        <w:tc>
          <w:tcPr>
            <w:tcW w:w="1275" w:type="dxa"/>
            <w:vAlign w:val="center"/>
          </w:tcPr>
          <w:p w:rsidR="00D76BEF" w:rsidRPr="00642A6C" w:rsidRDefault="00D76BEF" w:rsidP="00E61550">
            <w:r w:rsidRPr="00642A6C">
              <w:t>CZ.1.11/2.2.00/01.00134</w:t>
            </w:r>
          </w:p>
        </w:tc>
        <w:tc>
          <w:tcPr>
            <w:tcW w:w="1701" w:type="dxa"/>
            <w:vAlign w:val="center"/>
          </w:tcPr>
          <w:p w:rsidR="00D76BEF" w:rsidRPr="00642A6C" w:rsidRDefault="00D76BEF" w:rsidP="00E61550">
            <w:r w:rsidRPr="00642A6C">
              <w:t xml:space="preserve">Turistický průvodce </w:t>
            </w:r>
            <w:r w:rsidRPr="00642A6C">
              <w:lastRenderedPageBreak/>
              <w:t>Podlužím a Hodonínskem</w:t>
            </w:r>
          </w:p>
        </w:tc>
      </w:tr>
      <w:tr w:rsidR="00D76BEF" w:rsidRPr="00DD3ABB" w:rsidTr="00A85969">
        <w:trPr>
          <w:trHeight w:val="78"/>
        </w:trPr>
        <w:tc>
          <w:tcPr>
            <w:tcW w:w="567" w:type="dxa"/>
            <w:vAlign w:val="center"/>
          </w:tcPr>
          <w:p w:rsidR="00D76BEF" w:rsidRPr="00642A6C" w:rsidRDefault="00D76BEF" w:rsidP="00A85969">
            <w:r w:rsidRPr="00642A6C">
              <w:lastRenderedPageBreak/>
              <w:t>7</w:t>
            </w:r>
          </w:p>
        </w:tc>
        <w:tc>
          <w:tcPr>
            <w:tcW w:w="1701" w:type="dxa"/>
            <w:vAlign w:val="center"/>
          </w:tcPr>
          <w:p w:rsidR="00D76BEF" w:rsidRPr="00A85969" w:rsidRDefault="00D76BEF" w:rsidP="00E61550">
            <w:pPr>
              <w:rPr>
                <w:sz w:val="18"/>
                <w:szCs w:val="18"/>
              </w:rPr>
            </w:pPr>
            <w:r w:rsidRPr="00A85969">
              <w:rPr>
                <w:sz w:val="18"/>
                <w:szCs w:val="18"/>
              </w:rPr>
              <w:t>CZ.1.06/5.1.00/01.06096</w:t>
            </w:r>
          </w:p>
        </w:tc>
        <w:tc>
          <w:tcPr>
            <w:tcW w:w="1843" w:type="dxa"/>
            <w:gridSpan w:val="2"/>
            <w:vAlign w:val="center"/>
          </w:tcPr>
          <w:p w:rsidR="00D76BEF" w:rsidRPr="00A85969" w:rsidRDefault="00D76BEF" w:rsidP="00E61550">
            <w:pPr>
              <w:rPr>
                <w:sz w:val="18"/>
                <w:szCs w:val="18"/>
              </w:rPr>
            </w:pPr>
            <w:r w:rsidRPr="00A85969">
              <w:rPr>
                <w:sz w:val="18"/>
                <w:szCs w:val="18"/>
              </w:rPr>
              <w:t xml:space="preserve">Revitalizace židovských památek v ČR  </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CZ.1.11/2.2.00/02.00572</w:t>
            </w:r>
          </w:p>
        </w:tc>
        <w:tc>
          <w:tcPr>
            <w:tcW w:w="1701" w:type="dxa"/>
            <w:vAlign w:val="center"/>
          </w:tcPr>
          <w:p w:rsidR="00D76BEF" w:rsidRPr="00A85969" w:rsidRDefault="00D76BEF" w:rsidP="00E61550">
            <w:pPr>
              <w:rPr>
                <w:sz w:val="18"/>
                <w:szCs w:val="18"/>
              </w:rPr>
            </w:pPr>
            <w:r w:rsidRPr="00A85969">
              <w:rPr>
                <w:sz w:val="18"/>
                <w:szCs w:val="18"/>
              </w:rPr>
              <w:t>Podpora rozvoje cestovního ruchu na Pelhřimovsku</w:t>
            </w:r>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CZ.1.11/3.2.00/01.00242</w:t>
            </w:r>
          </w:p>
        </w:tc>
        <w:tc>
          <w:tcPr>
            <w:tcW w:w="1701" w:type="dxa"/>
            <w:vAlign w:val="center"/>
          </w:tcPr>
          <w:p w:rsidR="00D76BEF" w:rsidRPr="00A85969" w:rsidRDefault="00D76BEF" w:rsidP="00E61550">
            <w:pPr>
              <w:rPr>
                <w:sz w:val="18"/>
                <w:szCs w:val="18"/>
              </w:rPr>
            </w:pPr>
            <w:r w:rsidRPr="00A85969">
              <w:rPr>
                <w:sz w:val="18"/>
                <w:szCs w:val="18"/>
              </w:rPr>
              <w:t xml:space="preserve">Komplexní obnova Karlova náměstí v Polné </w:t>
            </w:r>
            <w:r w:rsidRPr="00A85969">
              <w:rPr>
                <w:sz w:val="18"/>
                <w:szCs w:val="18"/>
              </w:rPr>
              <w:br/>
              <w:t>a jeho bezprostředního okolí</w:t>
            </w:r>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CZ.1.11/2.2.00/02.00506</w:t>
            </w:r>
          </w:p>
        </w:tc>
        <w:tc>
          <w:tcPr>
            <w:tcW w:w="1701" w:type="dxa"/>
            <w:vAlign w:val="center"/>
          </w:tcPr>
          <w:p w:rsidR="00D76BEF" w:rsidRPr="00A85969" w:rsidRDefault="00D76BEF" w:rsidP="00E61550">
            <w:pPr>
              <w:rPr>
                <w:sz w:val="18"/>
                <w:szCs w:val="18"/>
              </w:rPr>
            </w:pPr>
            <w:r w:rsidRPr="00A85969">
              <w:rPr>
                <w:sz w:val="18"/>
                <w:szCs w:val="18"/>
              </w:rPr>
              <w:t>Prezentace</w:t>
            </w:r>
            <w:r w:rsidRPr="00A85969">
              <w:rPr>
                <w:sz w:val="18"/>
                <w:szCs w:val="18"/>
              </w:rPr>
              <w:br/>
              <w:t>a propagace významných turistických atraktivit města Polné</w:t>
            </w:r>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CZ.1.11/2.1.00/06.01093</w:t>
            </w:r>
          </w:p>
        </w:tc>
        <w:tc>
          <w:tcPr>
            <w:tcW w:w="1701" w:type="dxa"/>
            <w:vAlign w:val="center"/>
          </w:tcPr>
          <w:p w:rsidR="00D76BEF" w:rsidRPr="00A85969" w:rsidRDefault="00D76BEF" w:rsidP="00E61550">
            <w:pPr>
              <w:rPr>
                <w:sz w:val="18"/>
                <w:szCs w:val="18"/>
              </w:rPr>
            </w:pPr>
            <w:r w:rsidRPr="00A85969">
              <w:rPr>
                <w:sz w:val="18"/>
                <w:szCs w:val="18"/>
              </w:rPr>
              <w:t>Zpřístupnění národní kulturní památky v Polné pro potřeby cestovního ruchu</w:t>
            </w:r>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CZ.1.11/2.2.00/02.00474</w:t>
            </w:r>
          </w:p>
        </w:tc>
        <w:tc>
          <w:tcPr>
            <w:tcW w:w="1701" w:type="dxa"/>
            <w:vAlign w:val="center"/>
          </w:tcPr>
          <w:p w:rsidR="00D76BEF" w:rsidRPr="00A85969" w:rsidRDefault="00D76BEF" w:rsidP="00E61550">
            <w:pPr>
              <w:rPr>
                <w:sz w:val="18"/>
                <w:szCs w:val="18"/>
              </w:rPr>
            </w:pPr>
            <w:r w:rsidRPr="00A85969">
              <w:rPr>
                <w:sz w:val="18"/>
                <w:szCs w:val="18"/>
              </w:rPr>
              <w:t xml:space="preserve">Kam na </w:t>
            </w:r>
            <w:proofErr w:type="spellStart"/>
            <w:r w:rsidRPr="00A85969">
              <w:rPr>
                <w:sz w:val="18"/>
                <w:szCs w:val="18"/>
              </w:rPr>
              <w:t>Boskovicku</w:t>
            </w:r>
            <w:proofErr w:type="spellEnd"/>
            <w:r w:rsidRPr="00A85969">
              <w:rPr>
                <w:sz w:val="18"/>
                <w:szCs w:val="18"/>
              </w:rPr>
              <w:t>?</w:t>
            </w:r>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CZ.1.11/2.2.00/06.00945</w:t>
            </w:r>
          </w:p>
        </w:tc>
        <w:tc>
          <w:tcPr>
            <w:tcW w:w="1701" w:type="dxa"/>
            <w:vAlign w:val="center"/>
          </w:tcPr>
          <w:p w:rsidR="00D76BEF" w:rsidRPr="00A85969" w:rsidRDefault="00D76BEF" w:rsidP="00E61550">
            <w:pPr>
              <w:rPr>
                <w:sz w:val="18"/>
                <w:szCs w:val="18"/>
              </w:rPr>
            </w:pPr>
            <w:r w:rsidRPr="00A85969">
              <w:rPr>
                <w:sz w:val="18"/>
                <w:szCs w:val="18"/>
              </w:rPr>
              <w:t xml:space="preserve">Návštěvnické služby objektů architektonického dědictví na </w:t>
            </w:r>
            <w:proofErr w:type="spellStart"/>
            <w:r w:rsidRPr="00A85969">
              <w:rPr>
                <w:sz w:val="18"/>
                <w:szCs w:val="18"/>
              </w:rPr>
              <w:t>Boskovicku</w:t>
            </w:r>
            <w:proofErr w:type="spellEnd"/>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CZ.1.11/2.2.00/01.00067</w:t>
            </w:r>
          </w:p>
        </w:tc>
        <w:tc>
          <w:tcPr>
            <w:tcW w:w="1701" w:type="dxa"/>
            <w:vAlign w:val="center"/>
          </w:tcPr>
          <w:p w:rsidR="00D76BEF" w:rsidRPr="00A85969" w:rsidRDefault="00D76BEF" w:rsidP="00E61550">
            <w:pPr>
              <w:rPr>
                <w:sz w:val="18"/>
                <w:szCs w:val="18"/>
              </w:rPr>
            </w:pPr>
            <w:r w:rsidRPr="00A85969">
              <w:rPr>
                <w:sz w:val="18"/>
                <w:szCs w:val="18"/>
              </w:rPr>
              <w:t>Mikulovsko - profesionální partner v cestovním ruchu</w:t>
            </w:r>
          </w:p>
        </w:tc>
      </w:tr>
      <w:tr w:rsidR="00D76BEF" w:rsidRPr="00DD3ABB" w:rsidTr="004C144E">
        <w:trPr>
          <w:trHeight w:val="78"/>
        </w:trPr>
        <w:tc>
          <w:tcPr>
            <w:tcW w:w="567" w:type="dxa"/>
          </w:tcPr>
          <w:p w:rsidR="00D76BEF" w:rsidRPr="00642A6C" w:rsidRDefault="00D76BEF" w:rsidP="00E61550"/>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CZ.1.11/2.2.00/06.00937</w:t>
            </w:r>
          </w:p>
        </w:tc>
        <w:tc>
          <w:tcPr>
            <w:tcW w:w="1701" w:type="dxa"/>
            <w:vAlign w:val="center"/>
          </w:tcPr>
          <w:p w:rsidR="00D76BEF" w:rsidRPr="00A85969" w:rsidRDefault="00D76BEF" w:rsidP="00E61550">
            <w:pPr>
              <w:rPr>
                <w:sz w:val="18"/>
                <w:szCs w:val="18"/>
              </w:rPr>
            </w:pPr>
            <w:r w:rsidRPr="00A85969">
              <w:rPr>
                <w:sz w:val="18"/>
                <w:szCs w:val="18"/>
              </w:rPr>
              <w:t>Vybavení expozic Regionálního muzea v Mikulově multimediálními průvodci</w:t>
            </w:r>
          </w:p>
        </w:tc>
      </w:tr>
      <w:tr w:rsidR="00D76BEF" w:rsidRPr="00DD3ABB" w:rsidTr="00A85969">
        <w:trPr>
          <w:trHeight w:val="78"/>
        </w:trPr>
        <w:tc>
          <w:tcPr>
            <w:tcW w:w="567" w:type="dxa"/>
            <w:vAlign w:val="center"/>
          </w:tcPr>
          <w:p w:rsidR="00D76BEF" w:rsidRPr="00642A6C" w:rsidRDefault="00D76BEF" w:rsidP="00A85969">
            <w:r w:rsidRPr="00642A6C">
              <w:t>8</w:t>
            </w:r>
          </w:p>
        </w:tc>
        <w:tc>
          <w:tcPr>
            <w:tcW w:w="1701" w:type="dxa"/>
            <w:vAlign w:val="center"/>
          </w:tcPr>
          <w:p w:rsidR="00D76BEF" w:rsidRPr="00A85969" w:rsidRDefault="00D76BEF" w:rsidP="00E61550">
            <w:pPr>
              <w:rPr>
                <w:sz w:val="18"/>
                <w:szCs w:val="18"/>
              </w:rPr>
            </w:pPr>
            <w:r w:rsidRPr="00A85969">
              <w:rPr>
                <w:sz w:val="18"/>
                <w:szCs w:val="18"/>
              </w:rPr>
              <w:t>CZ.1.06/5.1.00/01.06093</w:t>
            </w:r>
            <w:r w:rsidRPr="00A85969">
              <w:rPr>
                <w:sz w:val="18"/>
                <w:szCs w:val="18"/>
              </w:rPr>
              <w:br w:type="page"/>
              <w:t>CZ.1.06/5.1.00/01.06348</w:t>
            </w:r>
          </w:p>
        </w:tc>
        <w:tc>
          <w:tcPr>
            <w:tcW w:w="1843" w:type="dxa"/>
            <w:gridSpan w:val="2"/>
            <w:vAlign w:val="center"/>
          </w:tcPr>
          <w:p w:rsidR="00D76BEF" w:rsidRPr="00A85969" w:rsidRDefault="00D76BEF" w:rsidP="00E61550">
            <w:pPr>
              <w:rPr>
                <w:sz w:val="18"/>
                <w:szCs w:val="18"/>
              </w:rPr>
            </w:pPr>
            <w:r w:rsidRPr="00A85969">
              <w:rPr>
                <w:sz w:val="18"/>
                <w:szCs w:val="18"/>
              </w:rPr>
              <w:t xml:space="preserve">Vila </w:t>
            </w:r>
            <w:proofErr w:type="spellStart"/>
            <w:r w:rsidRPr="00A85969">
              <w:rPr>
                <w:sz w:val="18"/>
                <w:szCs w:val="18"/>
              </w:rPr>
              <w:t>Tugendhat</w:t>
            </w:r>
            <w:proofErr w:type="spellEnd"/>
            <w:r w:rsidRPr="00A85969">
              <w:rPr>
                <w:sz w:val="18"/>
                <w:szCs w:val="18"/>
              </w:rPr>
              <w:br w:type="page"/>
              <w:t xml:space="preserve"> Centrum obnovy památek architektury 20. století</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CZ.1.11/2.2.00/02.00466</w:t>
            </w:r>
          </w:p>
        </w:tc>
        <w:tc>
          <w:tcPr>
            <w:tcW w:w="1701" w:type="dxa"/>
            <w:vAlign w:val="center"/>
          </w:tcPr>
          <w:p w:rsidR="00D76BEF" w:rsidRPr="00A85969" w:rsidRDefault="00D76BEF" w:rsidP="00E61550">
            <w:pPr>
              <w:rPr>
                <w:sz w:val="18"/>
                <w:szCs w:val="18"/>
              </w:rPr>
            </w:pPr>
            <w:r w:rsidRPr="00A85969">
              <w:rPr>
                <w:sz w:val="18"/>
                <w:szCs w:val="18"/>
              </w:rPr>
              <w:t xml:space="preserve">Brno - město budoucnosti - Informační </w:t>
            </w:r>
            <w:r w:rsidR="00A85969">
              <w:rPr>
                <w:sz w:val="18"/>
                <w:szCs w:val="18"/>
              </w:rPr>
              <w:br/>
            </w:r>
            <w:r w:rsidRPr="00A85969">
              <w:rPr>
                <w:sz w:val="18"/>
                <w:szCs w:val="18"/>
              </w:rPr>
              <w:t>a propagační materiály města Brna</w:t>
            </w:r>
          </w:p>
        </w:tc>
      </w:tr>
      <w:tr w:rsidR="00D76BEF" w:rsidRPr="00DD3ABB" w:rsidTr="00A85969">
        <w:trPr>
          <w:trHeight w:val="78"/>
        </w:trPr>
        <w:tc>
          <w:tcPr>
            <w:tcW w:w="567" w:type="dxa"/>
            <w:vAlign w:val="center"/>
          </w:tcPr>
          <w:p w:rsidR="00D76BEF" w:rsidRPr="00642A6C" w:rsidRDefault="00D76BEF" w:rsidP="00A85969"/>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CZ.1.11/2.2.00/02.00470</w:t>
            </w:r>
          </w:p>
        </w:tc>
        <w:tc>
          <w:tcPr>
            <w:tcW w:w="1701" w:type="dxa"/>
            <w:vAlign w:val="center"/>
          </w:tcPr>
          <w:p w:rsidR="00D76BEF" w:rsidRPr="00A85969" w:rsidRDefault="00D76BEF" w:rsidP="00E61550">
            <w:pPr>
              <w:rPr>
                <w:sz w:val="18"/>
                <w:szCs w:val="18"/>
              </w:rPr>
            </w:pPr>
            <w:r w:rsidRPr="00A85969">
              <w:rPr>
                <w:sz w:val="18"/>
                <w:szCs w:val="18"/>
              </w:rPr>
              <w:t>Brněnské architektonické stezky</w:t>
            </w:r>
          </w:p>
        </w:tc>
      </w:tr>
      <w:tr w:rsidR="00D76BEF" w:rsidRPr="00DD3ABB" w:rsidTr="00A85969">
        <w:trPr>
          <w:trHeight w:val="78"/>
        </w:trPr>
        <w:tc>
          <w:tcPr>
            <w:tcW w:w="567" w:type="dxa"/>
            <w:vAlign w:val="center"/>
          </w:tcPr>
          <w:p w:rsidR="00D76BEF" w:rsidRPr="00642A6C" w:rsidRDefault="00D76BEF" w:rsidP="00A85969"/>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CZ.1.11/2.1.00/02.00531</w:t>
            </w:r>
          </w:p>
        </w:tc>
        <w:tc>
          <w:tcPr>
            <w:tcW w:w="1701" w:type="dxa"/>
            <w:vAlign w:val="center"/>
          </w:tcPr>
          <w:p w:rsidR="00D76BEF" w:rsidRPr="00A85969" w:rsidRDefault="00D76BEF" w:rsidP="00E61550">
            <w:pPr>
              <w:rPr>
                <w:sz w:val="18"/>
                <w:szCs w:val="18"/>
              </w:rPr>
            </w:pPr>
            <w:r w:rsidRPr="00A85969">
              <w:rPr>
                <w:sz w:val="18"/>
                <w:szCs w:val="18"/>
              </w:rPr>
              <w:t xml:space="preserve">Vytvoření expozice brněnského funkcionalismu </w:t>
            </w:r>
            <w:r w:rsidR="00A85969">
              <w:rPr>
                <w:sz w:val="18"/>
                <w:szCs w:val="18"/>
              </w:rPr>
              <w:br/>
            </w:r>
            <w:r w:rsidRPr="00A85969">
              <w:rPr>
                <w:sz w:val="18"/>
                <w:szCs w:val="18"/>
              </w:rPr>
              <w:t>s využitím kulturní památky "Kavárna ERA"</w:t>
            </w:r>
          </w:p>
        </w:tc>
      </w:tr>
      <w:tr w:rsidR="00D76BEF" w:rsidRPr="00DD3ABB" w:rsidTr="00A85969">
        <w:trPr>
          <w:trHeight w:val="78"/>
        </w:trPr>
        <w:tc>
          <w:tcPr>
            <w:tcW w:w="567" w:type="dxa"/>
            <w:vAlign w:val="center"/>
          </w:tcPr>
          <w:p w:rsidR="00D76BEF" w:rsidRPr="00642A6C" w:rsidRDefault="00D76BEF" w:rsidP="00A85969"/>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vAlign w:val="center"/>
          </w:tcPr>
          <w:p w:rsidR="00D76BEF" w:rsidRPr="00A85969" w:rsidRDefault="00D76BEF" w:rsidP="00E61550">
            <w:pPr>
              <w:rPr>
                <w:sz w:val="18"/>
                <w:szCs w:val="18"/>
              </w:rPr>
            </w:pPr>
            <w:r w:rsidRPr="00A85969">
              <w:rPr>
                <w:sz w:val="18"/>
                <w:szCs w:val="18"/>
              </w:rPr>
              <w:t>CZ.1.11/2.2.00/02.00537</w:t>
            </w:r>
          </w:p>
        </w:tc>
        <w:tc>
          <w:tcPr>
            <w:tcW w:w="1701" w:type="dxa"/>
            <w:vAlign w:val="center"/>
          </w:tcPr>
          <w:p w:rsidR="00D76BEF" w:rsidRPr="00A85969" w:rsidRDefault="00D76BEF" w:rsidP="00E61550">
            <w:pPr>
              <w:rPr>
                <w:sz w:val="18"/>
                <w:szCs w:val="18"/>
              </w:rPr>
            </w:pPr>
            <w:r w:rsidRPr="00A85969">
              <w:rPr>
                <w:sz w:val="18"/>
                <w:szCs w:val="18"/>
              </w:rPr>
              <w:t>Brno židovské</w:t>
            </w:r>
          </w:p>
        </w:tc>
      </w:tr>
      <w:tr w:rsidR="00D76BEF" w:rsidRPr="00DD3ABB" w:rsidTr="00A85969">
        <w:trPr>
          <w:trHeight w:val="78"/>
        </w:trPr>
        <w:tc>
          <w:tcPr>
            <w:tcW w:w="567" w:type="dxa"/>
            <w:vAlign w:val="center"/>
          </w:tcPr>
          <w:p w:rsidR="00D76BEF" w:rsidRPr="00642A6C" w:rsidRDefault="00D76BEF" w:rsidP="00A85969">
            <w:r w:rsidRPr="00642A6C">
              <w:t>9</w:t>
            </w:r>
          </w:p>
        </w:tc>
        <w:tc>
          <w:tcPr>
            <w:tcW w:w="1701" w:type="dxa"/>
            <w:vAlign w:val="center"/>
          </w:tcPr>
          <w:p w:rsidR="00D76BEF" w:rsidRPr="00A85969" w:rsidRDefault="00D76BEF" w:rsidP="00E61550">
            <w:pPr>
              <w:rPr>
                <w:sz w:val="18"/>
                <w:szCs w:val="18"/>
              </w:rPr>
            </w:pPr>
            <w:r w:rsidRPr="00A85969">
              <w:rPr>
                <w:sz w:val="18"/>
                <w:szCs w:val="18"/>
              </w:rPr>
              <w:t>CZ.1.06/5.1.00/01.05477</w:t>
            </w:r>
          </w:p>
        </w:tc>
        <w:tc>
          <w:tcPr>
            <w:tcW w:w="1843" w:type="dxa"/>
            <w:gridSpan w:val="2"/>
            <w:vAlign w:val="center"/>
          </w:tcPr>
          <w:p w:rsidR="00D76BEF" w:rsidRPr="00A85969" w:rsidRDefault="00D76BEF" w:rsidP="00E61550">
            <w:pPr>
              <w:rPr>
                <w:sz w:val="18"/>
                <w:szCs w:val="18"/>
              </w:rPr>
            </w:pPr>
            <w:r w:rsidRPr="00A85969">
              <w:rPr>
                <w:sz w:val="18"/>
                <w:szCs w:val="18"/>
              </w:rPr>
              <w:t>Centrum stavitelského dědictví v Plasích</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CZ.1.14/3.1.00/16.02545</w:t>
            </w:r>
          </w:p>
        </w:tc>
        <w:tc>
          <w:tcPr>
            <w:tcW w:w="1701" w:type="dxa"/>
          </w:tcPr>
          <w:p w:rsidR="00D76BEF" w:rsidRPr="00A85969" w:rsidRDefault="00D76BEF" w:rsidP="00E61550">
            <w:pPr>
              <w:rPr>
                <w:sz w:val="18"/>
                <w:szCs w:val="18"/>
              </w:rPr>
            </w:pPr>
            <w:r w:rsidRPr="00A85969">
              <w:rPr>
                <w:sz w:val="18"/>
                <w:szCs w:val="18"/>
              </w:rPr>
              <w:t>Plasy. Cesta klášterem – stezky poznání</w:t>
            </w:r>
          </w:p>
        </w:tc>
      </w:tr>
      <w:tr w:rsidR="00D76BEF" w:rsidRPr="00DD3ABB" w:rsidTr="00A85969">
        <w:trPr>
          <w:trHeight w:val="78"/>
        </w:trPr>
        <w:tc>
          <w:tcPr>
            <w:tcW w:w="567" w:type="dxa"/>
            <w:vAlign w:val="center"/>
          </w:tcPr>
          <w:p w:rsidR="00D76BEF" w:rsidRPr="00642A6C" w:rsidRDefault="00D76BEF" w:rsidP="00A85969">
            <w:r w:rsidRPr="00642A6C">
              <w:t>10</w:t>
            </w:r>
          </w:p>
        </w:tc>
        <w:tc>
          <w:tcPr>
            <w:tcW w:w="1701" w:type="dxa"/>
            <w:vAlign w:val="center"/>
          </w:tcPr>
          <w:p w:rsidR="00D76BEF" w:rsidRPr="00A85969" w:rsidRDefault="00D76BEF" w:rsidP="00E61550">
            <w:pPr>
              <w:rPr>
                <w:sz w:val="18"/>
                <w:szCs w:val="18"/>
              </w:rPr>
            </w:pPr>
            <w:r w:rsidRPr="00A85969">
              <w:rPr>
                <w:sz w:val="18"/>
                <w:szCs w:val="18"/>
              </w:rPr>
              <w:t>CZ.1.06/5.1.00/01.06132</w:t>
            </w:r>
          </w:p>
        </w:tc>
        <w:tc>
          <w:tcPr>
            <w:tcW w:w="1843" w:type="dxa"/>
            <w:gridSpan w:val="2"/>
            <w:vAlign w:val="center"/>
          </w:tcPr>
          <w:p w:rsidR="00D76BEF" w:rsidRPr="00A85969" w:rsidRDefault="00D76BEF" w:rsidP="00E61550">
            <w:pPr>
              <w:rPr>
                <w:sz w:val="18"/>
                <w:szCs w:val="18"/>
              </w:rPr>
            </w:pPr>
            <w:r w:rsidRPr="00A85969">
              <w:rPr>
                <w:sz w:val="18"/>
                <w:szCs w:val="18"/>
              </w:rPr>
              <w:t>Revitalizace klášterů Český Krumlov</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CZ.1.14/3.1.00/16.02542</w:t>
            </w:r>
          </w:p>
        </w:tc>
        <w:tc>
          <w:tcPr>
            <w:tcW w:w="1701" w:type="dxa"/>
          </w:tcPr>
          <w:p w:rsidR="00D76BEF" w:rsidRPr="00A85969" w:rsidRDefault="00D76BEF" w:rsidP="00E61550">
            <w:pPr>
              <w:rPr>
                <w:sz w:val="18"/>
                <w:szCs w:val="18"/>
              </w:rPr>
            </w:pPr>
            <w:r w:rsidRPr="00A85969">
              <w:rPr>
                <w:sz w:val="18"/>
                <w:szCs w:val="18"/>
              </w:rPr>
              <w:t>Muzeum vltavínů</w:t>
            </w:r>
          </w:p>
        </w:tc>
      </w:tr>
      <w:tr w:rsidR="00D76BEF" w:rsidRPr="00DD3ABB" w:rsidTr="00A85969">
        <w:trPr>
          <w:trHeight w:val="78"/>
        </w:trPr>
        <w:tc>
          <w:tcPr>
            <w:tcW w:w="567" w:type="dxa"/>
            <w:vAlign w:val="center"/>
          </w:tcPr>
          <w:p w:rsidR="00D76BEF" w:rsidRPr="00642A6C" w:rsidRDefault="00D76BEF" w:rsidP="00A85969"/>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CZ.1.14/3.1.00/16.02543</w:t>
            </w:r>
          </w:p>
        </w:tc>
        <w:tc>
          <w:tcPr>
            <w:tcW w:w="1701" w:type="dxa"/>
          </w:tcPr>
          <w:p w:rsidR="00D76BEF" w:rsidRPr="00A85969" w:rsidRDefault="00D76BEF" w:rsidP="00E61550">
            <w:pPr>
              <w:rPr>
                <w:sz w:val="18"/>
                <w:szCs w:val="18"/>
              </w:rPr>
            </w:pPr>
            <w:r w:rsidRPr="00A85969">
              <w:rPr>
                <w:sz w:val="18"/>
                <w:szCs w:val="18"/>
              </w:rPr>
              <w:t xml:space="preserve">Vytvoření nových přístupových stra k areálu klášterů v ČR </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t>11</w:t>
            </w:r>
          </w:p>
        </w:tc>
        <w:tc>
          <w:tcPr>
            <w:tcW w:w="1701" w:type="dxa"/>
            <w:vAlign w:val="center"/>
          </w:tcPr>
          <w:p w:rsidR="00D76BEF" w:rsidRPr="00A85969" w:rsidRDefault="00D76BEF" w:rsidP="00E61550">
            <w:pPr>
              <w:rPr>
                <w:sz w:val="18"/>
                <w:szCs w:val="18"/>
              </w:rPr>
            </w:pPr>
            <w:r w:rsidRPr="00A85969">
              <w:rPr>
                <w:sz w:val="18"/>
                <w:szCs w:val="18"/>
              </w:rPr>
              <w:t>CZ.1.06/5.1.00/01.05935</w:t>
            </w:r>
          </w:p>
        </w:tc>
        <w:tc>
          <w:tcPr>
            <w:tcW w:w="1843" w:type="dxa"/>
            <w:gridSpan w:val="2"/>
            <w:vAlign w:val="center"/>
          </w:tcPr>
          <w:p w:rsidR="00D76BEF" w:rsidRPr="00A85969" w:rsidRDefault="00D76BEF" w:rsidP="00E61550">
            <w:pPr>
              <w:rPr>
                <w:sz w:val="18"/>
                <w:szCs w:val="18"/>
              </w:rPr>
            </w:pPr>
            <w:r w:rsidRPr="00A85969">
              <w:rPr>
                <w:sz w:val="18"/>
                <w:szCs w:val="18"/>
              </w:rPr>
              <w:t xml:space="preserve">Národní muzeum fotografie a dílna </w:t>
            </w:r>
            <w:r w:rsidRPr="00A85969">
              <w:rPr>
                <w:sz w:val="18"/>
                <w:szCs w:val="18"/>
              </w:rPr>
              <w:lastRenderedPageBreak/>
              <w:t xml:space="preserve">tapisérií - centrum původních řemesel </w:t>
            </w:r>
            <w:r w:rsidR="00A85969">
              <w:rPr>
                <w:sz w:val="18"/>
                <w:szCs w:val="18"/>
              </w:rPr>
              <w:br/>
            </w:r>
            <w:r w:rsidRPr="00A85969">
              <w:rPr>
                <w:sz w:val="18"/>
                <w:szCs w:val="18"/>
              </w:rPr>
              <w:t>a unikátních technologií</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CZ.1.14/3.1.00/16.02544</w:t>
            </w:r>
          </w:p>
        </w:tc>
        <w:tc>
          <w:tcPr>
            <w:tcW w:w="1701" w:type="dxa"/>
          </w:tcPr>
          <w:p w:rsidR="00D76BEF" w:rsidRPr="00A85969" w:rsidRDefault="00D76BEF" w:rsidP="00E61550">
            <w:pPr>
              <w:rPr>
                <w:sz w:val="18"/>
                <w:szCs w:val="18"/>
              </w:rPr>
            </w:pPr>
            <w:r w:rsidRPr="00A85969">
              <w:rPr>
                <w:sz w:val="18"/>
                <w:szCs w:val="18"/>
              </w:rPr>
              <w:t>Centrum fotografie a moderních médií</w:t>
            </w:r>
          </w:p>
        </w:tc>
      </w:tr>
      <w:tr w:rsidR="00D76BEF" w:rsidRPr="00DD3ABB" w:rsidTr="00A85969">
        <w:trPr>
          <w:trHeight w:val="78"/>
        </w:trPr>
        <w:tc>
          <w:tcPr>
            <w:tcW w:w="567" w:type="dxa"/>
            <w:vAlign w:val="center"/>
          </w:tcPr>
          <w:p w:rsidR="00D76BEF" w:rsidRPr="00A85969" w:rsidRDefault="00D76BEF" w:rsidP="00A85969">
            <w:pPr>
              <w:rPr>
                <w:sz w:val="18"/>
                <w:szCs w:val="18"/>
              </w:rPr>
            </w:pPr>
            <w:r w:rsidRPr="00A85969">
              <w:rPr>
                <w:sz w:val="18"/>
                <w:szCs w:val="18"/>
              </w:rPr>
              <w:lastRenderedPageBreak/>
              <w:t>12</w:t>
            </w:r>
          </w:p>
        </w:tc>
        <w:tc>
          <w:tcPr>
            <w:tcW w:w="1701" w:type="dxa"/>
            <w:vAlign w:val="center"/>
          </w:tcPr>
          <w:p w:rsidR="00D76BEF" w:rsidRPr="00A85969" w:rsidRDefault="00D76BEF" w:rsidP="00E61550">
            <w:pPr>
              <w:rPr>
                <w:sz w:val="18"/>
                <w:szCs w:val="18"/>
              </w:rPr>
            </w:pPr>
            <w:r w:rsidRPr="00A85969">
              <w:rPr>
                <w:sz w:val="18"/>
                <w:szCs w:val="18"/>
              </w:rPr>
              <w:t>CZ.1.06/5.1.00/01.06128</w:t>
            </w:r>
          </w:p>
        </w:tc>
        <w:tc>
          <w:tcPr>
            <w:tcW w:w="1843" w:type="dxa"/>
            <w:gridSpan w:val="2"/>
            <w:vAlign w:val="center"/>
          </w:tcPr>
          <w:p w:rsidR="00D76BEF" w:rsidRPr="00A85969" w:rsidRDefault="00D76BEF" w:rsidP="00E61550">
            <w:pPr>
              <w:rPr>
                <w:sz w:val="18"/>
                <w:szCs w:val="18"/>
              </w:rPr>
            </w:pPr>
            <w:proofErr w:type="spellStart"/>
            <w:r w:rsidRPr="00A85969">
              <w:rPr>
                <w:sz w:val="18"/>
                <w:szCs w:val="18"/>
              </w:rPr>
              <w:t>Schola</w:t>
            </w:r>
            <w:proofErr w:type="spellEnd"/>
            <w:r w:rsidRPr="00A85969">
              <w:rPr>
                <w:sz w:val="18"/>
                <w:szCs w:val="18"/>
              </w:rPr>
              <w:t xml:space="preserve"> </w:t>
            </w:r>
            <w:proofErr w:type="spellStart"/>
            <w:r w:rsidRPr="00A85969">
              <w:rPr>
                <w:sz w:val="18"/>
                <w:szCs w:val="18"/>
              </w:rPr>
              <w:t>naturalis</w:t>
            </w:r>
            <w:proofErr w:type="spellEnd"/>
            <w:r w:rsidRPr="00A85969">
              <w:rPr>
                <w:sz w:val="18"/>
                <w:szCs w:val="18"/>
              </w:rPr>
              <w:t xml:space="preserve"> - projekt revitalizace zámku Veltrusy </w:t>
            </w:r>
            <w:r w:rsidR="00A85969">
              <w:rPr>
                <w:sz w:val="18"/>
                <w:szCs w:val="18"/>
              </w:rPr>
              <w:br/>
            </w:r>
            <w:r w:rsidRPr="00A85969">
              <w:rPr>
                <w:sz w:val="18"/>
                <w:szCs w:val="18"/>
              </w:rPr>
              <w:t>a centrum Evropské úmluvy o krajině.</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p>
        </w:tc>
        <w:tc>
          <w:tcPr>
            <w:tcW w:w="1701" w:type="dxa"/>
          </w:tcPr>
          <w:p w:rsidR="00D76BEF" w:rsidRPr="00A85969" w:rsidRDefault="00D76BEF" w:rsidP="00E61550">
            <w:pPr>
              <w:rPr>
                <w:sz w:val="18"/>
                <w:szCs w:val="18"/>
              </w:rPr>
            </w:pPr>
          </w:p>
        </w:tc>
      </w:tr>
      <w:tr w:rsidR="00D76BEF" w:rsidRPr="00DD3ABB" w:rsidTr="00A85969">
        <w:trPr>
          <w:trHeight w:val="78"/>
        </w:trPr>
        <w:tc>
          <w:tcPr>
            <w:tcW w:w="567" w:type="dxa"/>
            <w:vAlign w:val="center"/>
          </w:tcPr>
          <w:p w:rsidR="00D76BEF" w:rsidRDefault="00D76BEF" w:rsidP="00A85969">
            <w:pPr>
              <w:rPr>
                <w:sz w:val="18"/>
                <w:szCs w:val="18"/>
              </w:rPr>
            </w:pPr>
            <w:r w:rsidRPr="00A85969">
              <w:rPr>
                <w:sz w:val="18"/>
                <w:szCs w:val="18"/>
              </w:rPr>
              <w:t>13</w:t>
            </w:r>
          </w:p>
          <w:p w:rsidR="00A85969" w:rsidRPr="00A85969" w:rsidRDefault="00A85969" w:rsidP="00A85969">
            <w:pPr>
              <w:rPr>
                <w:sz w:val="18"/>
                <w:szCs w:val="18"/>
              </w:rPr>
            </w:pPr>
          </w:p>
        </w:tc>
        <w:tc>
          <w:tcPr>
            <w:tcW w:w="1701" w:type="dxa"/>
            <w:vAlign w:val="center"/>
          </w:tcPr>
          <w:p w:rsidR="00D76BEF" w:rsidRPr="00A85969" w:rsidRDefault="00D76BEF" w:rsidP="00E61550">
            <w:pPr>
              <w:rPr>
                <w:sz w:val="18"/>
                <w:szCs w:val="18"/>
              </w:rPr>
            </w:pPr>
            <w:r w:rsidRPr="00A85969">
              <w:rPr>
                <w:sz w:val="18"/>
                <w:szCs w:val="18"/>
              </w:rPr>
              <w:t>CZ.1.06/5.1.00/01.06138</w:t>
            </w:r>
          </w:p>
        </w:tc>
        <w:tc>
          <w:tcPr>
            <w:tcW w:w="1843" w:type="dxa"/>
            <w:gridSpan w:val="2"/>
            <w:vAlign w:val="center"/>
          </w:tcPr>
          <w:p w:rsidR="00D76BEF" w:rsidRPr="00A85969" w:rsidRDefault="00D76BEF" w:rsidP="00E61550">
            <w:pPr>
              <w:rPr>
                <w:sz w:val="18"/>
                <w:szCs w:val="18"/>
              </w:rPr>
            </w:pPr>
            <w:r w:rsidRPr="00A85969">
              <w:rPr>
                <w:sz w:val="18"/>
                <w:szCs w:val="18"/>
              </w:rPr>
              <w:t>Národní centrum zahradní kultury v Kroměříži</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CZ.1.12/3.1.00/37.01796</w:t>
            </w:r>
          </w:p>
        </w:tc>
        <w:tc>
          <w:tcPr>
            <w:tcW w:w="1701" w:type="dxa"/>
          </w:tcPr>
          <w:p w:rsidR="00D76BEF" w:rsidRPr="00A85969" w:rsidRDefault="00D76BEF" w:rsidP="00E61550">
            <w:pPr>
              <w:rPr>
                <w:sz w:val="18"/>
                <w:szCs w:val="18"/>
              </w:rPr>
            </w:pPr>
            <w:r w:rsidRPr="00A85969">
              <w:rPr>
                <w:sz w:val="18"/>
                <w:szCs w:val="18"/>
              </w:rPr>
              <w:t>Informační systém v Kroměříži – městě památek UNESCO</w:t>
            </w:r>
          </w:p>
        </w:tc>
      </w:tr>
      <w:tr w:rsidR="00D76BEF" w:rsidRPr="00DD3ABB" w:rsidTr="004C144E">
        <w:trPr>
          <w:trHeight w:val="78"/>
        </w:trPr>
        <w:tc>
          <w:tcPr>
            <w:tcW w:w="567" w:type="dxa"/>
          </w:tcPr>
          <w:p w:rsidR="00D76BEF" w:rsidRPr="00A85969" w:rsidRDefault="00D76BEF" w:rsidP="00E61550">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CZ.1.12/3.1.00/40.01912</w:t>
            </w:r>
          </w:p>
        </w:tc>
        <w:tc>
          <w:tcPr>
            <w:tcW w:w="1701" w:type="dxa"/>
          </w:tcPr>
          <w:p w:rsidR="00D76BEF" w:rsidRPr="00A85969" w:rsidRDefault="00D76BEF" w:rsidP="00E61550">
            <w:pPr>
              <w:rPr>
                <w:sz w:val="18"/>
                <w:szCs w:val="18"/>
              </w:rPr>
            </w:pPr>
            <w:r w:rsidRPr="00A85969">
              <w:rPr>
                <w:sz w:val="18"/>
                <w:szCs w:val="18"/>
              </w:rPr>
              <w:t>Úprava nástupní plochy před Květnou zahradou</w:t>
            </w:r>
          </w:p>
        </w:tc>
      </w:tr>
      <w:tr w:rsidR="00D76BEF" w:rsidRPr="00DD3ABB" w:rsidTr="004C144E">
        <w:trPr>
          <w:trHeight w:val="78"/>
        </w:trPr>
        <w:tc>
          <w:tcPr>
            <w:tcW w:w="567" w:type="dxa"/>
          </w:tcPr>
          <w:p w:rsidR="00D76BEF" w:rsidRPr="00A85969" w:rsidRDefault="00D76BEF" w:rsidP="00E61550">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CZ.1.12/3.1.00/40.01913</w:t>
            </w:r>
          </w:p>
        </w:tc>
        <w:tc>
          <w:tcPr>
            <w:tcW w:w="1701" w:type="dxa"/>
          </w:tcPr>
          <w:p w:rsidR="00D76BEF" w:rsidRPr="00A85969" w:rsidRDefault="00D76BEF" w:rsidP="00E61550">
            <w:pPr>
              <w:rPr>
                <w:sz w:val="18"/>
                <w:szCs w:val="18"/>
              </w:rPr>
            </w:pPr>
            <w:r w:rsidRPr="00A85969">
              <w:rPr>
                <w:sz w:val="18"/>
                <w:szCs w:val="18"/>
              </w:rPr>
              <w:t>Řešení nové veřejné plochy v Podzámecké zahradě</w:t>
            </w:r>
          </w:p>
        </w:tc>
      </w:tr>
      <w:tr w:rsidR="00D76BEF" w:rsidRPr="00DD3ABB" w:rsidTr="004C144E">
        <w:trPr>
          <w:trHeight w:val="78"/>
        </w:trPr>
        <w:tc>
          <w:tcPr>
            <w:tcW w:w="567" w:type="dxa"/>
          </w:tcPr>
          <w:p w:rsidR="00D76BEF" w:rsidRPr="00A85969" w:rsidRDefault="00D76BEF" w:rsidP="00E61550">
            <w:pPr>
              <w:rPr>
                <w:sz w:val="18"/>
                <w:szCs w:val="18"/>
              </w:rPr>
            </w:pPr>
            <w:r w:rsidRPr="00A85969">
              <w:rPr>
                <w:sz w:val="18"/>
                <w:szCs w:val="18"/>
              </w:rPr>
              <w:t>14</w:t>
            </w:r>
          </w:p>
        </w:tc>
        <w:tc>
          <w:tcPr>
            <w:tcW w:w="1701" w:type="dxa"/>
            <w:vAlign w:val="center"/>
          </w:tcPr>
          <w:p w:rsidR="00D76BEF" w:rsidRPr="00A85969" w:rsidRDefault="00D76BEF" w:rsidP="00E61550">
            <w:pPr>
              <w:rPr>
                <w:sz w:val="18"/>
                <w:szCs w:val="18"/>
              </w:rPr>
            </w:pPr>
            <w:r w:rsidRPr="00A85969">
              <w:rPr>
                <w:sz w:val="18"/>
                <w:szCs w:val="18"/>
              </w:rPr>
              <w:t>CZ.1.06/5.1.00/01.05920</w:t>
            </w:r>
          </w:p>
        </w:tc>
        <w:tc>
          <w:tcPr>
            <w:tcW w:w="1843" w:type="dxa"/>
            <w:gridSpan w:val="2"/>
            <w:vAlign w:val="center"/>
          </w:tcPr>
          <w:p w:rsidR="00D76BEF" w:rsidRPr="00A85969" w:rsidRDefault="00D76BEF" w:rsidP="00E61550">
            <w:pPr>
              <w:rPr>
                <w:sz w:val="18"/>
                <w:szCs w:val="18"/>
              </w:rPr>
            </w:pPr>
            <w:r w:rsidRPr="00A85969">
              <w:rPr>
                <w:sz w:val="18"/>
                <w:szCs w:val="18"/>
              </w:rPr>
              <w:t>Velehrad - Centrum kulturního dialogu západní a východní Evropy</w:t>
            </w: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CZ.1.12/3.1.00/28.01424</w:t>
            </w:r>
          </w:p>
        </w:tc>
        <w:tc>
          <w:tcPr>
            <w:tcW w:w="1701" w:type="dxa"/>
          </w:tcPr>
          <w:p w:rsidR="00D76BEF" w:rsidRPr="00A85969" w:rsidRDefault="00D76BEF" w:rsidP="00E61550">
            <w:pPr>
              <w:rPr>
                <w:sz w:val="18"/>
                <w:szCs w:val="18"/>
              </w:rPr>
            </w:pPr>
            <w:r w:rsidRPr="00A85969">
              <w:rPr>
                <w:sz w:val="18"/>
                <w:szCs w:val="18"/>
              </w:rPr>
              <w:t>Turistické centrum Velehrad</w:t>
            </w:r>
          </w:p>
        </w:tc>
      </w:tr>
      <w:tr w:rsidR="00D76BEF" w:rsidRPr="00DD3ABB" w:rsidTr="004C144E">
        <w:trPr>
          <w:trHeight w:val="78"/>
        </w:trPr>
        <w:tc>
          <w:tcPr>
            <w:tcW w:w="567" w:type="dxa"/>
          </w:tcPr>
          <w:p w:rsidR="00D76BEF" w:rsidRPr="00A85969" w:rsidRDefault="00D76BEF" w:rsidP="00E61550">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CZ.1.12/3.1.00/28.01425</w:t>
            </w:r>
          </w:p>
        </w:tc>
        <w:tc>
          <w:tcPr>
            <w:tcW w:w="1701" w:type="dxa"/>
          </w:tcPr>
          <w:p w:rsidR="00D76BEF" w:rsidRPr="00A85969" w:rsidRDefault="00D76BEF" w:rsidP="00E61550">
            <w:pPr>
              <w:rPr>
                <w:sz w:val="18"/>
                <w:szCs w:val="18"/>
              </w:rPr>
            </w:pPr>
            <w:r w:rsidRPr="00A85969">
              <w:rPr>
                <w:sz w:val="18"/>
                <w:szCs w:val="18"/>
              </w:rPr>
              <w:t xml:space="preserve">Vybudování přístupové komunikace </w:t>
            </w:r>
            <w:r w:rsidR="00A85969">
              <w:rPr>
                <w:sz w:val="18"/>
                <w:szCs w:val="18"/>
              </w:rPr>
              <w:br/>
            </w:r>
            <w:r w:rsidRPr="00A85969">
              <w:rPr>
                <w:sz w:val="18"/>
                <w:szCs w:val="18"/>
              </w:rPr>
              <w:t>a parkovacích stání k turistickým cílům v DZP Velehrad</w:t>
            </w:r>
          </w:p>
        </w:tc>
      </w:tr>
      <w:tr w:rsidR="00D76BEF" w:rsidRPr="00DD3ABB" w:rsidTr="004C144E">
        <w:trPr>
          <w:trHeight w:val="78"/>
        </w:trPr>
        <w:tc>
          <w:tcPr>
            <w:tcW w:w="567" w:type="dxa"/>
          </w:tcPr>
          <w:p w:rsidR="00D76BEF" w:rsidRPr="00A85969" w:rsidRDefault="00D76BEF" w:rsidP="00E61550">
            <w:pPr>
              <w:rPr>
                <w:sz w:val="18"/>
                <w:szCs w:val="18"/>
              </w:rPr>
            </w:pPr>
          </w:p>
        </w:tc>
        <w:tc>
          <w:tcPr>
            <w:tcW w:w="1701" w:type="dxa"/>
            <w:vAlign w:val="center"/>
          </w:tcPr>
          <w:p w:rsidR="00D76BEF" w:rsidRPr="00A85969" w:rsidRDefault="00D76BEF" w:rsidP="00E61550">
            <w:pPr>
              <w:rPr>
                <w:sz w:val="18"/>
                <w:szCs w:val="18"/>
              </w:rPr>
            </w:pPr>
          </w:p>
        </w:tc>
        <w:tc>
          <w:tcPr>
            <w:tcW w:w="1843" w:type="dxa"/>
            <w:gridSpan w:val="2"/>
            <w:vAlign w:val="center"/>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r w:rsidRPr="00A85969">
              <w:rPr>
                <w:sz w:val="18"/>
                <w:szCs w:val="18"/>
              </w:rPr>
              <w:t>CZ.1.12/3.1.00/43.02147</w:t>
            </w:r>
          </w:p>
        </w:tc>
        <w:tc>
          <w:tcPr>
            <w:tcW w:w="1701" w:type="dxa"/>
          </w:tcPr>
          <w:p w:rsidR="00D76BEF" w:rsidRPr="00A85969" w:rsidRDefault="00D76BEF" w:rsidP="00E61550">
            <w:pPr>
              <w:rPr>
                <w:sz w:val="18"/>
                <w:szCs w:val="18"/>
              </w:rPr>
            </w:pPr>
            <w:r w:rsidRPr="00A85969">
              <w:rPr>
                <w:sz w:val="18"/>
                <w:szCs w:val="18"/>
              </w:rPr>
              <w:t>Velehrad – infrastruktura podporující rozvoj cestovního ruchu</w:t>
            </w:r>
          </w:p>
        </w:tc>
      </w:tr>
      <w:tr w:rsidR="00D76BEF" w:rsidRPr="00DD3ABB" w:rsidTr="004C144E">
        <w:trPr>
          <w:trHeight w:val="78"/>
        </w:trPr>
        <w:tc>
          <w:tcPr>
            <w:tcW w:w="567" w:type="dxa"/>
          </w:tcPr>
          <w:p w:rsidR="00D76BEF" w:rsidRPr="00A85969" w:rsidRDefault="00D76BEF" w:rsidP="00E61550">
            <w:pPr>
              <w:rPr>
                <w:sz w:val="18"/>
                <w:szCs w:val="18"/>
              </w:rPr>
            </w:pPr>
          </w:p>
        </w:tc>
        <w:tc>
          <w:tcPr>
            <w:tcW w:w="1701" w:type="dxa"/>
          </w:tcPr>
          <w:p w:rsidR="00D76BEF" w:rsidRPr="00A85969" w:rsidRDefault="00D76BEF" w:rsidP="00E61550">
            <w:pPr>
              <w:rPr>
                <w:sz w:val="18"/>
                <w:szCs w:val="18"/>
              </w:rPr>
            </w:pPr>
          </w:p>
        </w:tc>
        <w:tc>
          <w:tcPr>
            <w:tcW w:w="1843" w:type="dxa"/>
            <w:gridSpan w:val="2"/>
          </w:tcPr>
          <w:p w:rsidR="00D76BEF" w:rsidRPr="00A85969" w:rsidRDefault="00D76BEF" w:rsidP="00E61550">
            <w:pPr>
              <w:rPr>
                <w:sz w:val="18"/>
                <w:szCs w:val="18"/>
              </w:rPr>
            </w:pPr>
          </w:p>
        </w:tc>
        <w:tc>
          <w:tcPr>
            <w:tcW w:w="992" w:type="dxa"/>
          </w:tcPr>
          <w:p w:rsidR="00D76BEF" w:rsidRPr="00A85969" w:rsidRDefault="00D76BEF" w:rsidP="00E61550">
            <w:pPr>
              <w:rPr>
                <w:sz w:val="18"/>
                <w:szCs w:val="18"/>
              </w:rPr>
            </w:pPr>
          </w:p>
        </w:tc>
        <w:tc>
          <w:tcPr>
            <w:tcW w:w="993" w:type="dxa"/>
          </w:tcPr>
          <w:p w:rsidR="00D76BEF" w:rsidRPr="00A85969" w:rsidRDefault="00D76BEF" w:rsidP="00E61550">
            <w:pPr>
              <w:rPr>
                <w:sz w:val="18"/>
                <w:szCs w:val="18"/>
              </w:rPr>
            </w:pPr>
          </w:p>
        </w:tc>
        <w:tc>
          <w:tcPr>
            <w:tcW w:w="1275" w:type="dxa"/>
          </w:tcPr>
          <w:p w:rsidR="00D76BEF" w:rsidRPr="00A85969" w:rsidRDefault="00D76BEF" w:rsidP="00E61550">
            <w:pPr>
              <w:rPr>
                <w:sz w:val="18"/>
                <w:szCs w:val="18"/>
              </w:rPr>
            </w:pPr>
          </w:p>
        </w:tc>
        <w:tc>
          <w:tcPr>
            <w:tcW w:w="1701" w:type="dxa"/>
          </w:tcPr>
          <w:p w:rsidR="00D76BEF" w:rsidRPr="00A85969" w:rsidRDefault="00D76BEF" w:rsidP="00E61550">
            <w:pPr>
              <w:rPr>
                <w:sz w:val="18"/>
                <w:szCs w:val="18"/>
              </w:rPr>
            </w:pPr>
          </w:p>
        </w:tc>
      </w:tr>
      <w:tr w:rsidR="00D76BEF" w:rsidRPr="00DD3ABB" w:rsidTr="004C144E">
        <w:tc>
          <w:tcPr>
            <w:tcW w:w="9072" w:type="dxa"/>
            <w:gridSpan w:val="8"/>
            <w:shd w:val="clear" w:color="auto" w:fill="C2D69B" w:themeFill="accent3" w:themeFillTint="99"/>
          </w:tcPr>
          <w:p w:rsidR="00D76BEF" w:rsidRPr="00642A6C" w:rsidRDefault="00D76BEF" w:rsidP="00E61550">
            <w:pPr>
              <w:autoSpaceDE w:val="0"/>
              <w:autoSpaceDN w:val="0"/>
              <w:adjustRightInd w:val="0"/>
              <w:rPr>
                <w:rFonts w:eastAsia="SimSun"/>
                <w:lang w:eastAsia="zh-CN"/>
              </w:rPr>
            </w:pPr>
            <w:r w:rsidRPr="00642A6C">
              <w:rPr>
                <w:rFonts w:eastAsia="SimSun"/>
                <w:b/>
                <w:bCs/>
                <w:i/>
                <w:iCs/>
                <w:lang w:eastAsia="zh-CN"/>
              </w:rPr>
              <w:t xml:space="preserve">Komentář k tabulce a další informace o synergických projektech </w:t>
            </w:r>
            <w:r w:rsidRPr="00642A6C">
              <w:rPr>
                <w:rFonts w:eastAsia="SimSun"/>
                <w:i/>
                <w:iCs/>
                <w:lang w:eastAsia="zh-CN"/>
              </w:rPr>
              <w:t>(celkový počet synergických projektů, nejčetnější synergická oblast, počet nevykazovaných vazeb v sestavě z důvodu přejití NP/PP do negativního stavu,…):</w:t>
            </w:r>
          </w:p>
        </w:tc>
      </w:tr>
      <w:tr w:rsidR="00D76BEF" w:rsidRPr="00DD3ABB" w:rsidTr="004C144E">
        <w:trPr>
          <w:trHeight w:val="579"/>
        </w:trPr>
        <w:tc>
          <w:tcPr>
            <w:tcW w:w="9072" w:type="dxa"/>
            <w:gridSpan w:val="8"/>
          </w:tcPr>
          <w:p w:rsidR="00D76BEF" w:rsidRPr="00642A6C" w:rsidRDefault="00D76BEF" w:rsidP="00E61550">
            <w:pPr>
              <w:jc w:val="both"/>
            </w:pPr>
            <w:r w:rsidRPr="00642A6C">
              <w:rPr>
                <w:b/>
              </w:rPr>
              <w:t>V oblasti intervence 5.1</w:t>
            </w:r>
            <w:r w:rsidRPr="00642A6C">
              <w:t>, kde je podpora určena výhradně NKP a památkám UNESCO a na rozvoj kulturních služeb na národní úrovni, je zamezeno překryvům s jinými dotačními tituly, které jsou především směřovány na jiné potřeby kulturních památek či na venkovské oblasti a památky, které se vyskytují v obcích do 500 obyvatel.</w:t>
            </w:r>
          </w:p>
          <w:p w:rsidR="00D76BEF" w:rsidRPr="00642A6C" w:rsidRDefault="00D76BEF" w:rsidP="00E61550">
            <w:pPr>
              <w:rPr>
                <w:b/>
                <w:bCs/>
                <w:i/>
                <w:iCs/>
              </w:rPr>
            </w:pPr>
          </w:p>
        </w:tc>
      </w:tr>
      <w:tr w:rsidR="00D76BEF" w:rsidRPr="00DD3ABB" w:rsidTr="004C144E">
        <w:tc>
          <w:tcPr>
            <w:tcW w:w="9072" w:type="dxa"/>
            <w:gridSpan w:val="8"/>
            <w:shd w:val="clear" w:color="auto" w:fill="C2D69B" w:themeFill="accent3" w:themeFillTint="99"/>
          </w:tcPr>
          <w:p w:rsidR="00D76BEF" w:rsidRPr="00642A6C" w:rsidRDefault="00D76BEF" w:rsidP="00E61550">
            <w:pPr>
              <w:rPr>
                <w:b/>
                <w:bCs/>
                <w:i/>
                <w:iCs/>
              </w:rPr>
            </w:pPr>
            <w:r w:rsidRPr="00642A6C">
              <w:rPr>
                <w:b/>
                <w:bCs/>
                <w:i/>
                <w:iCs/>
              </w:rPr>
              <w:t>Problémy a identifikovaná rizika při zajištění vazby řídícími orgány, přijatá opatření:</w:t>
            </w:r>
          </w:p>
        </w:tc>
      </w:tr>
      <w:tr w:rsidR="00D76BEF" w:rsidRPr="00DD3ABB" w:rsidTr="004C144E">
        <w:tc>
          <w:tcPr>
            <w:tcW w:w="9072" w:type="dxa"/>
            <w:gridSpan w:val="8"/>
          </w:tcPr>
          <w:p w:rsidR="00D76BEF" w:rsidRPr="00642A6C" w:rsidRDefault="00D76BEF" w:rsidP="00E61550">
            <w:pPr>
              <w:spacing w:after="120"/>
              <w:jc w:val="both"/>
            </w:pPr>
            <w:r w:rsidRPr="00642A6C">
              <w:t xml:space="preserve">Mezi přijatými opatřeními ZS MK pro zajištění vazby s ROP byla úzká spolupráce a komunikace s příjemci IOP v oblasti intervence 5.1 a dále zajištění toku informací od příslušných ROP, v jejichž působnosti mají projekty IOP </w:t>
            </w:r>
            <w:r>
              <w:t>OI</w:t>
            </w:r>
            <w:r w:rsidRPr="00642A6C">
              <w:t xml:space="preserve"> 5.1 místo dopadu. ŘO IOP v této spolupráci pokračuje.</w:t>
            </w:r>
          </w:p>
          <w:p w:rsidR="00D76BEF" w:rsidRPr="00642A6C" w:rsidRDefault="00D76BEF" w:rsidP="00E61550"/>
          <w:p w:rsidR="00D76BEF" w:rsidRPr="00642A6C" w:rsidRDefault="00D76BEF" w:rsidP="00E61550"/>
        </w:tc>
      </w:tr>
      <w:tr w:rsidR="00D76BEF" w:rsidRPr="00DD3ABB" w:rsidTr="004C144E">
        <w:tc>
          <w:tcPr>
            <w:tcW w:w="9072" w:type="dxa"/>
            <w:gridSpan w:val="8"/>
            <w:shd w:val="clear" w:color="auto" w:fill="C2D69B" w:themeFill="accent3" w:themeFillTint="99"/>
          </w:tcPr>
          <w:p w:rsidR="00D76BEF" w:rsidRPr="00642A6C" w:rsidRDefault="00D76BEF" w:rsidP="00E61550">
            <w:pPr>
              <w:rPr>
                <w:b/>
                <w:bCs/>
                <w:i/>
                <w:iCs/>
              </w:rPr>
            </w:pPr>
            <w:r w:rsidRPr="00642A6C">
              <w:rPr>
                <w:b/>
                <w:bCs/>
                <w:i/>
                <w:iCs/>
              </w:rPr>
              <w:t xml:space="preserve">Náměty na jednání koordinačního výboru/tematického </w:t>
            </w:r>
            <w:proofErr w:type="spellStart"/>
            <w:r w:rsidRPr="00642A6C">
              <w:rPr>
                <w:b/>
                <w:bCs/>
                <w:i/>
                <w:iCs/>
              </w:rPr>
              <w:t>mikrotýmu</w:t>
            </w:r>
            <w:proofErr w:type="spellEnd"/>
            <w:r w:rsidRPr="00642A6C">
              <w:rPr>
                <w:b/>
                <w:bCs/>
                <w:i/>
                <w:iCs/>
              </w:rPr>
              <w:t>:</w:t>
            </w:r>
          </w:p>
        </w:tc>
      </w:tr>
      <w:tr w:rsidR="00D76BEF" w:rsidRPr="00DD3ABB" w:rsidTr="004C144E">
        <w:tc>
          <w:tcPr>
            <w:tcW w:w="9072" w:type="dxa"/>
            <w:gridSpan w:val="8"/>
          </w:tcPr>
          <w:p w:rsidR="00D76BEF" w:rsidRPr="00642A6C" w:rsidRDefault="00D76BEF" w:rsidP="00E61550"/>
          <w:p w:rsidR="00D76BEF" w:rsidRPr="00642A6C" w:rsidRDefault="00D76BEF" w:rsidP="00E61550"/>
        </w:tc>
      </w:tr>
      <w:tr w:rsidR="00D76BEF" w:rsidRPr="00DD3ABB" w:rsidTr="004C144E">
        <w:tc>
          <w:tcPr>
            <w:tcW w:w="9072" w:type="dxa"/>
            <w:gridSpan w:val="8"/>
            <w:shd w:val="clear" w:color="auto" w:fill="C2D69B" w:themeFill="accent3" w:themeFillTint="99"/>
          </w:tcPr>
          <w:p w:rsidR="00D76BEF" w:rsidRPr="00642A6C" w:rsidRDefault="00D76BEF" w:rsidP="00E61550">
            <w:pPr>
              <w:rPr>
                <w:b/>
                <w:bCs/>
                <w:i/>
                <w:iCs/>
              </w:rPr>
            </w:pPr>
            <w:r w:rsidRPr="00642A6C">
              <w:rPr>
                <w:b/>
                <w:bCs/>
                <w:i/>
                <w:iCs/>
              </w:rPr>
              <w:t>Další poznámky:</w:t>
            </w:r>
          </w:p>
        </w:tc>
      </w:tr>
      <w:tr w:rsidR="00D76BEF" w:rsidRPr="00DD3ABB" w:rsidTr="004C144E">
        <w:tc>
          <w:tcPr>
            <w:tcW w:w="9072" w:type="dxa"/>
            <w:gridSpan w:val="8"/>
          </w:tcPr>
          <w:p w:rsidR="00D76BEF" w:rsidRPr="00642A6C" w:rsidRDefault="00D76BEF" w:rsidP="00E61550">
            <w:pPr>
              <w:jc w:val="both"/>
            </w:pPr>
          </w:p>
        </w:tc>
      </w:tr>
      <w:tr w:rsidR="00D76BEF" w:rsidRPr="00DD3ABB" w:rsidTr="004C144E">
        <w:tc>
          <w:tcPr>
            <w:tcW w:w="9072" w:type="dxa"/>
            <w:gridSpan w:val="8"/>
            <w:shd w:val="clear" w:color="auto" w:fill="F3F3F3"/>
          </w:tcPr>
          <w:p w:rsidR="00D76BEF" w:rsidRPr="00642A6C" w:rsidRDefault="00D76BEF" w:rsidP="00E61550">
            <w:pPr>
              <w:rPr>
                <w:b/>
                <w:bCs/>
              </w:rPr>
            </w:pPr>
            <w:r w:rsidRPr="00642A6C">
              <w:rPr>
                <w:b/>
                <w:bCs/>
              </w:rPr>
              <w:t xml:space="preserve">Vypracoval: ŘO IOP </w:t>
            </w:r>
          </w:p>
        </w:tc>
      </w:tr>
    </w:tbl>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3A2352" w:rsidRDefault="003A2352">
      <w:pPr>
        <w:rPr>
          <w:rStyle w:val="Siln"/>
          <w:b w:val="0"/>
        </w:rPr>
        <w:sectPr w:rsidR="003A2352" w:rsidSect="0051439F">
          <w:pgSz w:w="11906" w:h="16838"/>
          <w:pgMar w:top="1418" w:right="1418" w:bottom="1418" w:left="1418" w:header="709" w:footer="709" w:gutter="0"/>
          <w:cols w:space="708"/>
          <w:docGrid w:linePitch="360"/>
        </w:sectPr>
      </w:pPr>
    </w:p>
    <w:p w:rsidR="003A2352" w:rsidRDefault="001912D2" w:rsidP="000F2A6C">
      <w:pPr>
        <w:pStyle w:val="Nadpis3"/>
      </w:pPr>
      <w:bookmarkStart w:id="306" w:name="_Toc417024912"/>
      <w:r w:rsidRPr="001912D2">
        <w:lastRenderedPageBreak/>
        <w:t>Příloha č. 2 Aktivity v oblasti publicity za rok 2014</w:t>
      </w:r>
      <w:bookmarkEnd w:id="306"/>
    </w:p>
    <w:tbl>
      <w:tblPr>
        <w:tblW w:w="14034"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Look w:val="01E0" w:firstRow="1" w:lastRow="1" w:firstColumn="1" w:lastColumn="1" w:noHBand="0" w:noVBand="0"/>
      </w:tblPr>
      <w:tblGrid>
        <w:gridCol w:w="1257"/>
        <w:gridCol w:w="2547"/>
        <w:gridCol w:w="2200"/>
        <w:gridCol w:w="2704"/>
        <w:gridCol w:w="2032"/>
        <w:gridCol w:w="3294"/>
      </w:tblGrid>
      <w:tr w:rsidR="007D22B3" w:rsidRPr="00522998" w:rsidTr="007D22B3">
        <w:trPr>
          <w:tblHeader/>
        </w:trPr>
        <w:tc>
          <w:tcPr>
            <w:tcW w:w="1257" w:type="dxa"/>
            <w:shd w:val="clear" w:color="auto" w:fill="C2D69B" w:themeFill="accent3" w:themeFillTint="99"/>
            <w:vAlign w:val="center"/>
          </w:tcPr>
          <w:p w:rsidR="007D22B3" w:rsidRPr="00522998" w:rsidRDefault="007D22B3" w:rsidP="00064A6E">
            <w:pPr>
              <w:jc w:val="center"/>
              <w:rPr>
                <w:b/>
              </w:rPr>
            </w:pPr>
            <w:r w:rsidRPr="00713BBE">
              <w:rPr>
                <w:b/>
              </w:rPr>
              <w:t>ŘO/ZS</w:t>
            </w:r>
          </w:p>
        </w:tc>
        <w:tc>
          <w:tcPr>
            <w:tcW w:w="2547" w:type="dxa"/>
            <w:shd w:val="clear" w:color="auto" w:fill="C2D69B" w:themeFill="accent3" w:themeFillTint="99"/>
            <w:vAlign w:val="center"/>
          </w:tcPr>
          <w:p w:rsidR="007D22B3" w:rsidRPr="00522998" w:rsidRDefault="007D22B3" w:rsidP="00064A6E">
            <w:pPr>
              <w:jc w:val="center"/>
              <w:rPr>
                <w:b/>
              </w:rPr>
            </w:pPr>
            <w:r w:rsidRPr="00713BBE">
              <w:rPr>
                <w:b/>
              </w:rPr>
              <w:t>Název</w:t>
            </w:r>
          </w:p>
        </w:tc>
        <w:tc>
          <w:tcPr>
            <w:tcW w:w="2200" w:type="dxa"/>
            <w:shd w:val="clear" w:color="auto" w:fill="C2D69B" w:themeFill="accent3" w:themeFillTint="99"/>
            <w:vAlign w:val="center"/>
          </w:tcPr>
          <w:p w:rsidR="007D22B3" w:rsidRPr="00522998" w:rsidRDefault="007D22B3" w:rsidP="00064A6E">
            <w:pPr>
              <w:jc w:val="center"/>
              <w:rPr>
                <w:b/>
              </w:rPr>
            </w:pPr>
            <w:r w:rsidRPr="00713BBE">
              <w:rPr>
                <w:b/>
              </w:rPr>
              <w:t>Téma</w:t>
            </w:r>
          </w:p>
        </w:tc>
        <w:tc>
          <w:tcPr>
            <w:tcW w:w="2704" w:type="dxa"/>
            <w:shd w:val="clear" w:color="auto" w:fill="C2D69B" w:themeFill="accent3" w:themeFillTint="99"/>
            <w:vAlign w:val="center"/>
          </w:tcPr>
          <w:p w:rsidR="007D22B3" w:rsidRPr="00522998" w:rsidRDefault="007D22B3" w:rsidP="00064A6E">
            <w:pPr>
              <w:jc w:val="center"/>
              <w:rPr>
                <w:b/>
              </w:rPr>
            </w:pPr>
            <w:r w:rsidRPr="00713BBE">
              <w:rPr>
                <w:b/>
              </w:rPr>
              <w:t>Cílová skupina</w:t>
            </w:r>
          </w:p>
        </w:tc>
        <w:tc>
          <w:tcPr>
            <w:tcW w:w="2032" w:type="dxa"/>
            <w:shd w:val="clear" w:color="auto" w:fill="C2D69B" w:themeFill="accent3" w:themeFillTint="99"/>
            <w:vAlign w:val="center"/>
          </w:tcPr>
          <w:p w:rsidR="007D22B3" w:rsidRPr="00522998" w:rsidRDefault="007D22B3" w:rsidP="00064A6E">
            <w:pPr>
              <w:jc w:val="center"/>
              <w:rPr>
                <w:b/>
              </w:rPr>
            </w:pPr>
            <w:r w:rsidRPr="00713BBE">
              <w:rPr>
                <w:b/>
              </w:rPr>
              <w:t>Finanční náklady z TP IOP (</w:t>
            </w:r>
            <w:r>
              <w:rPr>
                <w:b/>
              </w:rPr>
              <w:t>EUR</w:t>
            </w:r>
            <w:r w:rsidRPr="00713BBE">
              <w:rPr>
                <w:b/>
              </w:rPr>
              <w:t>)</w:t>
            </w:r>
          </w:p>
        </w:tc>
        <w:tc>
          <w:tcPr>
            <w:tcW w:w="3294" w:type="dxa"/>
            <w:shd w:val="clear" w:color="auto" w:fill="C2D69B" w:themeFill="accent3" w:themeFillTint="99"/>
            <w:vAlign w:val="center"/>
          </w:tcPr>
          <w:p w:rsidR="007D22B3" w:rsidRPr="00522998" w:rsidRDefault="007D22B3" w:rsidP="00064A6E">
            <w:pPr>
              <w:jc w:val="center"/>
              <w:rPr>
                <w:b/>
              </w:rPr>
            </w:pPr>
            <w:r w:rsidRPr="00713BBE">
              <w:rPr>
                <w:b/>
              </w:rPr>
              <w:t>Další informace</w:t>
            </w:r>
          </w:p>
        </w:tc>
      </w:tr>
      <w:tr w:rsidR="007D22B3" w:rsidRPr="00522998" w:rsidTr="00064A6E">
        <w:tc>
          <w:tcPr>
            <w:tcW w:w="1257" w:type="dxa"/>
            <w:vAlign w:val="center"/>
          </w:tcPr>
          <w:p w:rsidR="007D22B3" w:rsidRPr="00B84271" w:rsidRDefault="007D22B3" w:rsidP="00064A6E">
            <w:pPr>
              <w:rPr>
                <w:color w:val="000000"/>
              </w:rPr>
            </w:pPr>
            <w:r w:rsidRPr="00B84271">
              <w:rPr>
                <w:color w:val="000000"/>
              </w:rPr>
              <w:t>ŘO</w:t>
            </w:r>
          </w:p>
        </w:tc>
        <w:tc>
          <w:tcPr>
            <w:tcW w:w="2547" w:type="dxa"/>
            <w:vAlign w:val="center"/>
          </w:tcPr>
          <w:p w:rsidR="007D22B3" w:rsidRPr="00B84271" w:rsidRDefault="007D22B3" w:rsidP="00064A6E">
            <w:pPr>
              <w:rPr>
                <w:color w:val="000000"/>
              </w:rPr>
            </w:pPr>
            <w:r w:rsidRPr="00B84271">
              <w:rPr>
                <w:color w:val="000000"/>
              </w:rPr>
              <w:t>Webové stránky</w:t>
            </w:r>
            <w:r>
              <w:t xml:space="preserve"> </w:t>
            </w:r>
            <w:r w:rsidRPr="00B84271">
              <w:rPr>
                <w:color w:val="000000"/>
              </w:rPr>
              <w:t xml:space="preserve">  </w:t>
            </w:r>
            <w:hyperlink r:id="rId54" w:history="1">
              <w:r w:rsidRPr="00F43E50">
                <w:rPr>
                  <w:rStyle w:val="Hypertextovodkaz"/>
                </w:rPr>
                <w:t>www.strukturalni-fondy.cz/iop</w:t>
              </w:r>
            </w:hyperlink>
            <w:r>
              <w:rPr>
                <w:color w:val="000000"/>
              </w:rPr>
              <w:t xml:space="preserve"> </w:t>
            </w:r>
            <w:r w:rsidRPr="00B84271">
              <w:rPr>
                <w:color w:val="000000"/>
              </w:rPr>
              <w:t xml:space="preserve">  </w:t>
            </w:r>
          </w:p>
        </w:tc>
        <w:tc>
          <w:tcPr>
            <w:tcW w:w="2200" w:type="dxa"/>
            <w:vAlign w:val="center"/>
          </w:tcPr>
          <w:p w:rsidR="007D22B3" w:rsidRPr="00B84271" w:rsidRDefault="007D22B3" w:rsidP="00064A6E">
            <w:pPr>
              <w:rPr>
                <w:color w:val="000000"/>
              </w:rPr>
            </w:pPr>
            <w:r w:rsidRPr="00B84271">
              <w:rPr>
                <w:color w:val="000000"/>
              </w:rPr>
              <w:t>Průběžné uveřejňování i</w:t>
            </w:r>
            <w:r>
              <w:rPr>
                <w:color w:val="000000"/>
              </w:rPr>
              <w:t>nformací a aktualizace stránek</w:t>
            </w:r>
          </w:p>
        </w:tc>
        <w:tc>
          <w:tcPr>
            <w:tcW w:w="2704" w:type="dxa"/>
            <w:vAlign w:val="center"/>
          </w:tcPr>
          <w:p w:rsidR="007D22B3" w:rsidRPr="00B84271" w:rsidRDefault="007D22B3" w:rsidP="00064A6E">
            <w:pPr>
              <w:rPr>
                <w:color w:val="000000"/>
              </w:rPr>
            </w:pPr>
            <w:r w:rsidRPr="00B84271">
              <w:rPr>
                <w:color w:val="000000"/>
              </w:rPr>
              <w:t>žadatelé a příjemci,</w:t>
            </w:r>
          </w:p>
          <w:p w:rsidR="007D22B3" w:rsidRPr="00B84271" w:rsidRDefault="007D22B3" w:rsidP="00064A6E">
            <w:pPr>
              <w:rPr>
                <w:color w:val="000000"/>
              </w:rPr>
            </w:pPr>
            <w:r w:rsidRPr="00B84271">
              <w:rPr>
                <w:color w:val="000000"/>
              </w:rPr>
              <w:t>veřejnost, hodnotitelé,</w:t>
            </w:r>
          </w:p>
          <w:p w:rsidR="007D22B3" w:rsidRPr="00B84271" w:rsidRDefault="007D22B3" w:rsidP="00064A6E">
            <w:pPr>
              <w:rPr>
                <w:color w:val="000000"/>
              </w:rPr>
            </w:pPr>
            <w:r w:rsidRPr="00B84271">
              <w:rPr>
                <w:color w:val="000000"/>
              </w:rPr>
              <w:t>subjekty implementace,</w:t>
            </w:r>
          </w:p>
          <w:p w:rsidR="007D22B3" w:rsidRPr="00B84271" w:rsidRDefault="007D22B3" w:rsidP="00064A6E">
            <w:pPr>
              <w:rPr>
                <w:color w:val="000000"/>
              </w:rPr>
            </w:pPr>
            <w:r w:rsidRPr="00B84271">
              <w:rPr>
                <w:color w:val="000000"/>
              </w:rPr>
              <w:t>sdělovací prostředky</w:t>
            </w:r>
          </w:p>
        </w:tc>
        <w:tc>
          <w:tcPr>
            <w:tcW w:w="2032" w:type="dxa"/>
            <w:vAlign w:val="center"/>
          </w:tcPr>
          <w:p w:rsidR="007D22B3" w:rsidRPr="00B84271" w:rsidRDefault="007D22B3" w:rsidP="00064A6E">
            <w:pPr>
              <w:jc w:val="right"/>
              <w:rPr>
                <w:color w:val="000000"/>
              </w:rPr>
            </w:pPr>
            <w:r>
              <w:rPr>
                <w:color w:val="000000"/>
              </w:rPr>
              <w:t>0,- Kč</w:t>
            </w:r>
          </w:p>
        </w:tc>
        <w:tc>
          <w:tcPr>
            <w:tcW w:w="3294" w:type="dxa"/>
            <w:vAlign w:val="center"/>
          </w:tcPr>
          <w:p w:rsidR="007D22B3" w:rsidRPr="00B84271" w:rsidRDefault="007D22B3" w:rsidP="00064A6E">
            <w:pPr>
              <w:rPr>
                <w:color w:val="000000"/>
              </w:rPr>
            </w:pPr>
            <w:r w:rsidRPr="00B84271">
              <w:rPr>
                <w:color w:val="000000"/>
              </w:rPr>
              <w:t>Aktualizace stránek probíhá po celé období.</w:t>
            </w:r>
          </w:p>
        </w:tc>
      </w:tr>
      <w:tr w:rsidR="007D22B3" w:rsidRPr="00522998" w:rsidTr="00064A6E">
        <w:tc>
          <w:tcPr>
            <w:tcW w:w="1257" w:type="dxa"/>
            <w:vAlign w:val="center"/>
          </w:tcPr>
          <w:p w:rsidR="007D22B3" w:rsidRPr="00B84271" w:rsidRDefault="007D22B3" w:rsidP="00064A6E">
            <w:pPr>
              <w:rPr>
                <w:color w:val="000000"/>
              </w:rPr>
            </w:pPr>
            <w:r w:rsidRPr="00B84271">
              <w:rPr>
                <w:color w:val="000000"/>
              </w:rPr>
              <w:t>ŘO</w:t>
            </w:r>
          </w:p>
        </w:tc>
        <w:tc>
          <w:tcPr>
            <w:tcW w:w="2547" w:type="dxa"/>
            <w:vAlign w:val="center"/>
          </w:tcPr>
          <w:p w:rsidR="007D22B3" w:rsidRDefault="007D22B3" w:rsidP="00064A6E">
            <w:pPr>
              <w:rPr>
                <w:i/>
                <w:iCs/>
                <w:color w:val="000000"/>
              </w:rPr>
            </w:pPr>
            <w:proofErr w:type="spellStart"/>
            <w:r w:rsidRPr="00B84271">
              <w:rPr>
                <w:color w:val="000000"/>
              </w:rPr>
              <w:t>Newsletter</w:t>
            </w:r>
            <w:proofErr w:type="spellEnd"/>
            <w:r w:rsidRPr="00B84271">
              <w:rPr>
                <w:i/>
                <w:iCs/>
                <w:color w:val="000000"/>
              </w:rPr>
              <w:t xml:space="preserve"> </w:t>
            </w:r>
          </w:p>
          <w:p w:rsidR="007D22B3" w:rsidRPr="00B84271" w:rsidRDefault="007D22B3" w:rsidP="00064A6E">
            <w:pPr>
              <w:rPr>
                <w:color w:val="000000"/>
              </w:rPr>
            </w:pPr>
            <w:r>
              <w:rPr>
                <w:i/>
                <w:iCs/>
                <w:color w:val="000000"/>
              </w:rPr>
              <w:t>I</w:t>
            </w:r>
            <w:r w:rsidRPr="00B84271">
              <w:rPr>
                <w:i/>
                <w:iCs/>
                <w:color w:val="000000"/>
              </w:rPr>
              <w:t>OP pod lupou</w:t>
            </w:r>
          </w:p>
        </w:tc>
        <w:tc>
          <w:tcPr>
            <w:tcW w:w="2200" w:type="dxa"/>
            <w:vAlign w:val="center"/>
          </w:tcPr>
          <w:p w:rsidR="007D22B3" w:rsidRPr="00B84271" w:rsidRDefault="007D22B3" w:rsidP="00064A6E">
            <w:pPr>
              <w:rPr>
                <w:color w:val="000000"/>
              </w:rPr>
            </w:pPr>
            <w:r w:rsidRPr="00B84271">
              <w:rPr>
                <w:color w:val="000000"/>
              </w:rPr>
              <w:t>Aktuální informace o IOP, úspěšné projekty, výzvy, FAQ.</w:t>
            </w:r>
          </w:p>
        </w:tc>
        <w:tc>
          <w:tcPr>
            <w:tcW w:w="2704" w:type="dxa"/>
            <w:vAlign w:val="center"/>
          </w:tcPr>
          <w:p w:rsidR="007D22B3" w:rsidRPr="00B84271" w:rsidRDefault="007D22B3" w:rsidP="00064A6E">
            <w:pPr>
              <w:rPr>
                <w:color w:val="000000"/>
              </w:rPr>
            </w:pPr>
            <w:r w:rsidRPr="00B84271">
              <w:rPr>
                <w:color w:val="000000"/>
              </w:rPr>
              <w:t>žadatelé a příjemci,</w:t>
            </w:r>
          </w:p>
          <w:p w:rsidR="007D22B3" w:rsidRPr="00B84271" w:rsidRDefault="007D22B3" w:rsidP="00064A6E">
            <w:pPr>
              <w:rPr>
                <w:color w:val="000000"/>
              </w:rPr>
            </w:pPr>
            <w:r w:rsidRPr="00B84271">
              <w:rPr>
                <w:color w:val="000000"/>
              </w:rPr>
              <w:t>veřejnost, subjekty implementace,</w:t>
            </w:r>
          </w:p>
          <w:p w:rsidR="007D22B3" w:rsidRPr="00B84271" w:rsidRDefault="007D22B3" w:rsidP="00064A6E">
            <w:pPr>
              <w:rPr>
                <w:color w:val="000000"/>
              </w:rPr>
            </w:pPr>
            <w:r w:rsidRPr="00B84271">
              <w:rPr>
                <w:color w:val="000000"/>
              </w:rPr>
              <w:t>sdělovací prostředky</w:t>
            </w:r>
          </w:p>
        </w:tc>
        <w:tc>
          <w:tcPr>
            <w:tcW w:w="2032" w:type="dxa"/>
            <w:vAlign w:val="center"/>
          </w:tcPr>
          <w:p w:rsidR="007D22B3" w:rsidRPr="00B5123A" w:rsidRDefault="007D22B3" w:rsidP="00064A6E">
            <w:pPr>
              <w:jc w:val="right"/>
              <w:rPr>
                <w:color w:val="FF0000"/>
              </w:rPr>
            </w:pPr>
            <w:r w:rsidRPr="00003986">
              <w:t>125 872,- Kč</w:t>
            </w:r>
          </w:p>
        </w:tc>
        <w:tc>
          <w:tcPr>
            <w:tcW w:w="3294" w:type="dxa"/>
            <w:vAlign w:val="center"/>
          </w:tcPr>
          <w:p w:rsidR="007D22B3" w:rsidRPr="00003986" w:rsidRDefault="007D22B3" w:rsidP="00064A6E">
            <w:r w:rsidRPr="00003986">
              <w:t xml:space="preserve">Vyšla 4 čísla </w:t>
            </w:r>
            <w:proofErr w:type="spellStart"/>
            <w:r w:rsidRPr="00003986">
              <w:t>newsletteru</w:t>
            </w:r>
            <w:proofErr w:type="spellEnd"/>
            <w:r w:rsidRPr="00003986">
              <w:t xml:space="preserve">, zaměřená na aktuální dění v IOP a přípravu období 2014-2020.  </w:t>
            </w:r>
          </w:p>
        </w:tc>
      </w:tr>
      <w:tr w:rsidR="007D22B3" w:rsidRPr="00522998" w:rsidTr="00064A6E">
        <w:tc>
          <w:tcPr>
            <w:tcW w:w="1257" w:type="dxa"/>
            <w:vAlign w:val="center"/>
          </w:tcPr>
          <w:p w:rsidR="007D22B3" w:rsidRPr="00B84271" w:rsidRDefault="007D22B3" w:rsidP="00064A6E">
            <w:pPr>
              <w:rPr>
                <w:color w:val="000000"/>
              </w:rPr>
            </w:pPr>
            <w:r w:rsidRPr="00B84271">
              <w:rPr>
                <w:color w:val="000000"/>
              </w:rPr>
              <w:t>ŘO ve spolupráci se ZS</w:t>
            </w:r>
          </w:p>
        </w:tc>
        <w:tc>
          <w:tcPr>
            <w:tcW w:w="2547" w:type="dxa"/>
            <w:vAlign w:val="center"/>
          </w:tcPr>
          <w:p w:rsidR="007D22B3" w:rsidRPr="00B84271" w:rsidRDefault="007D22B3" w:rsidP="00064A6E">
            <w:pPr>
              <w:rPr>
                <w:color w:val="000000"/>
              </w:rPr>
            </w:pPr>
            <w:proofErr w:type="spellStart"/>
            <w:r w:rsidRPr="00B84271">
              <w:rPr>
                <w:color w:val="000000"/>
              </w:rPr>
              <w:t>Microsites</w:t>
            </w:r>
            <w:proofErr w:type="spellEnd"/>
            <w:r w:rsidRPr="00B84271">
              <w:rPr>
                <w:color w:val="000000"/>
              </w:rPr>
              <w:t xml:space="preserve"> kvalitazivota.eu</w:t>
            </w:r>
          </w:p>
        </w:tc>
        <w:tc>
          <w:tcPr>
            <w:tcW w:w="2200" w:type="dxa"/>
            <w:vAlign w:val="center"/>
          </w:tcPr>
          <w:p w:rsidR="007D22B3" w:rsidRPr="00B84271" w:rsidRDefault="007D22B3" w:rsidP="00064A6E">
            <w:pPr>
              <w:rPr>
                <w:color w:val="000000"/>
              </w:rPr>
            </w:pPr>
            <w:r w:rsidRPr="00B84271">
              <w:rPr>
                <w:color w:val="000000"/>
              </w:rPr>
              <w:t>Průběžné uveřejňování informací o projektech</w:t>
            </w:r>
            <w:r>
              <w:rPr>
                <w:color w:val="000000"/>
              </w:rPr>
              <w:t>, financovaných z</w:t>
            </w:r>
            <w:r w:rsidRPr="00B84271">
              <w:rPr>
                <w:color w:val="000000"/>
              </w:rPr>
              <w:t xml:space="preserve"> IOP</w:t>
            </w:r>
          </w:p>
        </w:tc>
        <w:tc>
          <w:tcPr>
            <w:tcW w:w="2704" w:type="dxa"/>
            <w:vAlign w:val="center"/>
          </w:tcPr>
          <w:p w:rsidR="007D22B3" w:rsidRPr="00B84271" w:rsidRDefault="007D22B3" w:rsidP="00064A6E">
            <w:pPr>
              <w:rPr>
                <w:color w:val="000000"/>
              </w:rPr>
            </w:pPr>
            <w:r w:rsidRPr="00B84271">
              <w:rPr>
                <w:color w:val="000000"/>
              </w:rPr>
              <w:t>veřejnost</w:t>
            </w:r>
          </w:p>
        </w:tc>
        <w:tc>
          <w:tcPr>
            <w:tcW w:w="2032" w:type="dxa"/>
            <w:vAlign w:val="center"/>
          </w:tcPr>
          <w:p w:rsidR="007D22B3" w:rsidRPr="00B84271" w:rsidRDefault="007D22B3" w:rsidP="00064A6E">
            <w:pPr>
              <w:jc w:val="right"/>
              <w:rPr>
                <w:color w:val="000000"/>
              </w:rPr>
            </w:pPr>
            <w:r w:rsidRPr="00B84271">
              <w:rPr>
                <w:color w:val="000000"/>
              </w:rPr>
              <w:t> </w:t>
            </w:r>
          </w:p>
          <w:p w:rsidR="007D22B3" w:rsidRPr="00B84271" w:rsidRDefault="007D22B3" w:rsidP="00064A6E">
            <w:pPr>
              <w:jc w:val="right"/>
              <w:rPr>
                <w:color w:val="000000"/>
              </w:rPr>
            </w:pPr>
            <w:r w:rsidRPr="00BA7AA1">
              <w:t xml:space="preserve">10 164,- Kč </w:t>
            </w:r>
            <w:r w:rsidRPr="00003986">
              <w:t>(</w:t>
            </w:r>
            <w:proofErr w:type="spellStart"/>
            <w:r w:rsidRPr="00003986">
              <w:t>webhosting</w:t>
            </w:r>
            <w:proofErr w:type="spellEnd"/>
            <w:r w:rsidRPr="00003986">
              <w:t>)</w:t>
            </w:r>
          </w:p>
        </w:tc>
        <w:tc>
          <w:tcPr>
            <w:tcW w:w="3294" w:type="dxa"/>
            <w:vAlign w:val="center"/>
          </w:tcPr>
          <w:p w:rsidR="007D22B3" w:rsidRPr="00B84271" w:rsidRDefault="007D22B3" w:rsidP="00064A6E">
            <w:pPr>
              <w:rPr>
                <w:color w:val="000000"/>
              </w:rPr>
            </w:pPr>
            <w:proofErr w:type="spellStart"/>
            <w:r w:rsidRPr="00B84271">
              <w:rPr>
                <w:color w:val="000000"/>
              </w:rPr>
              <w:t>Microsites</w:t>
            </w:r>
            <w:proofErr w:type="spellEnd"/>
            <w:r w:rsidRPr="00B84271">
              <w:rPr>
                <w:color w:val="000000"/>
              </w:rPr>
              <w:t xml:space="preserve"> informují o realizovaných projektech IOP. Na jejich aktualizaci se podílí ŘO </w:t>
            </w:r>
            <w:r>
              <w:rPr>
                <w:color w:val="000000"/>
              </w:rPr>
              <w:t>a</w:t>
            </w:r>
            <w:r w:rsidRPr="00B84271">
              <w:rPr>
                <w:color w:val="000000"/>
              </w:rPr>
              <w:t xml:space="preserve"> ZS.</w:t>
            </w:r>
          </w:p>
        </w:tc>
      </w:tr>
      <w:tr w:rsidR="007D22B3" w:rsidRPr="00522998" w:rsidTr="00064A6E">
        <w:tc>
          <w:tcPr>
            <w:tcW w:w="1257" w:type="dxa"/>
            <w:vAlign w:val="center"/>
          </w:tcPr>
          <w:p w:rsidR="007D22B3" w:rsidRPr="00B84271" w:rsidRDefault="007D22B3" w:rsidP="00064A6E">
            <w:pPr>
              <w:rPr>
                <w:color w:val="000000"/>
              </w:rPr>
            </w:pPr>
            <w:r w:rsidRPr="00B84271">
              <w:rPr>
                <w:color w:val="000000"/>
              </w:rPr>
              <w:t>ŘO</w:t>
            </w:r>
          </w:p>
        </w:tc>
        <w:tc>
          <w:tcPr>
            <w:tcW w:w="2547" w:type="dxa"/>
            <w:vAlign w:val="center"/>
          </w:tcPr>
          <w:p w:rsidR="007D22B3" w:rsidRPr="00003986" w:rsidRDefault="007D22B3" w:rsidP="00064A6E">
            <w:r>
              <w:t xml:space="preserve">Soutěž </w:t>
            </w:r>
            <w:r w:rsidRPr="00003986">
              <w:t xml:space="preserve">Dejte hlas českým památkám </w:t>
            </w:r>
            <w:r>
              <w:t>a r</w:t>
            </w:r>
            <w:r w:rsidRPr="00003986">
              <w:t>eklamní kampaň k soutěži na webovém portálu idnes.cz</w:t>
            </w:r>
          </w:p>
        </w:tc>
        <w:tc>
          <w:tcPr>
            <w:tcW w:w="2200" w:type="dxa"/>
            <w:vAlign w:val="center"/>
          </w:tcPr>
          <w:p w:rsidR="007D22B3" w:rsidRPr="00003986" w:rsidRDefault="007D22B3" w:rsidP="00064A6E">
            <w:r w:rsidRPr="00003986">
              <w:t xml:space="preserve">soutěž na webu: Dejte hlas českým památkám </w:t>
            </w:r>
            <w:r>
              <w:t>a r</w:t>
            </w:r>
            <w:r w:rsidRPr="00003986">
              <w:t xml:space="preserve">eklamní kampaň a </w:t>
            </w:r>
          </w:p>
        </w:tc>
        <w:tc>
          <w:tcPr>
            <w:tcW w:w="2704" w:type="dxa"/>
            <w:vAlign w:val="center"/>
          </w:tcPr>
          <w:p w:rsidR="007D22B3" w:rsidRPr="00003986" w:rsidRDefault="007D22B3" w:rsidP="00064A6E">
            <w:r w:rsidRPr="00003986">
              <w:t>žadatelé, příjemci, veřejnost</w:t>
            </w:r>
          </w:p>
        </w:tc>
        <w:tc>
          <w:tcPr>
            <w:tcW w:w="2032" w:type="dxa"/>
            <w:vAlign w:val="center"/>
          </w:tcPr>
          <w:p w:rsidR="007D22B3" w:rsidRPr="00B84271" w:rsidRDefault="007D22B3" w:rsidP="00064A6E">
            <w:pPr>
              <w:jc w:val="right"/>
              <w:rPr>
                <w:color w:val="000000"/>
              </w:rPr>
            </w:pPr>
            <w:r w:rsidRPr="00B84271">
              <w:rPr>
                <w:color w:val="000000"/>
              </w:rPr>
              <w:t>2</w:t>
            </w:r>
            <w:r>
              <w:rPr>
                <w:color w:val="000000"/>
              </w:rPr>
              <w:t>62 225</w:t>
            </w:r>
            <w:r w:rsidRPr="00B84271">
              <w:rPr>
                <w:color w:val="000000"/>
              </w:rPr>
              <w:t>,- Kč</w:t>
            </w:r>
          </w:p>
        </w:tc>
        <w:tc>
          <w:tcPr>
            <w:tcW w:w="3294" w:type="dxa"/>
            <w:vAlign w:val="center"/>
          </w:tcPr>
          <w:p w:rsidR="007D22B3" w:rsidRDefault="007D22B3" w:rsidP="00064A6E">
            <w:pPr>
              <w:rPr>
                <w:rFonts w:cs="Arial"/>
                <w:color w:val="000000"/>
              </w:rPr>
            </w:pPr>
          </w:p>
          <w:p w:rsidR="007D22B3" w:rsidRPr="00003986" w:rsidRDefault="007D22B3" w:rsidP="00064A6E">
            <w:r w:rsidRPr="00B84271">
              <w:rPr>
                <w:rFonts w:cs="Arial"/>
                <w:color w:val="000000"/>
              </w:rPr>
              <w:t>Reklamní kampaň na propagaci soutěže Dejte hlas českým památkám.</w:t>
            </w:r>
            <w:r>
              <w:rPr>
                <w:rFonts w:cs="Arial"/>
                <w:color w:val="000000"/>
              </w:rPr>
              <w:t xml:space="preserve"> </w:t>
            </w:r>
            <w:r w:rsidRPr="00003986">
              <w:t>Na web</w:t>
            </w:r>
            <w:r>
              <w:t xml:space="preserve">. </w:t>
            </w:r>
            <w:proofErr w:type="gramStart"/>
            <w:r w:rsidRPr="00003986">
              <w:t>stránkách</w:t>
            </w:r>
            <w:proofErr w:type="gramEnd"/>
            <w:r w:rsidRPr="00003986">
              <w:t xml:space="preserve"> </w:t>
            </w:r>
            <w:hyperlink r:id="rId55" w:history="1">
              <w:r w:rsidRPr="00003986">
                <w:t>www.mmr.cz</w:t>
              </w:r>
            </w:hyperlink>
            <w:r w:rsidRPr="00003986">
              <w:t xml:space="preserve"> </w:t>
            </w:r>
            <w:r w:rsidR="00157DEF">
              <w:br/>
            </w:r>
            <w:r w:rsidRPr="00003986">
              <w:t xml:space="preserve">a </w:t>
            </w:r>
            <w:hyperlink r:id="rId56" w:history="1">
              <w:r w:rsidR="00064A6E" w:rsidRPr="00B0344B">
                <w:rPr>
                  <w:rStyle w:val="Hypertextovodkaz"/>
                </w:rPr>
                <w:t>www.kvalitazivota.eu</w:t>
              </w:r>
            </w:hyperlink>
            <w:r>
              <w:rPr>
                <w:color w:val="FF0000"/>
              </w:rPr>
              <w:t xml:space="preserve"> </w:t>
            </w:r>
            <w:r w:rsidRPr="00003986">
              <w:t xml:space="preserve">byla zveřejněna pravidla soutěže. Konala se od 1. 5. do 31. 8. 2014. Hlasovat bylo možné pro 16 jedinečných památkových projektů. Úkolem soutěžících bylo vybrat si nejoblíbenější projekt a dát mu svůj hlas prostřednictvím webu. </w:t>
            </w:r>
          </w:p>
          <w:p w:rsidR="007D22B3" w:rsidRPr="00B84271" w:rsidRDefault="007D22B3" w:rsidP="00064A6E">
            <w:pPr>
              <w:rPr>
                <w:color w:val="000000"/>
              </w:rPr>
            </w:pPr>
          </w:p>
        </w:tc>
      </w:tr>
      <w:tr w:rsidR="007D22B3" w:rsidRPr="00522998" w:rsidTr="00064A6E">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rPr>
                <w:rFonts w:eastAsia="Calibri"/>
              </w:rPr>
              <w:t>Výroční konference IOP a IROP: Úspěchy a nové cíle</w:t>
            </w:r>
          </w:p>
        </w:tc>
        <w:tc>
          <w:tcPr>
            <w:tcW w:w="2200" w:type="dxa"/>
            <w:vAlign w:val="center"/>
          </w:tcPr>
          <w:p w:rsidR="007D22B3" w:rsidRPr="00003986" w:rsidRDefault="007D22B3" w:rsidP="00064A6E">
            <w:r w:rsidRPr="00003986">
              <w:rPr>
                <w:rFonts w:eastAsia="Calibri"/>
              </w:rPr>
              <w:t>Konference na téma přechodu od IOP  k IROP</w:t>
            </w:r>
          </w:p>
        </w:tc>
        <w:tc>
          <w:tcPr>
            <w:tcW w:w="2704" w:type="dxa"/>
            <w:vAlign w:val="center"/>
          </w:tcPr>
          <w:p w:rsidR="007D22B3" w:rsidRPr="00003986" w:rsidRDefault="007D22B3" w:rsidP="00064A6E">
            <w:r w:rsidRPr="00003986">
              <w:rPr>
                <w:rFonts w:eastAsia="Calibri"/>
              </w:rPr>
              <w:t>Odborná veřejnost</w:t>
            </w:r>
          </w:p>
        </w:tc>
        <w:tc>
          <w:tcPr>
            <w:tcW w:w="2032" w:type="dxa"/>
            <w:vAlign w:val="center"/>
          </w:tcPr>
          <w:p w:rsidR="007D22B3" w:rsidRPr="00003986" w:rsidRDefault="007D22B3" w:rsidP="00064A6E">
            <w:pPr>
              <w:jc w:val="right"/>
            </w:pPr>
            <w:r w:rsidRPr="00003986">
              <w:t>93 151,90 Kč</w:t>
            </w:r>
          </w:p>
        </w:tc>
        <w:tc>
          <w:tcPr>
            <w:tcW w:w="3294" w:type="dxa"/>
            <w:vAlign w:val="center"/>
          </w:tcPr>
          <w:p w:rsidR="007D22B3" w:rsidRPr="00003986" w:rsidRDefault="007D22B3" w:rsidP="00064A6E">
            <w:r w:rsidRPr="00003986">
              <w:rPr>
                <w:rFonts w:eastAsia="Calibri"/>
              </w:rPr>
              <w:t xml:space="preserve">Konference ke shrnutí výsledků IOP </w:t>
            </w:r>
            <w:r w:rsidR="00157DEF">
              <w:rPr>
                <w:rFonts w:eastAsia="Calibri"/>
              </w:rPr>
              <w:br/>
            </w:r>
            <w:r w:rsidRPr="00003986">
              <w:rPr>
                <w:rFonts w:eastAsia="Calibri"/>
              </w:rPr>
              <w:t>a seznámení s novým programovým obdobím a dotačními možnostmi v IROP. Pardubice 24. 9. 2014</w:t>
            </w:r>
          </w:p>
        </w:tc>
      </w:tr>
      <w:tr w:rsidR="007D22B3" w:rsidRPr="00522998" w:rsidTr="00064A6E">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t>Inzerce v MF dnes</w:t>
            </w:r>
          </w:p>
        </w:tc>
        <w:tc>
          <w:tcPr>
            <w:tcW w:w="2200" w:type="dxa"/>
            <w:vAlign w:val="center"/>
          </w:tcPr>
          <w:p w:rsidR="007D22B3" w:rsidRPr="00003986" w:rsidRDefault="007D22B3" w:rsidP="00064A6E">
            <w:r w:rsidRPr="00003986">
              <w:rPr>
                <w:rFonts w:eastAsia="Calibri"/>
              </w:rPr>
              <w:t>Vyhlášení výzvy č. 25</w:t>
            </w:r>
          </w:p>
        </w:tc>
        <w:tc>
          <w:tcPr>
            <w:tcW w:w="2704" w:type="dxa"/>
            <w:vAlign w:val="center"/>
          </w:tcPr>
          <w:p w:rsidR="007D22B3" w:rsidRPr="00003986" w:rsidRDefault="007D22B3" w:rsidP="00064A6E">
            <w:r w:rsidRPr="00003986">
              <w:t>veřejnost</w:t>
            </w:r>
          </w:p>
        </w:tc>
        <w:tc>
          <w:tcPr>
            <w:tcW w:w="2032" w:type="dxa"/>
            <w:vAlign w:val="center"/>
          </w:tcPr>
          <w:p w:rsidR="007D22B3" w:rsidRPr="00003986" w:rsidRDefault="007D22B3" w:rsidP="00064A6E">
            <w:pPr>
              <w:jc w:val="right"/>
            </w:pPr>
            <w:r w:rsidRPr="00003986">
              <w:t>93 848,- Kč</w:t>
            </w:r>
          </w:p>
        </w:tc>
        <w:tc>
          <w:tcPr>
            <w:tcW w:w="3294" w:type="dxa"/>
            <w:vAlign w:val="center"/>
          </w:tcPr>
          <w:p w:rsidR="007D22B3" w:rsidRPr="00003986" w:rsidRDefault="007D22B3" w:rsidP="00064A6E">
            <w:r w:rsidRPr="00003986">
              <w:t>Informace o vyhlášení výzvy v oblasti cestovního ruchu.</w:t>
            </w:r>
          </w:p>
        </w:tc>
      </w:tr>
      <w:tr w:rsidR="007D22B3" w:rsidRPr="00522998" w:rsidTr="00064A6E">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t xml:space="preserve">Dotazy prostřednictvím iop@mmr.cz </w:t>
            </w:r>
          </w:p>
        </w:tc>
        <w:tc>
          <w:tcPr>
            <w:tcW w:w="2200" w:type="dxa"/>
            <w:vAlign w:val="center"/>
          </w:tcPr>
          <w:p w:rsidR="007D22B3" w:rsidRPr="00003986" w:rsidRDefault="007D22B3" w:rsidP="00064A6E">
            <w:r w:rsidRPr="00003986">
              <w:t>Dotazy IOP</w:t>
            </w:r>
          </w:p>
        </w:tc>
        <w:tc>
          <w:tcPr>
            <w:tcW w:w="2704" w:type="dxa"/>
            <w:vAlign w:val="center"/>
          </w:tcPr>
          <w:p w:rsidR="007D22B3" w:rsidRPr="00003986" w:rsidRDefault="007D22B3" w:rsidP="00064A6E">
            <w:r w:rsidRPr="00003986">
              <w:t>veřejnost, příjemci, žadatelé</w:t>
            </w:r>
          </w:p>
        </w:tc>
        <w:tc>
          <w:tcPr>
            <w:tcW w:w="2032" w:type="dxa"/>
            <w:vAlign w:val="center"/>
          </w:tcPr>
          <w:p w:rsidR="007D22B3" w:rsidRPr="00003986" w:rsidRDefault="007D22B3" w:rsidP="00064A6E">
            <w:pPr>
              <w:jc w:val="right"/>
            </w:pPr>
            <w:r w:rsidRPr="00003986">
              <w:t>0,- Kč</w:t>
            </w:r>
          </w:p>
        </w:tc>
        <w:tc>
          <w:tcPr>
            <w:tcW w:w="3294" w:type="dxa"/>
            <w:vAlign w:val="center"/>
          </w:tcPr>
          <w:p w:rsidR="007D22B3" w:rsidRPr="00003986" w:rsidRDefault="007D22B3" w:rsidP="00064A6E">
            <w:r w:rsidRPr="00003986">
              <w:t>Počet zodpovězených dotazů: 62</w:t>
            </w:r>
          </w:p>
        </w:tc>
      </w:tr>
      <w:tr w:rsidR="007D22B3" w:rsidRPr="00522998" w:rsidTr="00064A6E">
        <w:tc>
          <w:tcPr>
            <w:tcW w:w="1257" w:type="dxa"/>
            <w:vAlign w:val="center"/>
          </w:tcPr>
          <w:p w:rsidR="007D22B3" w:rsidRPr="00003986" w:rsidRDefault="007D22B3" w:rsidP="00064A6E">
            <w:r w:rsidRPr="00003986">
              <w:t xml:space="preserve">ŘO ve spolupráci s </w:t>
            </w:r>
            <w:proofErr w:type="gramStart"/>
            <w:r w:rsidRPr="00003986">
              <w:lastRenderedPageBreak/>
              <w:t>NOK</w:t>
            </w:r>
            <w:proofErr w:type="gramEnd"/>
          </w:p>
        </w:tc>
        <w:tc>
          <w:tcPr>
            <w:tcW w:w="2547" w:type="dxa"/>
            <w:vAlign w:val="center"/>
          </w:tcPr>
          <w:p w:rsidR="007D22B3" w:rsidRPr="00003986" w:rsidRDefault="007D22B3" w:rsidP="00064A6E">
            <w:r w:rsidRPr="00003986">
              <w:lastRenderedPageBreak/>
              <w:t>Inzerce v Hospodářských novinách 5. 6. 2014</w:t>
            </w:r>
          </w:p>
        </w:tc>
        <w:tc>
          <w:tcPr>
            <w:tcW w:w="2200" w:type="dxa"/>
            <w:vAlign w:val="center"/>
          </w:tcPr>
          <w:p w:rsidR="007D22B3" w:rsidRPr="00003986" w:rsidRDefault="007D22B3" w:rsidP="00064A6E">
            <w:r w:rsidRPr="00003986">
              <w:t>Inzerce</w:t>
            </w:r>
          </w:p>
        </w:tc>
        <w:tc>
          <w:tcPr>
            <w:tcW w:w="2704" w:type="dxa"/>
            <w:vAlign w:val="center"/>
          </w:tcPr>
          <w:p w:rsidR="007D22B3" w:rsidRPr="00003986" w:rsidRDefault="007D22B3" w:rsidP="00064A6E">
            <w:r w:rsidRPr="00003986">
              <w:t>veřejnost</w:t>
            </w:r>
          </w:p>
        </w:tc>
        <w:tc>
          <w:tcPr>
            <w:tcW w:w="2032" w:type="dxa"/>
            <w:vAlign w:val="center"/>
          </w:tcPr>
          <w:p w:rsidR="007D22B3" w:rsidRPr="00003986" w:rsidRDefault="007D22B3" w:rsidP="00064A6E">
            <w:pPr>
              <w:jc w:val="right"/>
            </w:pPr>
            <w:r w:rsidRPr="00003986">
              <w:t>0,- Kč</w:t>
            </w:r>
          </w:p>
        </w:tc>
        <w:tc>
          <w:tcPr>
            <w:tcW w:w="3294" w:type="dxa"/>
            <w:vAlign w:val="center"/>
          </w:tcPr>
          <w:p w:rsidR="007D22B3" w:rsidRPr="00003986" w:rsidRDefault="007D22B3" w:rsidP="00064A6E">
            <w:r w:rsidRPr="00003986">
              <w:t xml:space="preserve">Zveřejnění prezentace IOP – sociální podnikání, oblast zdravotnictví, IPRM </w:t>
            </w:r>
            <w:r w:rsidRPr="00003986">
              <w:lastRenderedPageBreak/>
              <w:t>a projekty z oblasti podpory kulturního dědictví v rozsahu 3 stran.</w:t>
            </w:r>
          </w:p>
        </w:tc>
      </w:tr>
      <w:tr w:rsidR="007D22B3" w:rsidRPr="00522998" w:rsidTr="00064A6E">
        <w:tc>
          <w:tcPr>
            <w:tcW w:w="1257" w:type="dxa"/>
            <w:vAlign w:val="center"/>
          </w:tcPr>
          <w:p w:rsidR="007D22B3" w:rsidRPr="00003986" w:rsidRDefault="007D22B3" w:rsidP="00064A6E">
            <w:r w:rsidRPr="00003986">
              <w:lastRenderedPageBreak/>
              <w:t xml:space="preserve">ŘO </w:t>
            </w:r>
          </w:p>
        </w:tc>
        <w:tc>
          <w:tcPr>
            <w:tcW w:w="2547" w:type="dxa"/>
            <w:vAlign w:val="center"/>
          </w:tcPr>
          <w:p w:rsidR="007D22B3" w:rsidRPr="00003986" w:rsidRDefault="007D22B3" w:rsidP="00064A6E">
            <w:r w:rsidRPr="00003986">
              <w:t>Informační stánky IOP</w:t>
            </w:r>
          </w:p>
        </w:tc>
        <w:tc>
          <w:tcPr>
            <w:tcW w:w="2200" w:type="dxa"/>
            <w:vAlign w:val="center"/>
          </w:tcPr>
          <w:p w:rsidR="007D22B3" w:rsidRPr="00003986" w:rsidRDefault="007D22B3" w:rsidP="00064A6E">
            <w:r w:rsidRPr="00003986">
              <w:t>Informování o IOP</w:t>
            </w:r>
          </w:p>
        </w:tc>
        <w:tc>
          <w:tcPr>
            <w:tcW w:w="2704" w:type="dxa"/>
            <w:vAlign w:val="center"/>
          </w:tcPr>
          <w:p w:rsidR="007D22B3" w:rsidRPr="00003986" w:rsidRDefault="007D22B3" w:rsidP="00064A6E">
            <w:r w:rsidRPr="00003986">
              <w:t>veřejnost</w:t>
            </w:r>
          </w:p>
          <w:p w:rsidR="007D22B3" w:rsidRPr="00003986" w:rsidRDefault="007D22B3" w:rsidP="00064A6E"/>
        </w:tc>
        <w:tc>
          <w:tcPr>
            <w:tcW w:w="2032" w:type="dxa"/>
            <w:vAlign w:val="center"/>
          </w:tcPr>
          <w:p w:rsidR="007D22B3" w:rsidRPr="00003986" w:rsidRDefault="007D22B3" w:rsidP="00064A6E">
            <w:pPr>
              <w:jc w:val="right"/>
            </w:pPr>
            <w:r w:rsidRPr="00003986">
              <w:t>0,- Kč</w:t>
            </w:r>
          </w:p>
        </w:tc>
        <w:tc>
          <w:tcPr>
            <w:tcW w:w="3294" w:type="dxa"/>
            <w:vAlign w:val="center"/>
          </w:tcPr>
          <w:p w:rsidR="007D22B3" w:rsidRPr="00003986" w:rsidRDefault="007D22B3" w:rsidP="00064A6E">
            <w:r w:rsidRPr="00003986">
              <w:t xml:space="preserve">Informační stánky Integrovaného operačního programu na akcích </w:t>
            </w:r>
            <w:proofErr w:type="spellStart"/>
            <w:r w:rsidRPr="00003986">
              <w:t>Ladronka</w:t>
            </w:r>
            <w:proofErr w:type="spellEnd"/>
            <w:r>
              <w:t xml:space="preserve"> </w:t>
            </w:r>
            <w:proofErr w:type="spellStart"/>
            <w:r w:rsidRPr="00003986">
              <w:t>fest</w:t>
            </w:r>
            <w:proofErr w:type="spellEnd"/>
            <w:r w:rsidRPr="00003986">
              <w:t xml:space="preserve"> a Den Evropy. Akce se konaly ve spolupráci s Národním orgánem pro koordinaci.</w:t>
            </w:r>
          </w:p>
        </w:tc>
      </w:tr>
      <w:tr w:rsidR="007D22B3" w:rsidRPr="00522998" w:rsidTr="00064A6E">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t>Fotodokumentace vybraných projektů IOP</w:t>
            </w:r>
          </w:p>
          <w:p w:rsidR="007D22B3" w:rsidRPr="00003986" w:rsidRDefault="007D22B3" w:rsidP="00064A6E"/>
        </w:tc>
        <w:tc>
          <w:tcPr>
            <w:tcW w:w="2200" w:type="dxa"/>
            <w:vAlign w:val="center"/>
          </w:tcPr>
          <w:p w:rsidR="007D22B3" w:rsidRPr="00003986" w:rsidRDefault="007D22B3" w:rsidP="00064A6E">
            <w:r w:rsidRPr="00003986">
              <w:t>Fotodokumentace vybraných projektů ze všech oblastí podpory IOP.</w:t>
            </w:r>
          </w:p>
        </w:tc>
        <w:tc>
          <w:tcPr>
            <w:tcW w:w="2704" w:type="dxa"/>
            <w:vAlign w:val="center"/>
          </w:tcPr>
          <w:p w:rsidR="007D22B3" w:rsidRPr="00003986" w:rsidRDefault="007D22B3" w:rsidP="00064A6E">
            <w:r w:rsidRPr="00003986">
              <w:t>Příjemci a veřejnost</w:t>
            </w:r>
          </w:p>
        </w:tc>
        <w:tc>
          <w:tcPr>
            <w:tcW w:w="2032" w:type="dxa"/>
            <w:vAlign w:val="center"/>
          </w:tcPr>
          <w:p w:rsidR="007D22B3" w:rsidRPr="00003986" w:rsidRDefault="007D22B3" w:rsidP="00064A6E">
            <w:pPr>
              <w:jc w:val="right"/>
            </w:pPr>
            <w:r w:rsidRPr="00003986">
              <w:t>192 000,- Kč</w:t>
            </w:r>
          </w:p>
        </w:tc>
        <w:tc>
          <w:tcPr>
            <w:tcW w:w="3294" w:type="dxa"/>
            <w:vAlign w:val="center"/>
          </w:tcPr>
          <w:p w:rsidR="007D22B3" w:rsidRPr="00003986" w:rsidRDefault="007D22B3" w:rsidP="00064A6E">
            <w:r w:rsidRPr="00003986">
              <w:t>Fotodokumentace exteriéru a interiéru projektů IOP využitelná pro elektronickou a tištěnou formu publikací. Celkem byla pořízena fotodokumentace 25 projektů.</w:t>
            </w:r>
          </w:p>
        </w:tc>
      </w:tr>
      <w:tr w:rsidR="007D22B3" w:rsidRPr="00522998" w:rsidTr="00064A6E">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t xml:space="preserve">Účast na veletrhu Památky </w:t>
            </w:r>
          </w:p>
        </w:tc>
        <w:tc>
          <w:tcPr>
            <w:tcW w:w="2200" w:type="dxa"/>
            <w:vAlign w:val="center"/>
          </w:tcPr>
          <w:p w:rsidR="007D22B3" w:rsidRPr="00003986" w:rsidRDefault="007D22B3" w:rsidP="00064A6E">
            <w:r w:rsidRPr="00003986">
              <w:t>Kulturní dědictví</w:t>
            </w:r>
          </w:p>
        </w:tc>
        <w:tc>
          <w:tcPr>
            <w:tcW w:w="2704" w:type="dxa"/>
            <w:vAlign w:val="center"/>
          </w:tcPr>
          <w:p w:rsidR="007D22B3" w:rsidRPr="00003986" w:rsidRDefault="007D22B3" w:rsidP="00064A6E">
            <w:r w:rsidRPr="00003986">
              <w:t>veřejnost</w:t>
            </w:r>
          </w:p>
        </w:tc>
        <w:tc>
          <w:tcPr>
            <w:tcW w:w="2032" w:type="dxa"/>
            <w:vAlign w:val="center"/>
          </w:tcPr>
          <w:p w:rsidR="007D22B3" w:rsidRPr="00003986" w:rsidRDefault="007D22B3" w:rsidP="00064A6E">
            <w:pPr>
              <w:jc w:val="right"/>
            </w:pPr>
            <w:r w:rsidRPr="00003986">
              <w:t>89 540,- Kč</w:t>
            </w:r>
          </w:p>
        </w:tc>
        <w:tc>
          <w:tcPr>
            <w:tcW w:w="3294" w:type="dxa"/>
            <w:vAlign w:val="center"/>
          </w:tcPr>
          <w:p w:rsidR="007D22B3" w:rsidRPr="00003986" w:rsidRDefault="007D22B3" w:rsidP="00064A6E">
            <w:pPr>
              <w:autoSpaceDE w:val="0"/>
              <w:autoSpaceDN w:val="0"/>
              <w:adjustRightInd w:val="0"/>
            </w:pPr>
            <w:r w:rsidRPr="00003986">
              <w:t>Stánek prezentují opravy památek financované IOP na specializovaném veletrhu Památky v Průmyslovém paláci na výstavišti v pražských Holešovicích, Praha 23. – 24. 10. 2014.</w:t>
            </w:r>
          </w:p>
        </w:tc>
      </w:tr>
      <w:tr w:rsidR="007D22B3" w:rsidRPr="00522998" w:rsidTr="00064A6E">
        <w:trPr>
          <w:trHeight w:val="1088"/>
        </w:trPr>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t xml:space="preserve">Propagační předměty </w:t>
            </w:r>
          </w:p>
        </w:tc>
        <w:tc>
          <w:tcPr>
            <w:tcW w:w="2200" w:type="dxa"/>
            <w:vAlign w:val="center"/>
          </w:tcPr>
          <w:p w:rsidR="007D22B3" w:rsidRPr="00003986" w:rsidRDefault="007D22B3" w:rsidP="00064A6E">
            <w:r w:rsidRPr="00003986">
              <w:t>Zviditelnění IOP a jeho projektů</w:t>
            </w:r>
          </w:p>
        </w:tc>
        <w:tc>
          <w:tcPr>
            <w:tcW w:w="2704" w:type="dxa"/>
            <w:vAlign w:val="center"/>
          </w:tcPr>
          <w:p w:rsidR="007D22B3" w:rsidRPr="00003986" w:rsidRDefault="007D22B3" w:rsidP="00064A6E">
            <w:r w:rsidRPr="00003986">
              <w:t>Široká a odborná veřejnost</w:t>
            </w:r>
          </w:p>
        </w:tc>
        <w:tc>
          <w:tcPr>
            <w:tcW w:w="2032" w:type="dxa"/>
            <w:vAlign w:val="center"/>
          </w:tcPr>
          <w:p w:rsidR="007D22B3" w:rsidRPr="00003986" w:rsidRDefault="007D22B3" w:rsidP="00064A6E">
            <w:pPr>
              <w:jc w:val="right"/>
            </w:pPr>
          </w:p>
          <w:p w:rsidR="007D22B3" w:rsidRPr="00003986" w:rsidRDefault="007D22B3" w:rsidP="00064A6E">
            <w:pPr>
              <w:jc w:val="right"/>
            </w:pPr>
            <w:r w:rsidRPr="00003986">
              <w:t>345 585,- Kč</w:t>
            </w:r>
          </w:p>
        </w:tc>
        <w:tc>
          <w:tcPr>
            <w:tcW w:w="3294" w:type="dxa"/>
            <w:vAlign w:val="center"/>
          </w:tcPr>
          <w:p w:rsidR="007D22B3" w:rsidRPr="00003986" w:rsidRDefault="007D22B3" w:rsidP="00064A6E">
            <w:r w:rsidRPr="00003986">
              <w:t>Propagační předměty typu kalendář s fotografiemi a popisy úspěšných projektů, diář, novoročenka, solární nabíječky</w:t>
            </w:r>
          </w:p>
        </w:tc>
      </w:tr>
      <w:tr w:rsidR="007D22B3" w:rsidRPr="00522998" w:rsidTr="00064A6E">
        <w:tc>
          <w:tcPr>
            <w:tcW w:w="1257" w:type="dxa"/>
            <w:vAlign w:val="center"/>
          </w:tcPr>
          <w:p w:rsidR="007D22B3" w:rsidRPr="00003986" w:rsidRDefault="007D22B3" w:rsidP="00064A6E">
            <w:r w:rsidRPr="00003986">
              <w:t xml:space="preserve">ŘO </w:t>
            </w:r>
          </w:p>
        </w:tc>
        <w:tc>
          <w:tcPr>
            <w:tcW w:w="2547" w:type="dxa"/>
            <w:vAlign w:val="center"/>
          </w:tcPr>
          <w:p w:rsidR="007D22B3" w:rsidRPr="00003986" w:rsidRDefault="007D22B3" w:rsidP="00064A6E">
            <w:r w:rsidRPr="00003986">
              <w:t>Semináře pro manažery IPRM</w:t>
            </w:r>
          </w:p>
        </w:tc>
        <w:tc>
          <w:tcPr>
            <w:tcW w:w="2200" w:type="dxa"/>
            <w:vAlign w:val="center"/>
          </w:tcPr>
          <w:p w:rsidR="007D22B3" w:rsidRPr="00003986" w:rsidRDefault="007D22B3" w:rsidP="00064A6E">
            <w:r w:rsidRPr="00003986">
              <w:t>IPRM</w:t>
            </w:r>
          </w:p>
        </w:tc>
        <w:tc>
          <w:tcPr>
            <w:tcW w:w="2704" w:type="dxa"/>
            <w:vAlign w:val="center"/>
          </w:tcPr>
          <w:p w:rsidR="007D22B3" w:rsidRPr="00003986" w:rsidRDefault="007D22B3" w:rsidP="00064A6E">
            <w:r w:rsidRPr="00003986">
              <w:t>Příjemci</w:t>
            </w:r>
          </w:p>
        </w:tc>
        <w:tc>
          <w:tcPr>
            <w:tcW w:w="2032" w:type="dxa"/>
            <w:vAlign w:val="center"/>
          </w:tcPr>
          <w:p w:rsidR="007D22B3" w:rsidRPr="00003986" w:rsidRDefault="007D22B3" w:rsidP="00064A6E">
            <w:pPr>
              <w:jc w:val="right"/>
            </w:pPr>
            <w:r w:rsidRPr="00003986">
              <w:t>0,- Kč</w:t>
            </w:r>
          </w:p>
        </w:tc>
        <w:tc>
          <w:tcPr>
            <w:tcW w:w="3294" w:type="dxa"/>
            <w:vAlign w:val="center"/>
          </w:tcPr>
          <w:p w:rsidR="007D22B3" w:rsidRPr="00003986" w:rsidRDefault="007D22B3" w:rsidP="00064A6E">
            <w:r w:rsidRPr="00003986">
              <w:t>Pravidelná informační setkání zástupců IOP s manažery IPRM Praha 27. 11. a Olomouc 4. 12.</w:t>
            </w:r>
          </w:p>
        </w:tc>
      </w:tr>
      <w:tr w:rsidR="007D22B3" w:rsidRPr="00522998" w:rsidTr="00064A6E">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t>Seminář pro příjemce oblasti intervence 5.1</w:t>
            </w:r>
          </w:p>
        </w:tc>
        <w:tc>
          <w:tcPr>
            <w:tcW w:w="2200" w:type="dxa"/>
            <w:vAlign w:val="center"/>
          </w:tcPr>
          <w:p w:rsidR="007D22B3" w:rsidRPr="00003986" w:rsidRDefault="007D22B3" w:rsidP="00064A6E">
            <w:r w:rsidRPr="00003986">
              <w:t>Kulturní dědictví</w:t>
            </w:r>
          </w:p>
        </w:tc>
        <w:tc>
          <w:tcPr>
            <w:tcW w:w="2704" w:type="dxa"/>
            <w:vAlign w:val="center"/>
          </w:tcPr>
          <w:p w:rsidR="007D22B3" w:rsidRPr="00003986" w:rsidRDefault="007D22B3" w:rsidP="00064A6E">
            <w:r w:rsidRPr="00003986">
              <w:t>Příjemci</w:t>
            </w:r>
          </w:p>
        </w:tc>
        <w:tc>
          <w:tcPr>
            <w:tcW w:w="2032" w:type="dxa"/>
            <w:vAlign w:val="center"/>
          </w:tcPr>
          <w:p w:rsidR="007D22B3" w:rsidRPr="00003986" w:rsidRDefault="007D22B3" w:rsidP="00064A6E">
            <w:pPr>
              <w:jc w:val="right"/>
            </w:pPr>
            <w:r w:rsidRPr="00003986">
              <w:t>0,- Kč</w:t>
            </w:r>
          </w:p>
        </w:tc>
        <w:tc>
          <w:tcPr>
            <w:tcW w:w="3294" w:type="dxa"/>
            <w:vAlign w:val="center"/>
          </w:tcPr>
          <w:p w:rsidR="007D22B3" w:rsidRPr="00003986" w:rsidRDefault="007D22B3" w:rsidP="00064A6E">
            <w:r w:rsidRPr="00003986">
              <w:t xml:space="preserve">Seminář pro příjemce oblasti intervence 5.1 Národní podpora využití potenciálu kulturního dědictví aktivita a), b) Praha 19. 1. 2014. </w:t>
            </w:r>
          </w:p>
        </w:tc>
      </w:tr>
      <w:tr w:rsidR="007D22B3" w:rsidRPr="00522998" w:rsidTr="00064A6E">
        <w:tc>
          <w:tcPr>
            <w:tcW w:w="1257" w:type="dxa"/>
            <w:vAlign w:val="center"/>
          </w:tcPr>
          <w:p w:rsidR="007D22B3" w:rsidRPr="00003986" w:rsidRDefault="007D22B3" w:rsidP="00064A6E">
            <w:r w:rsidRPr="00003986">
              <w:t>ŘO</w:t>
            </w:r>
          </w:p>
        </w:tc>
        <w:tc>
          <w:tcPr>
            <w:tcW w:w="2547" w:type="dxa"/>
            <w:vAlign w:val="center"/>
          </w:tcPr>
          <w:p w:rsidR="007D22B3" w:rsidRPr="00003986" w:rsidRDefault="007D22B3" w:rsidP="00064A6E">
            <w:r w:rsidRPr="00003986">
              <w:t>Tiskové zprávy, komunikace na sociálních sítích</w:t>
            </w:r>
          </w:p>
        </w:tc>
        <w:tc>
          <w:tcPr>
            <w:tcW w:w="2200" w:type="dxa"/>
            <w:vAlign w:val="center"/>
          </w:tcPr>
          <w:p w:rsidR="007D22B3" w:rsidRPr="00003986" w:rsidRDefault="007D22B3" w:rsidP="00064A6E">
            <w:r w:rsidRPr="00003986">
              <w:t>Zviditelnění aktivit ŘO</w:t>
            </w:r>
          </w:p>
        </w:tc>
        <w:tc>
          <w:tcPr>
            <w:tcW w:w="2704" w:type="dxa"/>
            <w:vAlign w:val="center"/>
          </w:tcPr>
          <w:p w:rsidR="007D22B3" w:rsidRPr="00003986" w:rsidRDefault="007D22B3" w:rsidP="00064A6E">
            <w:r w:rsidRPr="00003986">
              <w:t>Široká a odborná veřejnost</w:t>
            </w:r>
          </w:p>
        </w:tc>
        <w:tc>
          <w:tcPr>
            <w:tcW w:w="2032" w:type="dxa"/>
            <w:vAlign w:val="center"/>
          </w:tcPr>
          <w:p w:rsidR="007D22B3" w:rsidRPr="00003986" w:rsidRDefault="007D22B3" w:rsidP="00064A6E">
            <w:pPr>
              <w:jc w:val="right"/>
            </w:pPr>
            <w:r w:rsidRPr="00003986">
              <w:t>0,- Kč</w:t>
            </w:r>
          </w:p>
        </w:tc>
        <w:tc>
          <w:tcPr>
            <w:tcW w:w="3294" w:type="dxa"/>
            <w:vAlign w:val="center"/>
          </w:tcPr>
          <w:p w:rsidR="007D22B3" w:rsidRPr="00003986" w:rsidRDefault="007D22B3" w:rsidP="00064A6E">
            <w:r w:rsidRPr="00003986">
              <w:t xml:space="preserve">Průběžně zveřejňované aktuální informace formou tiskových zpráv </w:t>
            </w:r>
            <w:r w:rsidR="005B1D87">
              <w:br/>
            </w:r>
            <w:r w:rsidRPr="00003986">
              <w:t>a informací na sociálních sítích.</w:t>
            </w:r>
          </w:p>
        </w:tc>
      </w:tr>
      <w:tr w:rsidR="007D22B3" w:rsidRPr="00522998" w:rsidTr="00157DEF">
        <w:tc>
          <w:tcPr>
            <w:tcW w:w="1257" w:type="dxa"/>
            <w:shd w:val="clear" w:color="auto" w:fill="D9D9D9" w:themeFill="background1" w:themeFillShade="D9"/>
            <w:vAlign w:val="center"/>
          </w:tcPr>
          <w:p w:rsidR="007D22B3" w:rsidRPr="00003986" w:rsidRDefault="007D22B3" w:rsidP="00064A6E">
            <w:r w:rsidRPr="00003986">
              <w:t>CRR</w:t>
            </w:r>
          </w:p>
        </w:tc>
        <w:tc>
          <w:tcPr>
            <w:tcW w:w="2547" w:type="dxa"/>
            <w:shd w:val="clear" w:color="auto" w:fill="D9D9D9" w:themeFill="background1" w:themeFillShade="D9"/>
            <w:vAlign w:val="center"/>
          </w:tcPr>
          <w:p w:rsidR="007D22B3" w:rsidRPr="00003986" w:rsidRDefault="007D22B3" w:rsidP="00064A6E">
            <w:r w:rsidRPr="00003986">
              <w:t>Odborné PR články</w:t>
            </w:r>
          </w:p>
        </w:tc>
        <w:tc>
          <w:tcPr>
            <w:tcW w:w="2200" w:type="dxa"/>
            <w:shd w:val="clear" w:color="auto" w:fill="D9D9D9" w:themeFill="background1" w:themeFillShade="D9"/>
            <w:vAlign w:val="center"/>
          </w:tcPr>
          <w:p w:rsidR="007D22B3" w:rsidRPr="00003986" w:rsidRDefault="007D22B3" w:rsidP="00064A6E">
            <w:r w:rsidRPr="00003986">
              <w:t xml:space="preserve">Dotační možnosti z IOP 5.2 na opravu panelových domů a </w:t>
            </w:r>
            <w:r w:rsidRPr="00003986">
              <w:lastRenderedPageBreak/>
              <w:t>regeneraci sídlišť (Integrované plány rozvoje měst)</w:t>
            </w:r>
          </w:p>
          <w:p w:rsidR="007D22B3" w:rsidRPr="00003986" w:rsidRDefault="007D22B3" w:rsidP="00064A6E"/>
        </w:tc>
        <w:tc>
          <w:tcPr>
            <w:tcW w:w="2704" w:type="dxa"/>
            <w:shd w:val="clear" w:color="auto" w:fill="D9D9D9" w:themeFill="background1" w:themeFillShade="D9"/>
            <w:vAlign w:val="center"/>
          </w:tcPr>
          <w:p w:rsidR="007D22B3" w:rsidRPr="00003986" w:rsidRDefault="007D22B3" w:rsidP="00064A6E">
            <w:r w:rsidRPr="00003986">
              <w:lastRenderedPageBreak/>
              <w:t>Příjemci a žadatelé, veřejnost</w:t>
            </w:r>
          </w:p>
        </w:tc>
        <w:tc>
          <w:tcPr>
            <w:tcW w:w="2032" w:type="dxa"/>
            <w:shd w:val="clear" w:color="auto" w:fill="D9D9D9" w:themeFill="background1" w:themeFillShade="D9"/>
            <w:vAlign w:val="center"/>
          </w:tcPr>
          <w:p w:rsidR="007D22B3" w:rsidRPr="00003986" w:rsidRDefault="007D22B3" w:rsidP="00064A6E">
            <w:pPr>
              <w:jc w:val="right"/>
            </w:pPr>
            <w:r w:rsidRPr="00003986">
              <w:t>39 32</w:t>
            </w:r>
            <w:r>
              <w:t>4</w:t>
            </w:r>
            <w:r w:rsidRPr="00003986">
              <w:t>,- Kč včetně DPH</w:t>
            </w:r>
          </w:p>
        </w:tc>
        <w:tc>
          <w:tcPr>
            <w:tcW w:w="3294" w:type="dxa"/>
            <w:shd w:val="clear" w:color="auto" w:fill="D9D9D9" w:themeFill="background1" w:themeFillShade="D9"/>
            <w:vAlign w:val="center"/>
          </w:tcPr>
          <w:p w:rsidR="007D22B3" w:rsidRPr="00003986" w:rsidRDefault="007D22B3" w:rsidP="00064A6E">
            <w:r w:rsidRPr="00003986">
              <w:t xml:space="preserve">Článek „Evropské dotace pomáhají zlepšit prostředí českých sídlišť“ – časopis Panelák 43 (Český Těšín, </w:t>
            </w:r>
            <w:r w:rsidRPr="00003986">
              <w:lastRenderedPageBreak/>
              <w:t>Ostrava, Karviná; únor 2014), 44 (České Budějovice a Strakonice; květen 2014), 45 (Brno, Břeclav, Uherské Hradiště; září 2014); článek „Regenerace bytových domů z evropských strukturálních fondů“ v katalogu Bydlet v panelu 2014/2015 (září 2014); článek „Jak probíhá revitalizace sídlišť v českých městech“ v časopise Výstavba měst a obcí 4/2014 (listopad 2014).</w:t>
            </w:r>
          </w:p>
        </w:tc>
      </w:tr>
      <w:tr w:rsidR="007D22B3" w:rsidRPr="00522998" w:rsidTr="00157DEF">
        <w:tc>
          <w:tcPr>
            <w:tcW w:w="1257" w:type="dxa"/>
            <w:shd w:val="clear" w:color="auto" w:fill="D9D9D9" w:themeFill="background1" w:themeFillShade="D9"/>
            <w:vAlign w:val="center"/>
          </w:tcPr>
          <w:p w:rsidR="007D22B3" w:rsidRPr="00003986" w:rsidRDefault="007D22B3" w:rsidP="00064A6E">
            <w:r w:rsidRPr="00003986">
              <w:lastRenderedPageBreak/>
              <w:t>CRR</w:t>
            </w:r>
          </w:p>
        </w:tc>
        <w:tc>
          <w:tcPr>
            <w:tcW w:w="2547" w:type="dxa"/>
            <w:shd w:val="clear" w:color="auto" w:fill="D9D9D9" w:themeFill="background1" w:themeFillShade="D9"/>
            <w:vAlign w:val="center"/>
          </w:tcPr>
          <w:p w:rsidR="007D22B3" w:rsidRPr="00003986" w:rsidRDefault="007D22B3" w:rsidP="00064A6E">
            <w:r w:rsidRPr="00003986">
              <w:t>Tisková prezentace v denním tisku</w:t>
            </w:r>
          </w:p>
        </w:tc>
        <w:tc>
          <w:tcPr>
            <w:tcW w:w="2200" w:type="dxa"/>
            <w:shd w:val="clear" w:color="auto" w:fill="D9D9D9" w:themeFill="background1" w:themeFillShade="D9"/>
            <w:vAlign w:val="center"/>
          </w:tcPr>
          <w:p w:rsidR="007D22B3" w:rsidRPr="00003986" w:rsidRDefault="007D22B3" w:rsidP="00064A6E">
            <w:r w:rsidRPr="00003986">
              <w:t>Příklad realizovaných projektů z IOP 5.2</w:t>
            </w:r>
          </w:p>
        </w:tc>
        <w:tc>
          <w:tcPr>
            <w:tcW w:w="2704" w:type="dxa"/>
            <w:shd w:val="clear" w:color="auto" w:fill="D9D9D9" w:themeFill="background1" w:themeFillShade="D9"/>
            <w:vAlign w:val="center"/>
          </w:tcPr>
          <w:p w:rsidR="007D22B3" w:rsidRPr="00003986" w:rsidRDefault="007D22B3" w:rsidP="00064A6E">
            <w:r w:rsidRPr="00003986">
              <w:t>Veřejnost</w:t>
            </w:r>
          </w:p>
        </w:tc>
        <w:tc>
          <w:tcPr>
            <w:tcW w:w="2032" w:type="dxa"/>
            <w:shd w:val="clear" w:color="auto" w:fill="D9D9D9" w:themeFill="background1" w:themeFillShade="D9"/>
            <w:vAlign w:val="center"/>
          </w:tcPr>
          <w:p w:rsidR="007D22B3" w:rsidRPr="00003986" w:rsidRDefault="007D22B3" w:rsidP="00064A6E">
            <w:pPr>
              <w:jc w:val="right"/>
            </w:pPr>
            <w:r w:rsidRPr="00003986">
              <w:t>170 228,- Kč včetně DPH</w:t>
            </w:r>
          </w:p>
        </w:tc>
        <w:tc>
          <w:tcPr>
            <w:tcW w:w="3294" w:type="dxa"/>
            <w:shd w:val="clear" w:color="auto" w:fill="D9D9D9" w:themeFill="background1" w:themeFillShade="D9"/>
            <w:vAlign w:val="center"/>
          </w:tcPr>
          <w:p w:rsidR="007D22B3" w:rsidRPr="00003986" w:rsidRDefault="007D22B3" w:rsidP="00064A6E">
            <w:r w:rsidRPr="00003986">
              <w:t xml:space="preserve">Inzerce o rozsahu 1/4 tiskové strany v barevném provedení na stránkách regionálních příloh, resp. magazínů MF DNES – jedná se o následující inzeráty: 19. 9. 2014 Středočeský kraj (obnova brandýské synagogy), 24. 10. 2014 CITY DNES – Praha (obnova sklářské huti v Sázavě), 6. 12. 2014 Zlínský kraj (obnova kroměřížské Květné zahrady), 13. 12. 2014 Zlínský kraj (obnova poutního areálu na Velehradě), 29. 12. 2014 – Středočeský kraj (Park setkávání na Kladně) + Jihočeský kraj (revitalizace sídliště Mír ve Strakonicích) + Jihomoravský kraj (obnova vily </w:t>
            </w:r>
            <w:proofErr w:type="spellStart"/>
            <w:r w:rsidRPr="00003986">
              <w:t>Stiassni</w:t>
            </w:r>
            <w:proofErr w:type="spellEnd"/>
            <w:r w:rsidRPr="00003986">
              <w:t>) + Moravskoslezský kraj (projekt Vítkovice) + Karlovarský kraj (parky na karlovarském sídlišti Stará role) – celkem 9 inzerátů, vždy s fotografií realizovaného projektu a krátkým textem.</w:t>
            </w:r>
          </w:p>
        </w:tc>
      </w:tr>
      <w:tr w:rsidR="007D22B3" w:rsidRPr="00522998" w:rsidTr="00157DEF">
        <w:tc>
          <w:tcPr>
            <w:tcW w:w="1257" w:type="dxa"/>
            <w:shd w:val="clear" w:color="auto" w:fill="D9D9D9" w:themeFill="background1" w:themeFillShade="D9"/>
            <w:vAlign w:val="center"/>
          </w:tcPr>
          <w:p w:rsidR="007D22B3" w:rsidRPr="00522998" w:rsidRDefault="007D22B3" w:rsidP="00064A6E">
            <w:r w:rsidRPr="00522998">
              <w:t>CRR</w:t>
            </w:r>
          </w:p>
        </w:tc>
        <w:tc>
          <w:tcPr>
            <w:tcW w:w="2547" w:type="dxa"/>
            <w:shd w:val="clear" w:color="auto" w:fill="D9D9D9" w:themeFill="background1" w:themeFillShade="D9"/>
            <w:vAlign w:val="center"/>
          </w:tcPr>
          <w:p w:rsidR="007D22B3" w:rsidRPr="00522998" w:rsidRDefault="007D22B3" w:rsidP="00064A6E">
            <w:proofErr w:type="spellStart"/>
            <w:r w:rsidRPr="00522998">
              <w:t>Newsletter</w:t>
            </w:r>
            <w:proofErr w:type="spellEnd"/>
            <w:r w:rsidRPr="00522998">
              <w:t xml:space="preserve"> CRR</w:t>
            </w:r>
          </w:p>
        </w:tc>
        <w:tc>
          <w:tcPr>
            <w:tcW w:w="2200" w:type="dxa"/>
            <w:shd w:val="clear" w:color="auto" w:fill="D9D9D9" w:themeFill="background1" w:themeFillShade="D9"/>
            <w:vAlign w:val="center"/>
          </w:tcPr>
          <w:p w:rsidR="007D22B3" w:rsidRPr="00522998" w:rsidRDefault="007D22B3" w:rsidP="00064A6E">
            <w:r w:rsidRPr="00522998">
              <w:t>Příprava a realizace projektů, zajímavé projekty</w:t>
            </w:r>
          </w:p>
        </w:tc>
        <w:tc>
          <w:tcPr>
            <w:tcW w:w="2704" w:type="dxa"/>
            <w:shd w:val="clear" w:color="auto" w:fill="D9D9D9" w:themeFill="background1" w:themeFillShade="D9"/>
            <w:vAlign w:val="center"/>
          </w:tcPr>
          <w:p w:rsidR="007D22B3" w:rsidRPr="00522998" w:rsidRDefault="007D22B3" w:rsidP="00064A6E">
            <w:r w:rsidRPr="00522998">
              <w:t>Žadatelé a příjemci, případně veřejnost</w:t>
            </w:r>
          </w:p>
        </w:tc>
        <w:tc>
          <w:tcPr>
            <w:tcW w:w="2032" w:type="dxa"/>
            <w:shd w:val="clear" w:color="auto" w:fill="D9D9D9" w:themeFill="background1" w:themeFillShade="D9"/>
            <w:vAlign w:val="center"/>
          </w:tcPr>
          <w:p w:rsidR="007D22B3" w:rsidRPr="0083116D" w:rsidRDefault="007D22B3" w:rsidP="00064A6E">
            <w:pPr>
              <w:jc w:val="right"/>
            </w:pPr>
            <w:r>
              <w:t>27 104, - Kč včetně DPH</w:t>
            </w:r>
          </w:p>
          <w:p w:rsidR="007D22B3" w:rsidRPr="0083116D" w:rsidRDefault="007D22B3" w:rsidP="00064A6E">
            <w:pPr>
              <w:jc w:val="right"/>
            </w:pPr>
          </w:p>
        </w:tc>
        <w:tc>
          <w:tcPr>
            <w:tcW w:w="3294" w:type="dxa"/>
            <w:shd w:val="clear" w:color="auto" w:fill="D9D9D9" w:themeFill="background1" w:themeFillShade="D9"/>
            <w:vAlign w:val="center"/>
          </w:tcPr>
          <w:p w:rsidR="007D22B3" w:rsidRPr="00522998" w:rsidRDefault="007D22B3" w:rsidP="00064A6E">
            <w:r w:rsidRPr="00522998">
              <w:t xml:space="preserve">Mimořádné rozšířené číslo </w:t>
            </w:r>
            <w:proofErr w:type="spellStart"/>
            <w:r w:rsidRPr="00522998">
              <w:t>newsletteru</w:t>
            </w:r>
            <w:proofErr w:type="spellEnd"/>
            <w:r w:rsidRPr="00522998">
              <w:t xml:space="preserve"> CRR</w:t>
            </w:r>
            <w:r>
              <w:t xml:space="preserve"> </w:t>
            </w:r>
            <w:r>
              <w:rPr>
                <w:color w:val="000000"/>
              </w:rPr>
              <w:t xml:space="preserve">„Včera, dnes a zítra“ </w:t>
            </w:r>
            <w:r w:rsidRPr="00522998">
              <w:t>č. 1</w:t>
            </w:r>
            <w:r>
              <w:t>3</w:t>
            </w:r>
            <w:r w:rsidRPr="00522998">
              <w:t xml:space="preserve"> </w:t>
            </w:r>
            <w:r>
              <w:t xml:space="preserve">věnované </w:t>
            </w:r>
            <w:r>
              <w:rPr>
                <w:color w:val="000000"/>
              </w:rPr>
              <w:t xml:space="preserve">integrovaným </w:t>
            </w:r>
            <w:r>
              <w:rPr>
                <w:color w:val="000000"/>
              </w:rPr>
              <w:lastRenderedPageBreak/>
              <w:t>přístupům v regionální politice – jejich historii v evropské regionální politice, pilotní využití v českých operačních programech, hodnocení IPRM, představení návrhu integrovaných přístupů v novém období 2014-2020 a zpracování strategií v rámci OPTP, konkrétní případy IRPM Znojmo a ITI Ostravsko – a administraci oblastí intervence zaměřených na kulturní dědictví a cestovní ruch. Náklad 1500 ks, cílová skupina studenti regionalistických oborů na českých univerzitách, distribuce na příslušné katedry po celé ČR s pomocí sekretariátů dotyčných kateder, resp. knihoven.</w:t>
            </w:r>
          </w:p>
        </w:tc>
      </w:tr>
      <w:tr w:rsidR="007D22B3" w:rsidRPr="00522998" w:rsidTr="00157DEF">
        <w:tc>
          <w:tcPr>
            <w:tcW w:w="1257" w:type="dxa"/>
            <w:shd w:val="clear" w:color="auto" w:fill="D9D9D9" w:themeFill="background1" w:themeFillShade="D9"/>
            <w:vAlign w:val="center"/>
          </w:tcPr>
          <w:p w:rsidR="007D22B3" w:rsidRPr="00522998" w:rsidRDefault="007D22B3" w:rsidP="00064A6E">
            <w:r w:rsidRPr="00522998">
              <w:lastRenderedPageBreak/>
              <w:t>CRR</w:t>
            </w:r>
          </w:p>
        </w:tc>
        <w:tc>
          <w:tcPr>
            <w:tcW w:w="2547" w:type="dxa"/>
            <w:shd w:val="clear" w:color="auto" w:fill="D9D9D9" w:themeFill="background1" w:themeFillShade="D9"/>
            <w:vAlign w:val="center"/>
          </w:tcPr>
          <w:p w:rsidR="007D22B3" w:rsidRPr="00522998" w:rsidRDefault="007D22B3" w:rsidP="00064A6E">
            <w:r w:rsidRPr="00522998">
              <w:t>Webové stránky</w:t>
            </w:r>
          </w:p>
          <w:p w:rsidR="007D22B3" w:rsidRPr="00522998" w:rsidRDefault="0095318B" w:rsidP="00064A6E">
            <w:hyperlink r:id="rId57" w:history="1">
              <w:r w:rsidR="007D22B3" w:rsidRPr="00522998">
                <w:rPr>
                  <w:rStyle w:val="Hypertextovodkaz"/>
                </w:rPr>
                <w:t>www.crr.cz</w:t>
              </w:r>
            </w:hyperlink>
            <w:r w:rsidR="007D22B3" w:rsidRPr="00522998">
              <w:t xml:space="preserve"> , </w:t>
            </w:r>
            <w:hyperlink r:id="rId58" w:history="1">
              <w:r w:rsidR="007D22B3" w:rsidRPr="00522998">
                <w:rPr>
                  <w:rStyle w:val="Hypertextovodkaz"/>
                </w:rPr>
                <w:t>www.risy.cz</w:t>
              </w:r>
            </w:hyperlink>
            <w:r w:rsidR="007D22B3" w:rsidRPr="00522998">
              <w:t xml:space="preserve">, </w:t>
            </w:r>
            <w:hyperlink r:id="rId59" w:history="1">
              <w:r w:rsidR="007D22B3" w:rsidRPr="00522998">
                <w:rPr>
                  <w:rStyle w:val="Hypertextovodkaz"/>
                </w:rPr>
                <w:t>www.kvalitazivota.eu</w:t>
              </w:r>
            </w:hyperlink>
            <w:r w:rsidR="007D22B3" w:rsidRPr="00522998">
              <w:t xml:space="preserve"> </w:t>
            </w:r>
          </w:p>
        </w:tc>
        <w:tc>
          <w:tcPr>
            <w:tcW w:w="2200" w:type="dxa"/>
            <w:shd w:val="clear" w:color="auto" w:fill="D9D9D9" w:themeFill="background1" w:themeFillShade="D9"/>
            <w:vAlign w:val="center"/>
          </w:tcPr>
          <w:p w:rsidR="007D22B3" w:rsidRPr="00522998" w:rsidRDefault="007D22B3" w:rsidP="00064A6E">
            <w:r w:rsidRPr="00522998">
              <w:t>Průběžné uveřejňování informací o IOP, na RIS průběžná aktualizace přehledu projektů realizovaných za podpory EU</w:t>
            </w:r>
          </w:p>
        </w:tc>
        <w:tc>
          <w:tcPr>
            <w:tcW w:w="2704" w:type="dxa"/>
            <w:shd w:val="clear" w:color="auto" w:fill="D9D9D9" w:themeFill="background1" w:themeFillShade="D9"/>
            <w:vAlign w:val="center"/>
          </w:tcPr>
          <w:p w:rsidR="007D22B3" w:rsidRPr="00522998" w:rsidRDefault="007D22B3" w:rsidP="00064A6E">
            <w:r w:rsidRPr="00522998">
              <w:t>Žadatelé a příjemci,</w:t>
            </w:r>
          </w:p>
          <w:p w:rsidR="007D22B3" w:rsidRPr="00522998" w:rsidRDefault="007D22B3" w:rsidP="00064A6E">
            <w:r w:rsidRPr="00522998">
              <w:t>veřejnost,</w:t>
            </w:r>
          </w:p>
          <w:p w:rsidR="007D22B3" w:rsidRPr="00522998" w:rsidRDefault="007D22B3" w:rsidP="00064A6E">
            <w:r w:rsidRPr="00522998">
              <w:t>subjekty implementace,</w:t>
            </w:r>
          </w:p>
          <w:p w:rsidR="007D22B3" w:rsidRPr="00522998" w:rsidRDefault="007D22B3" w:rsidP="00064A6E">
            <w:r w:rsidRPr="00522998">
              <w:t>sdělovací prostředky</w:t>
            </w:r>
          </w:p>
        </w:tc>
        <w:tc>
          <w:tcPr>
            <w:tcW w:w="2032" w:type="dxa"/>
            <w:shd w:val="clear" w:color="auto" w:fill="D9D9D9" w:themeFill="background1" w:themeFillShade="D9"/>
            <w:vAlign w:val="center"/>
          </w:tcPr>
          <w:p w:rsidR="007D22B3" w:rsidRPr="0083116D" w:rsidRDefault="007D22B3" w:rsidP="00064A6E">
            <w:pPr>
              <w:jc w:val="right"/>
            </w:pPr>
            <w:r w:rsidRPr="0083116D">
              <w:t>0</w:t>
            </w:r>
            <w:r>
              <w:t>,- Kč</w:t>
            </w:r>
          </w:p>
        </w:tc>
        <w:tc>
          <w:tcPr>
            <w:tcW w:w="3294" w:type="dxa"/>
            <w:shd w:val="clear" w:color="auto" w:fill="D9D9D9" w:themeFill="background1" w:themeFillShade="D9"/>
            <w:vAlign w:val="center"/>
          </w:tcPr>
          <w:p w:rsidR="007D22B3" w:rsidRPr="00522998" w:rsidRDefault="007D22B3" w:rsidP="00064A6E">
            <w:r w:rsidRPr="00522998">
              <w:t>Aktualizace stránek probíhá po celý rok, na stránkách Kvalita života aktualizace a doplňování zajímavých projektů.</w:t>
            </w:r>
          </w:p>
        </w:tc>
      </w:tr>
      <w:tr w:rsidR="007D22B3" w:rsidRPr="00522998" w:rsidTr="00157DEF">
        <w:tc>
          <w:tcPr>
            <w:tcW w:w="1257" w:type="dxa"/>
            <w:shd w:val="clear" w:color="auto" w:fill="D9D9D9" w:themeFill="background1" w:themeFillShade="D9"/>
            <w:vAlign w:val="center"/>
          </w:tcPr>
          <w:p w:rsidR="007D22B3" w:rsidRPr="00522998" w:rsidRDefault="007D22B3" w:rsidP="00064A6E">
            <w:r w:rsidRPr="00522998">
              <w:t>CRR</w:t>
            </w:r>
          </w:p>
        </w:tc>
        <w:tc>
          <w:tcPr>
            <w:tcW w:w="2547" w:type="dxa"/>
            <w:shd w:val="clear" w:color="auto" w:fill="D9D9D9" w:themeFill="background1" w:themeFillShade="D9"/>
            <w:vAlign w:val="center"/>
          </w:tcPr>
          <w:p w:rsidR="007D22B3" w:rsidRPr="00522998" w:rsidRDefault="007D22B3" w:rsidP="00064A6E">
            <w:r w:rsidRPr="00522998">
              <w:t xml:space="preserve">Propagační tiskoviny </w:t>
            </w:r>
          </w:p>
        </w:tc>
        <w:tc>
          <w:tcPr>
            <w:tcW w:w="2200" w:type="dxa"/>
            <w:shd w:val="clear" w:color="auto" w:fill="D9D9D9" w:themeFill="background1" w:themeFillShade="D9"/>
            <w:vAlign w:val="center"/>
          </w:tcPr>
          <w:p w:rsidR="007D22B3" w:rsidRPr="00522998" w:rsidRDefault="007D22B3" w:rsidP="00064A6E">
            <w:r w:rsidRPr="00522998">
              <w:t>Propagační tiskoviny</w:t>
            </w:r>
          </w:p>
        </w:tc>
        <w:tc>
          <w:tcPr>
            <w:tcW w:w="2704" w:type="dxa"/>
            <w:shd w:val="clear" w:color="auto" w:fill="D9D9D9" w:themeFill="background1" w:themeFillShade="D9"/>
            <w:vAlign w:val="center"/>
          </w:tcPr>
          <w:p w:rsidR="007D22B3" w:rsidRPr="00522998" w:rsidRDefault="007D22B3" w:rsidP="00064A6E">
            <w:r w:rsidRPr="00522998">
              <w:t>Účastníci seminářů,</w:t>
            </w:r>
          </w:p>
          <w:p w:rsidR="007D22B3" w:rsidRPr="00522998" w:rsidRDefault="007D22B3" w:rsidP="00064A6E">
            <w:r w:rsidRPr="00522998">
              <w:t>veřejnost</w:t>
            </w:r>
          </w:p>
          <w:p w:rsidR="007D22B3" w:rsidRPr="00522998" w:rsidRDefault="007D22B3" w:rsidP="00064A6E"/>
        </w:tc>
        <w:tc>
          <w:tcPr>
            <w:tcW w:w="2032" w:type="dxa"/>
            <w:shd w:val="clear" w:color="auto" w:fill="D9D9D9" w:themeFill="background1" w:themeFillShade="D9"/>
            <w:vAlign w:val="center"/>
          </w:tcPr>
          <w:p w:rsidR="007D22B3" w:rsidRPr="0083116D" w:rsidRDefault="007D22B3" w:rsidP="00064A6E">
            <w:pPr>
              <w:jc w:val="right"/>
            </w:pPr>
            <w:r>
              <w:t>75 806,50 Kč včetně DPH</w:t>
            </w:r>
          </w:p>
          <w:p w:rsidR="007D22B3" w:rsidRPr="0083116D" w:rsidRDefault="007D22B3" w:rsidP="00064A6E">
            <w:pPr>
              <w:jc w:val="right"/>
            </w:pPr>
          </w:p>
        </w:tc>
        <w:tc>
          <w:tcPr>
            <w:tcW w:w="3294" w:type="dxa"/>
            <w:shd w:val="clear" w:color="auto" w:fill="D9D9D9" w:themeFill="background1" w:themeFillShade="D9"/>
            <w:vAlign w:val="center"/>
          </w:tcPr>
          <w:p w:rsidR="007D22B3" w:rsidRPr="00522998" w:rsidRDefault="007D22B3" w:rsidP="00064A6E">
            <w:r w:rsidRPr="00FB7517">
              <w:rPr>
                <w:color w:val="000000"/>
              </w:rPr>
              <w:t>Stolní ka</w:t>
            </w:r>
            <w:r>
              <w:rPr>
                <w:color w:val="000000"/>
              </w:rPr>
              <w:t>lendář „IOP: Obnova kulturního dědictví 2015“, stolní kalendář s využitím fotografické dokumentace projektů realizovaných v rámci IOP 5.1 (dokumentace poskytnuta řídicím orgánem), určeno pro pracovníky implementační struktury IOP, klienty (příjemce a žadatele), částečně širokou veřejnost, náklad 500 ks.</w:t>
            </w:r>
          </w:p>
        </w:tc>
      </w:tr>
      <w:tr w:rsidR="007D22B3" w:rsidRPr="00522998" w:rsidTr="00157DEF">
        <w:tc>
          <w:tcPr>
            <w:tcW w:w="1257" w:type="dxa"/>
            <w:shd w:val="clear" w:color="auto" w:fill="D9D9D9" w:themeFill="background1" w:themeFillShade="D9"/>
            <w:vAlign w:val="center"/>
          </w:tcPr>
          <w:p w:rsidR="007D22B3" w:rsidRPr="00522998" w:rsidRDefault="007D22B3" w:rsidP="00064A6E">
            <w:r>
              <w:t>CRR</w:t>
            </w:r>
          </w:p>
        </w:tc>
        <w:tc>
          <w:tcPr>
            <w:tcW w:w="2547" w:type="dxa"/>
            <w:shd w:val="clear" w:color="auto" w:fill="D9D9D9" w:themeFill="background1" w:themeFillShade="D9"/>
            <w:vAlign w:val="center"/>
          </w:tcPr>
          <w:p w:rsidR="007D22B3" w:rsidRPr="00522998" w:rsidRDefault="007D22B3" w:rsidP="00064A6E">
            <w:r>
              <w:t>Veletrhy a konference</w:t>
            </w:r>
          </w:p>
        </w:tc>
        <w:tc>
          <w:tcPr>
            <w:tcW w:w="2200" w:type="dxa"/>
            <w:shd w:val="clear" w:color="auto" w:fill="D9D9D9" w:themeFill="background1" w:themeFillShade="D9"/>
            <w:vAlign w:val="center"/>
          </w:tcPr>
          <w:p w:rsidR="007D22B3" w:rsidRPr="00522998" w:rsidRDefault="007D22B3" w:rsidP="00064A6E">
            <w:r>
              <w:t>Prezentace oblasti intervence IOP 5.2</w:t>
            </w:r>
          </w:p>
        </w:tc>
        <w:tc>
          <w:tcPr>
            <w:tcW w:w="2704" w:type="dxa"/>
            <w:shd w:val="clear" w:color="auto" w:fill="D9D9D9" w:themeFill="background1" w:themeFillShade="D9"/>
            <w:vAlign w:val="center"/>
          </w:tcPr>
          <w:p w:rsidR="007D22B3" w:rsidRPr="00522998" w:rsidRDefault="007D22B3" w:rsidP="00064A6E">
            <w:r>
              <w:t>Široká veřejnost, odborná veřejnost</w:t>
            </w:r>
          </w:p>
        </w:tc>
        <w:tc>
          <w:tcPr>
            <w:tcW w:w="2032" w:type="dxa"/>
            <w:shd w:val="clear" w:color="auto" w:fill="D9D9D9" w:themeFill="background1" w:themeFillShade="D9"/>
            <w:vAlign w:val="center"/>
          </w:tcPr>
          <w:p w:rsidR="007D22B3" w:rsidRDefault="007D22B3" w:rsidP="00064A6E">
            <w:pPr>
              <w:jc w:val="right"/>
            </w:pPr>
            <w:r>
              <w:t>10 400,- Kč včetně DPH</w:t>
            </w:r>
          </w:p>
        </w:tc>
        <w:tc>
          <w:tcPr>
            <w:tcW w:w="3294" w:type="dxa"/>
            <w:shd w:val="clear" w:color="auto" w:fill="D9D9D9" w:themeFill="background1" w:themeFillShade="D9"/>
            <w:vAlign w:val="center"/>
          </w:tcPr>
          <w:p w:rsidR="007D22B3" w:rsidRPr="00FB7517" w:rsidRDefault="007D22B3" w:rsidP="00064A6E">
            <w:pPr>
              <w:rPr>
                <w:color w:val="000000"/>
              </w:rPr>
            </w:pPr>
            <w:r>
              <w:rPr>
                <w:color w:val="000000"/>
              </w:rPr>
              <w:t xml:space="preserve">Účast na odborném veletrhu </w:t>
            </w:r>
            <w:proofErr w:type="spellStart"/>
            <w:r>
              <w:rPr>
                <w:color w:val="000000"/>
              </w:rPr>
              <w:t>Pragointerier</w:t>
            </w:r>
            <w:proofErr w:type="spellEnd"/>
            <w:r>
              <w:rPr>
                <w:color w:val="000000"/>
              </w:rPr>
              <w:t xml:space="preserve"> / Panelový dům a byt, </w:t>
            </w:r>
            <w:r>
              <w:rPr>
                <w:color w:val="000000"/>
              </w:rPr>
              <w:lastRenderedPageBreak/>
              <w:t xml:space="preserve">který se konal 14. – 16. 3. 2014 na Výstavišti v Holešovicích, CRR ČR zajistilo stánek, kde poskytovalo zájemcům informační materiály </w:t>
            </w:r>
            <w:r w:rsidR="00157DEF">
              <w:rPr>
                <w:color w:val="000000"/>
              </w:rPr>
              <w:br/>
            </w:r>
            <w:r>
              <w:rPr>
                <w:color w:val="000000"/>
              </w:rPr>
              <w:t xml:space="preserve">a odborné poradenství věnované problematice renovace sídlišť z programu IOP; účast na šestém ročníku konference „Region v rozvoji společnosti“, pořádané 23. října 2014 na Fakultě regionálního rozvoje </w:t>
            </w:r>
            <w:r w:rsidR="00157DEF">
              <w:rPr>
                <w:color w:val="000000"/>
              </w:rPr>
              <w:br/>
            </w:r>
            <w:r>
              <w:rPr>
                <w:color w:val="000000"/>
              </w:rPr>
              <w:t>a mezinárodních studií Mendelovy univerzity Brno, účast zástupce CRR v diskuzi v rámci panelu Regionální rozvoj v ČR, ve sborníku ke konferenci byl publikován text „Integrované přístupy k rozvoji měst a role evropských fondů“. Poznámka: u příležitosti konference bylo vydáno mimořádné číslo občasníku „Včera, dnes a zítra“ č. 13, které bylo distribuováno účastníkům konference – viz výše.</w:t>
            </w:r>
          </w:p>
        </w:tc>
      </w:tr>
      <w:tr w:rsidR="007D22B3" w:rsidRPr="00115ECC" w:rsidTr="00157DEF">
        <w:tc>
          <w:tcPr>
            <w:tcW w:w="1257" w:type="dxa"/>
            <w:shd w:val="clear" w:color="auto" w:fill="D9D9D9" w:themeFill="background1" w:themeFillShade="D9"/>
            <w:vAlign w:val="center"/>
          </w:tcPr>
          <w:p w:rsidR="007D22B3" w:rsidRPr="00115ECC" w:rsidRDefault="007D22B3" w:rsidP="00064A6E">
            <w:pPr>
              <w:rPr>
                <w:b/>
                <w:i/>
              </w:rPr>
            </w:pPr>
          </w:p>
        </w:tc>
        <w:tc>
          <w:tcPr>
            <w:tcW w:w="2547" w:type="dxa"/>
            <w:shd w:val="clear" w:color="auto" w:fill="D9D9D9" w:themeFill="background1" w:themeFillShade="D9"/>
            <w:vAlign w:val="center"/>
          </w:tcPr>
          <w:p w:rsidR="007D22B3" w:rsidRPr="00115ECC" w:rsidRDefault="007D22B3" w:rsidP="00064A6E">
            <w:pPr>
              <w:rPr>
                <w:b/>
                <w:i/>
              </w:rPr>
            </w:pPr>
            <w:r w:rsidRPr="00AA599B">
              <w:t xml:space="preserve">Semináře </w:t>
            </w:r>
          </w:p>
        </w:tc>
        <w:tc>
          <w:tcPr>
            <w:tcW w:w="2200" w:type="dxa"/>
            <w:shd w:val="clear" w:color="auto" w:fill="D9D9D9" w:themeFill="background1" w:themeFillShade="D9"/>
            <w:vAlign w:val="center"/>
          </w:tcPr>
          <w:p w:rsidR="007D22B3" w:rsidRPr="00115ECC" w:rsidRDefault="007D22B3" w:rsidP="00064A6E">
            <w:pPr>
              <w:rPr>
                <w:b/>
                <w:i/>
              </w:rPr>
            </w:pPr>
            <w:r>
              <w:t>Semináře pro žadatele/ příjemce v </w:t>
            </w:r>
            <w:r w:rsidRPr="00AA599B">
              <w:t>IOP</w:t>
            </w:r>
            <w:r>
              <w:t xml:space="preserve"> zaměřené na různá klíč. </w:t>
            </w:r>
            <w:proofErr w:type="gramStart"/>
            <w:r>
              <w:t>témata</w:t>
            </w:r>
            <w:proofErr w:type="gramEnd"/>
            <w:r>
              <w:t xml:space="preserve"> (výzvy, </w:t>
            </w:r>
            <w:r w:rsidRPr="00AA599B">
              <w:t>zadávání veřejných zakázek, monitorovací zprávy, oznámení o změně, žádosti o platbu</w:t>
            </w:r>
            <w:r>
              <w:t xml:space="preserve"> atp.)</w:t>
            </w:r>
          </w:p>
        </w:tc>
        <w:tc>
          <w:tcPr>
            <w:tcW w:w="2704" w:type="dxa"/>
            <w:shd w:val="clear" w:color="auto" w:fill="D9D9D9" w:themeFill="background1" w:themeFillShade="D9"/>
            <w:vAlign w:val="center"/>
          </w:tcPr>
          <w:p w:rsidR="007D22B3" w:rsidRPr="00115ECC" w:rsidRDefault="007D22B3" w:rsidP="00064A6E">
            <w:pPr>
              <w:rPr>
                <w:b/>
                <w:i/>
              </w:rPr>
            </w:pPr>
            <w:r w:rsidRPr="00AA599B">
              <w:t>Příjemci</w:t>
            </w:r>
            <w:r>
              <w:t>, žadatelé</w:t>
            </w:r>
          </w:p>
        </w:tc>
        <w:tc>
          <w:tcPr>
            <w:tcW w:w="2032" w:type="dxa"/>
            <w:shd w:val="clear" w:color="auto" w:fill="D9D9D9" w:themeFill="background1" w:themeFillShade="D9"/>
            <w:vAlign w:val="center"/>
          </w:tcPr>
          <w:p w:rsidR="007D22B3" w:rsidRPr="006207EF" w:rsidRDefault="007D22B3" w:rsidP="00064A6E">
            <w:pPr>
              <w:jc w:val="right"/>
            </w:pPr>
            <w:r w:rsidRPr="006207EF">
              <w:t>0,- Kč</w:t>
            </w:r>
          </w:p>
        </w:tc>
        <w:tc>
          <w:tcPr>
            <w:tcW w:w="3294" w:type="dxa"/>
            <w:shd w:val="clear" w:color="auto" w:fill="D9D9D9" w:themeFill="background1" w:themeFillShade="D9"/>
            <w:vAlign w:val="center"/>
          </w:tcPr>
          <w:p w:rsidR="007D22B3" w:rsidRPr="00115ECC" w:rsidRDefault="007D22B3" w:rsidP="00064A6E">
            <w:pPr>
              <w:rPr>
                <w:b/>
                <w:i/>
              </w:rPr>
            </w:pPr>
            <w:r>
              <w:t>V roce 2014 nebyl uspořádán žádný vlastní seminář CRR, ale naši pracovníci se podíleli na seminářích ŘO pro příjemce, zejména v oblasti intervence IOP 3.4.</w:t>
            </w:r>
          </w:p>
        </w:tc>
      </w:tr>
      <w:tr w:rsidR="007D22B3" w:rsidRPr="003C3D9E" w:rsidTr="00157DEF">
        <w:tc>
          <w:tcPr>
            <w:tcW w:w="1257" w:type="dxa"/>
            <w:shd w:val="clear" w:color="auto" w:fill="D9D9D9" w:themeFill="background1" w:themeFillShade="D9"/>
            <w:vAlign w:val="center"/>
          </w:tcPr>
          <w:p w:rsidR="007D22B3" w:rsidRPr="003C3D9E" w:rsidRDefault="007D22B3" w:rsidP="00064A6E">
            <w:r w:rsidRPr="003C3D9E">
              <w:t>CRR</w:t>
            </w:r>
          </w:p>
        </w:tc>
        <w:tc>
          <w:tcPr>
            <w:tcW w:w="2547" w:type="dxa"/>
            <w:shd w:val="clear" w:color="auto" w:fill="D9D9D9" w:themeFill="background1" w:themeFillShade="D9"/>
            <w:vAlign w:val="center"/>
          </w:tcPr>
          <w:p w:rsidR="007D22B3" w:rsidRPr="003C3D9E" w:rsidRDefault="007D22B3" w:rsidP="00064A6E">
            <w:r w:rsidRPr="003C3D9E">
              <w:t>Konzultační služby</w:t>
            </w:r>
          </w:p>
        </w:tc>
        <w:tc>
          <w:tcPr>
            <w:tcW w:w="2200" w:type="dxa"/>
            <w:shd w:val="clear" w:color="auto" w:fill="D9D9D9" w:themeFill="background1" w:themeFillShade="D9"/>
            <w:vAlign w:val="center"/>
          </w:tcPr>
          <w:p w:rsidR="007D22B3" w:rsidRPr="003C3D9E" w:rsidRDefault="007D22B3" w:rsidP="00064A6E">
            <w:r w:rsidRPr="003C3D9E">
              <w:t xml:space="preserve">Dotazy k IOP </w:t>
            </w:r>
          </w:p>
        </w:tc>
        <w:tc>
          <w:tcPr>
            <w:tcW w:w="2704" w:type="dxa"/>
            <w:shd w:val="clear" w:color="auto" w:fill="D9D9D9" w:themeFill="background1" w:themeFillShade="D9"/>
            <w:vAlign w:val="center"/>
          </w:tcPr>
          <w:p w:rsidR="007D22B3" w:rsidRPr="003C3D9E" w:rsidRDefault="007D22B3" w:rsidP="00064A6E">
            <w:r w:rsidRPr="003C3D9E">
              <w:t>Veřejnost, příjemci, žadatelé</w:t>
            </w:r>
          </w:p>
        </w:tc>
        <w:tc>
          <w:tcPr>
            <w:tcW w:w="2032" w:type="dxa"/>
            <w:shd w:val="clear" w:color="auto" w:fill="D9D9D9" w:themeFill="background1" w:themeFillShade="D9"/>
            <w:vAlign w:val="center"/>
          </w:tcPr>
          <w:p w:rsidR="007D22B3" w:rsidRPr="003C3D9E" w:rsidRDefault="007D22B3" w:rsidP="00064A6E">
            <w:pPr>
              <w:jc w:val="right"/>
            </w:pPr>
            <w:r w:rsidRPr="003C3D9E">
              <w:t>0</w:t>
            </w:r>
            <w:r>
              <w:t>,- Kč</w:t>
            </w:r>
          </w:p>
        </w:tc>
        <w:tc>
          <w:tcPr>
            <w:tcW w:w="3294" w:type="dxa"/>
            <w:shd w:val="clear" w:color="auto" w:fill="D9D9D9" w:themeFill="background1" w:themeFillShade="D9"/>
            <w:vAlign w:val="center"/>
          </w:tcPr>
          <w:p w:rsidR="007D22B3" w:rsidRPr="003C3D9E" w:rsidRDefault="007D22B3" w:rsidP="00064A6E">
            <w:r w:rsidRPr="003C3D9E">
              <w:t>Počet zodpovězených emailových dotazů</w:t>
            </w:r>
            <w:r>
              <w:t xml:space="preserve"> je cca </w:t>
            </w:r>
            <w:r w:rsidRPr="003C3D9E">
              <w:t>50</w:t>
            </w:r>
            <w:r>
              <w:t>0, průběžně probíhají osobní konzultace se žadateli a příjemci (není vedena podrobní evidence).</w:t>
            </w:r>
          </w:p>
        </w:tc>
      </w:tr>
      <w:tr w:rsidR="007D22B3" w:rsidRPr="00522998" w:rsidTr="00064A6E">
        <w:tc>
          <w:tcPr>
            <w:tcW w:w="1257" w:type="dxa"/>
            <w:vAlign w:val="center"/>
          </w:tcPr>
          <w:p w:rsidR="007D22B3" w:rsidRPr="000B60A2" w:rsidRDefault="007D22B3" w:rsidP="00064A6E">
            <w:r w:rsidRPr="000B60A2">
              <w:t>MPSV</w:t>
            </w:r>
          </w:p>
        </w:tc>
        <w:tc>
          <w:tcPr>
            <w:tcW w:w="2547" w:type="dxa"/>
            <w:vAlign w:val="center"/>
          </w:tcPr>
          <w:p w:rsidR="007D22B3" w:rsidRPr="000B60A2" w:rsidRDefault="007D22B3" w:rsidP="00064A6E">
            <w:r w:rsidRPr="000B60A2">
              <w:t>Webové stránky</w:t>
            </w:r>
          </w:p>
          <w:p w:rsidR="007D22B3" w:rsidRPr="000B60A2" w:rsidRDefault="007D22B3" w:rsidP="00064A6E">
            <w:r w:rsidRPr="000B60A2">
              <w:lastRenderedPageBreak/>
              <w:t>www.mpsv.cz</w:t>
            </w:r>
          </w:p>
        </w:tc>
        <w:tc>
          <w:tcPr>
            <w:tcW w:w="2200" w:type="dxa"/>
            <w:vAlign w:val="center"/>
          </w:tcPr>
          <w:p w:rsidR="007D22B3" w:rsidRPr="000B60A2" w:rsidRDefault="007D22B3" w:rsidP="00064A6E">
            <w:r w:rsidRPr="000B60A2">
              <w:lastRenderedPageBreak/>
              <w:t xml:space="preserve">Obecné informace o </w:t>
            </w:r>
            <w:r w:rsidRPr="000B60A2">
              <w:lastRenderedPageBreak/>
              <w:t>oblastech intervence 3.1 a 3.3</w:t>
            </w:r>
          </w:p>
        </w:tc>
        <w:tc>
          <w:tcPr>
            <w:tcW w:w="2704" w:type="dxa"/>
            <w:vAlign w:val="center"/>
          </w:tcPr>
          <w:p w:rsidR="007D22B3" w:rsidRPr="000B60A2" w:rsidRDefault="007D22B3" w:rsidP="00064A6E">
            <w:r w:rsidRPr="000B60A2">
              <w:lastRenderedPageBreak/>
              <w:t>Žadatelé a příjemci</w:t>
            </w:r>
            <w:r>
              <w:t>,</w:t>
            </w:r>
          </w:p>
          <w:p w:rsidR="007D22B3" w:rsidRPr="000B60A2" w:rsidRDefault="007D22B3" w:rsidP="00064A6E">
            <w:r>
              <w:lastRenderedPageBreak/>
              <w:t>v</w:t>
            </w:r>
            <w:r w:rsidRPr="000B60A2">
              <w:t>eřejnost</w:t>
            </w:r>
            <w:r>
              <w:t>,</w:t>
            </w:r>
          </w:p>
          <w:p w:rsidR="007D22B3" w:rsidRPr="000B60A2" w:rsidRDefault="007D22B3" w:rsidP="00064A6E">
            <w:r>
              <w:t>s</w:t>
            </w:r>
            <w:r w:rsidRPr="000B60A2">
              <w:t>dělovací prostředky</w:t>
            </w:r>
          </w:p>
        </w:tc>
        <w:tc>
          <w:tcPr>
            <w:tcW w:w="2032" w:type="dxa"/>
            <w:vAlign w:val="center"/>
          </w:tcPr>
          <w:p w:rsidR="007D22B3" w:rsidRPr="000B60A2" w:rsidRDefault="007D22B3" w:rsidP="00064A6E">
            <w:pPr>
              <w:jc w:val="right"/>
            </w:pPr>
            <w:r w:rsidRPr="000B60A2">
              <w:lastRenderedPageBreak/>
              <w:t>0</w:t>
            </w:r>
            <w:r>
              <w:t>,- Kč</w:t>
            </w:r>
          </w:p>
        </w:tc>
        <w:tc>
          <w:tcPr>
            <w:tcW w:w="3294" w:type="dxa"/>
            <w:vAlign w:val="center"/>
          </w:tcPr>
          <w:p w:rsidR="007D22B3" w:rsidRPr="000B60A2" w:rsidRDefault="007D22B3" w:rsidP="00064A6E">
            <w:r w:rsidRPr="000B60A2">
              <w:t xml:space="preserve">Aktualizace stránek probíhá po celý </w:t>
            </w:r>
            <w:r w:rsidRPr="000B60A2">
              <w:lastRenderedPageBreak/>
              <w:t xml:space="preserve">rok </w:t>
            </w:r>
          </w:p>
          <w:p w:rsidR="007D22B3" w:rsidRPr="000B60A2" w:rsidRDefault="007D22B3" w:rsidP="00064A6E"/>
        </w:tc>
      </w:tr>
      <w:tr w:rsidR="007D22B3" w:rsidRPr="00522998" w:rsidTr="00064A6E">
        <w:tc>
          <w:tcPr>
            <w:tcW w:w="1257" w:type="dxa"/>
            <w:vAlign w:val="center"/>
          </w:tcPr>
          <w:p w:rsidR="007D22B3" w:rsidRPr="000B60A2" w:rsidRDefault="007D22B3" w:rsidP="00064A6E">
            <w:r w:rsidRPr="000B60A2">
              <w:lastRenderedPageBreak/>
              <w:t>MPSV</w:t>
            </w:r>
          </w:p>
        </w:tc>
        <w:tc>
          <w:tcPr>
            <w:tcW w:w="2547" w:type="dxa"/>
            <w:vAlign w:val="center"/>
          </w:tcPr>
          <w:p w:rsidR="007D22B3" w:rsidRPr="000B60A2" w:rsidRDefault="007D22B3" w:rsidP="00064A6E">
            <w:r w:rsidRPr="000B60A2">
              <w:t>Počet zodpovězených dotazů</w:t>
            </w:r>
          </w:p>
        </w:tc>
        <w:tc>
          <w:tcPr>
            <w:tcW w:w="2200" w:type="dxa"/>
            <w:vAlign w:val="center"/>
          </w:tcPr>
          <w:p w:rsidR="007D22B3" w:rsidRPr="000B60A2" w:rsidRDefault="007D22B3" w:rsidP="00064A6E">
            <w:r w:rsidRPr="000B60A2">
              <w:t>Dotazy IOP 3.1 a 3.3</w:t>
            </w:r>
          </w:p>
        </w:tc>
        <w:tc>
          <w:tcPr>
            <w:tcW w:w="2704" w:type="dxa"/>
            <w:vAlign w:val="center"/>
          </w:tcPr>
          <w:p w:rsidR="007D22B3" w:rsidRPr="000B60A2" w:rsidRDefault="007D22B3" w:rsidP="00064A6E">
            <w:r w:rsidRPr="000B60A2">
              <w:t xml:space="preserve">Veřejnost, </w:t>
            </w:r>
            <w:r>
              <w:t>p</w:t>
            </w:r>
            <w:r w:rsidRPr="000B60A2">
              <w:t xml:space="preserve">říjemci, </w:t>
            </w:r>
            <w:r>
              <w:t>ž</w:t>
            </w:r>
            <w:r w:rsidRPr="000B60A2">
              <w:t>adatelé</w:t>
            </w:r>
          </w:p>
        </w:tc>
        <w:tc>
          <w:tcPr>
            <w:tcW w:w="2032" w:type="dxa"/>
            <w:vAlign w:val="center"/>
          </w:tcPr>
          <w:p w:rsidR="007D22B3" w:rsidRPr="000B60A2" w:rsidRDefault="007D22B3" w:rsidP="00064A6E">
            <w:pPr>
              <w:jc w:val="right"/>
            </w:pPr>
            <w:r w:rsidRPr="000B60A2">
              <w:t>0</w:t>
            </w:r>
            <w:r>
              <w:t>,- Kč</w:t>
            </w:r>
            <w:r w:rsidRPr="000B60A2">
              <w:t xml:space="preserve"> </w:t>
            </w:r>
          </w:p>
        </w:tc>
        <w:tc>
          <w:tcPr>
            <w:tcW w:w="3294" w:type="dxa"/>
            <w:vAlign w:val="center"/>
          </w:tcPr>
          <w:p w:rsidR="007D22B3" w:rsidRPr="000B60A2" w:rsidRDefault="007D22B3" w:rsidP="00064A6E">
            <w:r w:rsidRPr="000B60A2">
              <w:t xml:space="preserve">Počet zodpovězených emailových dotazů: </w:t>
            </w:r>
          </w:p>
          <w:p w:rsidR="007D22B3" w:rsidRPr="000B60A2" w:rsidRDefault="007D22B3" w:rsidP="00064A6E">
            <w:r>
              <w:t>OI 3.1 – 421</w:t>
            </w:r>
          </w:p>
          <w:p w:rsidR="007D22B3" w:rsidRDefault="007D22B3" w:rsidP="00064A6E">
            <w:r>
              <w:t>OI 3.3 – 219</w:t>
            </w:r>
          </w:p>
          <w:p w:rsidR="007D22B3" w:rsidRDefault="007D22B3" w:rsidP="00064A6E">
            <w:r>
              <w:t>Počet zodpovězených telefonických dotazů:</w:t>
            </w:r>
          </w:p>
          <w:p w:rsidR="007D22B3" w:rsidRPr="000B60A2" w:rsidRDefault="007D22B3" w:rsidP="00064A6E">
            <w:r>
              <w:t>OI 3.3 – 231</w:t>
            </w:r>
          </w:p>
        </w:tc>
      </w:tr>
      <w:tr w:rsidR="007D22B3" w:rsidRPr="00522998" w:rsidTr="00064A6E">
        <w:tc>
          <w:tcPr>
            <w:tcW w:w="1257" w:type="dxa"/>
            <w:vAlign w:val="center"/>
          </w:tcPr>
          <w:p w:rsidR="007D22B3" w:rsidRPr="000B60A2" w:rsidRDefault="007D22B3" w:rsidP="00064A6E">
            <w:r w:rsidRPr="000B60A2">
              <w:t>MPSV</w:t>
            </w:r>
          </w:p>
        </w:tc>
        <w:tc>
          <w:tcPr>
            <w:tcW w:w="2547" w:type="dxa"/>
            <w:vAlign w:val="center"/>
          </w:tcPr>
          <w:p w:rsidR="007D22B3" w:rsidRPr="000B60A2" w:rsidRDefault="007D22B3" w:rsidP="00064A6E">
            <w:r w:rsidRPr="000B60A2">
              <w:t>Osobní konzultace s žadateli a příjemci</w:t>
            </w:r>
          </w:p>
        </w:tc>
        <w:tc>
          <w:tcPr>
            <w:tcW w:w="2200" w:type="dxa"/>
            <w:vAlign w:val="center"/>
          </w:tcPr>
          <w:p w:rsidR="007D22B3" w:rsidRPr="000B60A2" w:rsidRDefault="007D22B3" w:rsidP="00064A6E">
            <w:r w:rsidRPr="000B60A2">
              <w:t>Osobní konzultace IOP 3.1 a 3.3</w:t>
            </w:r>
          </w:p>
        </w:tc>
        <w:tc>
          <w:tcPr>
            <w:tcW w:w="2704" w:type="dxa"/>
            <w:vAlign w:val="center"/>
          </w:tcPr>
          <w:p w:rsidR="007D22B3" w:rsidRPr="000B60A2" w:rsidRDefault="007D22B3" w:rsidP="00064A6E">
            <w:r w:rsidRPr="000B60A2">
              <w:t xml:space="preserve">Příjemci, </w:t>
            </w:r>
            <w:r>
              <w:t>ž</w:t>
            </w:r>
            <w:r w:rsidRPr="000B60A2">
              <w:t>adatelé</w:t>
            </w:r>
          </w:p>
        </w:tc>
        <w:tc>
          <w:tcPr>
            <w:tcW w:w="2032" w:type="dxa"/>
            <w:vAlign w:val="center"/>
          </w:tcPr>
          <w:p w:rsidR="007D22B3" w:rsidRPr="000B60A2" w:rsidRDefault="007D22B3" w:rsidP="00064A6E">
            <w:pPr>
              <w:jc w:val="right"/>
            </w:pPr>
            <w:r w:rsidRPr="000B60A2">
              <w:t>0</w:t>
            </w:r>
            <w:r>
              <w:t>, - Kč</w:t>
            </w:r>
            <w:r w:rsidRPr="000B60A2">
              <w:t xml:space="preserve"> </w:t>
            </w:r>
          </w:p>
        </w:tc>
        <w:tc>
          <w:tcPr>
            <w:tcW w:w="3294" w:type="dxa"/>
            <w:vAlign w:val="center"/>
          </w:tcPr>
          <w:p w:rsidR="007D22B3" w:rsidRPr="000B60A2" w:rsidRDefault="007D22B3" w:rsidP="00064A6E">
            <w:r w:rsidRPr="000B60A2">
              <w:t>Počet osobních konzultací:</w:t>
            </w:r>
          </w:p>
          <w:p w:rsidR="007D22B3" w:rsidRPr="000B60A2" w:rsidRDefault="007D22B3" w:rsidP="00064A6E">
            <w:r>
              <w:t>OI 3.1 – 26</w:t>
            </w:r>
          </w:p>
          <w:p w:rsidR="007D22B3" w:rsidRDefault="007D22B3" w:rsidP="00064A6E">
            <w:r>
              <w:t>OI 3.3 – 22</w:t>
            </w:r>
          </w:p>
          <w:p w:rsidR="007D22B3" w:rsidRPr="000B60A2" w:rsidRDefault="007D22B3" w:rsidP="00064A6E"/>
        </w:tc>
      </w:tr>
      <w:tr w:rsidR="007D22B3" w:rsidRPr="00522998" w:rsidTr="00064A6E">
        <w:tc>
          <w:tcPr>
            <w:tcW w:w="1257" w:type="dxa"/>
            <w:vAlign w:val="center"/>
          </w:tcPr>
          <w:p w:rsidR="007D22B3" w:rsidRPr="000B60A2" w:rsidRDefault="007D22B3" w:rsidP="00064A6E">
            <w:r w:rsidRPr="000B60A2">
              <w:t>MPSV</w:t>
            </w:r>
          </w:p>
        </w:tc>
        <w:tc>
          <w:tcPr>
            <w:tcW w:w="2547" w:type="dxa"/>
            <w:vAlign w:val="center"/>
          </w:tcPr>
          <w:p w:rsidR="007D22B3" w:rsidRPr="000B60A2" w:rsidRDefault="007D22B3" w:rsidP="00064A6E">
            <w:r w:rsidRPr="000B60A2">
              <w:t>Semináře pro příjemce a žadatele za 3.1.</w:t>
            </w:r>
          </w:p>
        </w:tc>
        <w:tc>
          <w:tcPr>
            <w:tcW w:w="2200" w:type="dxa"/>
            <w:vAlign w:val="center"/>
          </w:tcPr>
          <w:p w:rsidR="007D22B3" w:rsidRPr="000B60A2" w:rsidRDefault="007D22B3" w:rsidP="00064A6E">
            <w:pPr>
              <w:pStyle w:val="Odstavecseseznamem"/>
              <w:ind w:left="0"/>
            </w:pPr>
            <w:r w:rsidRPr="000B60A2">
              <w:t>Informace o výzvách a novinkách v OI 3.1</w:t>
            </w:r>
          </w:p>
        </w:tc>
        <w:tc>
          <w:tcPr>
            <w:tcW w:w="2704" w:type="dxa"/>
            <w:vAlign w:val="center"/>
          </w:tcPr>
          <w:p w:rsidR="007D22B3" w:rsidRPr="000B60A2" w:rsidRDefault="007D22B3" w:rsidP="00064A6E">
            <w:r>
              <w:t>Příjemci, žadatelé</w:t>
            </w:r>
          </w:p>
        </w:tc>
        <w:tc>
          <w:tcPr>
            <w:tcW w:w="2032" w:type="dxa"/>
            <w:vAlign w:val="center"/>
          </w:tcPr>
          <w:p w:rsidR="007D22B3" w:rsidRPr="000B60A2" w:rsidRDefault="007D22B3" w:rsidP="00064A6E">
            <w:pPr>
              <w:jc w:val="right"/>
            </w:pPr>
            <w:r>
              <w:t>2 866,-  Kč</w:t>
            </w:r>
          </w:p>
        </w:tc>
        <w:tc>
          <w:tcPr>
            <w:tcW w:w="3294" w:type="dxa"/>
            <w:vAlign w:val="center"/>
          </w:tcPr>
          <w:p w:rsidR="007D22B3" w:rsidRPr="000B60A2" w:rsidRDefault="007D22B3" w:rsidP="00064A6E">
            <w:pPr>
              <w:pStyle w:val="Odstavecseseznamem"/>
              <w:ind w:left="0"/>
            </w:pPr>
            <w:r>
              <w:t xml:space="preserve">3 semináře pro </w:t>
            </w:r>
            <w:r w:rsidRPr="000B60A2">
              <w:t>příjemce</w:t>
            </w:r>
            <w:r>
              <w:t xml:space="preserve"> a žadatele. Celková účast: 40 osob</w:t>
            </w:r>
          </w:p>
        </w:tc>
      </w:tr>
      <w:tr w:rsidR="007D22B3" w:rsidRPr="00522998" w:rsidTr="00064A6E">
        <w:tc>
          <w:tcPr>
            <w:tcW w:w="1257" w:type="dxa"/>
            <w:tcBorders>
              <w:bottom w:val="single" w:sz="6" w:space="0" w:color="4F6228"/>
            </w:tcBorders>
            <w:vAlign w:val="center"/>
          </w:tcPr>
          <w:p w:rsidR="007D22B3" w:rsidRPr="000B60A2" w:rsidRDefault="007D22B3" w:rsidP="00064A6E">
            <w:r w:rsidRPr="000B60A2">
              <w:t>MPSV</w:t>
            </w:r>
          </w:p>
        </w:tc>
        <w:tc>
          <w:tcPr>
            <w:tcW w:w="2547" w:type="dxa"/>
            <w:tcBorders>
              <w:bottom w:val="single" w:sz="6" w:space="0" w:color="4F6228"/>
            </w:tcBorders>
            <w:vAlign w:val="center"/>
          </w:tcPr>
          <w:p w:rsidR="007D22B3" w:rsidRPr="000B60A2" w:rsidRDefault="007D22B3" w:rsidP="00064A6E">
            <w:r w:rsidRPr="000B60A2">
              <w:t>Semináře pro příjemce a žadatele za 3.3</w:t>
            </w:r>
          </w:p>
        </w:tc>
        <w:tc>
          <w:tcPr>
            <w:tcW w:w="2200" w:type="dxa"/>
            <w:tcBorders>
              <w:bottom w:val="single" w:sz="6" w:space="0" w:color="4F6228"/>
            </w:tcBorders>
            <w:vAlign w:val="center"/>
          </w:tcPr>
          <w:p w:rsidR="007D22B3" w:rsidRPr="000B60A2" w:rsidRDefault="007D22B3" w:rsidP="00064A6E">
            <w:pPr>
              <w:pStyle w:val="Odstavecseseznamem"/>
              <w:ind w:left="0"/>
            </w:pPr>
            <w:r w:rsidRPr="000B60A2">
              <w:t>Informace o výzvách a novinkách v OI 3.3</w:t>
            </w:r>
          </w:p>
        </w:tc>
        <w:tc>
          <w:tcPr>
            <w:tcW w:w="2704" w:type="dxa"/>
            <w:tcBorders>
              <w:bottom w:val="single" w:sz="6" w:space="0" w:color="4F6228"/>
            </w:tcBorders>
            <w:vAlign w:val="center"/>
          </w:tcPr>
          <w:p w:rsidR="007D22B3" w:rsidRPr="000B60A2" w:rsidRDefault="007D22B3" w:rsidP="00064A6E">
            <w:pPr>
              <w:pStyle w:val="Odstavecseseznamem"/>
              <w:ind w:left="0"/>
            </w:pPr>
            <w:r w:rsidRPr="000B60A2">
              <w:t>Příjemci,</w:t>
            </w:r>
            <w:r>
              <w:t xml:space="preserve"> ž</w:t>
            </w:r>
            <w:r w:rsidRPr="000B60A2">
              <w:t>adatelé</w:t>
            </w:r>
          </w:p>
        </w:tc>
        <w:tc>
          <w:tcPr>
            <w:tcW w:w="2032" w:type="dxa"/>
            <w:tcBorders>
              <w:bottom w:val="single" w:sz="6" w:space="0" w:color="4F6228"/>
            </w:tcBorders>
            <w:vAlign w:val="center"/>
          </w:tcPr>
          <w:p w:rsidR="007D22B3" w:rsidRPr="000B60A2" w:rsidRDefault="007D22B3" w:rsidP="00064A6E">
            <w:pPr>
              <w:jc w:val="right"/>
              <w:rPr>
                <w:color w:val="000000"/>
              </w:rPr>
            </w:pPr>
            <w:r>
              <w:rPr>
                <w:color w:val="000000"/>
              </w:rPr>
              <w:t>2 974,-  Kč</w:t>
            </w:r>
          </w:p>
          <w:p w:rsidR="007D22B3" w:rsidRPr="000B60A2" w:rsidRDefault="007D22B3" w:rsidP="00064A6E">
            <w:pPr>
              <w:pStyle w:val="Odstavecseseznamem"/>
              <w:ind w:left="0"/>
              <w:jc w:val="right"/>
            </w:pPr>
          </w:p>
        </w:tc>
        <w:tc>
          <w:tcPr>
            <w:tcW w:w="3294" w:type="dxa"/>
            <w:tcBorders>
              <w:bottom w:val="single" w:sz="6" w:space="0" w:color="4F6228"/>
            </w:tcBorders>
            <w:vAlign w:val="center"/>
          </w:tcPr>
          <w:p w:rsidR="007D22B3" w:rsidRPr="000B60A2" w:rsidRDefault="007D22B3" w:rsidP="00064A6E">
            <w:pPr>
              <w:pStyle w:val="Odstavecseseznamem"/>
              <w:ind w:left="0"/>
            </w:pPr>
            <w:r>
              <w:t>2 semináře pro příjemce a žadatele, c</w:t>
            </w:r>
            <w:r w:rsidRPr="000B60A2">
              <w:t>elková účast:</w:t>
            </w:r>
            <w:r>
              <w:t xml:space="preserve"> 44</w:t>
            </w:r>
            <w:r w:rsidRPr="000B60A2">
              <w:t xml:space="preserve"> osob</w:t>
            </w:r>
          </w:p>
        </w:tc>
      </w:tr>
      <w:tr w:rsidR="007D22B3" w:rsidRPr="00522998" w:rsidTr="00064A6E">
        <w:tc>
          <w:tcPr>
            <w:tcW w:w="1257" w:type="dxa"/>
            <w:tcBorders>
              <w:top w:val="single" w:sz="6" w:space="0" w:color="4F6228"/>
              <w:bottom w:val="single" w:sz="6" w:space="0" w:color="4F6228"/>
            </w:tcBorders>
            <w:shd w:val="clear" w:color="auto" w:fill="auto"/>
            <w:vAlign w:val="center"/>
          </w:tcPr>
          <w:p w:rsidR="007D22B3" w:rsidRPr="000B60A2" w:rsidRDefault="007D22B3" w:rsidP="00064A6E">
            <w:r w:rsidRPr="000B60A2">
              <w:t>MPSV</w:t>
            </w:r>
          </w:p>
        </w:tc>
        <w:tc>
          <w:tcPr>
            <w:tcW w:w="2547" w:type="dxa"/>
            <w:tcBorders>
              <w:top w:val="single" w:sz="6" w:space="0" w:color="4F6228"/>
              <w:bottom w:val="single" w:sz="6" w:space="0" w:color="4F6228"/>
            </w:tcBorders>
            <w:shd w:val="clear" w:color="auto" w:fill="auto"/>
            <w:vAlign w:val="center"/>
          </w:tcPr>
          <w:p w:rsidR="007D22B3" w:rsidRPr="000B60A2" w:rsidRDefault="007D22B3" w:rsidP="00064A6E">
            <w:r w:rsidRPr="0068443C">
              <w:t xml:space="preserve">Inzerce – informace o projektu v OI 3.1 c) </w:t>
            </w:r>
          </w:p>
        </w:tc>
        <w:tc>
          <w:tcPr>
            <w:tcW w:w="2200" w:type="dxa"/>
            <w:tcBorders>
              <w:top w:val="single" w:sz="6" w:space="0" w:color="4F6228"/>
              <w:bottom w:val="single" w:sz="6" w:space="0" w:color="4F6228"/>
            </w:tcBorders>
            <w:shd w:val="clear" w:color="auto" w:fill="auto"/>
            <w:vAlign w:val="center"/>
          </w:tcPr>
          <w:p w:rsidR="007D22B3" w:rsidRPr="000B60A2" w:rsidRDefault="007D22B3" w:rsidP="00064A6E">
            <w:r w:rsidRPr="0068443C">
              <w:t>Inzerce – informace o projektu v OI 3.1 c) v časopisu Respekt</w:t>
            </w:r>
          </w:p>
        </w:tc>
        <w:tc>
          <w:tcPr>
            <w:tcW w:w="2704" w:type="dxa"/>
            <w:tcBorders>
              <w:top w:val="single" w:sz="6" w:space="0" w:color="4F6228"/>
              <w:bottom w:val="single" w:sz="6" w:space="0" w:color="4F6228"/>
            </w:tcBorders>
            <w:shd w:val="clear" w:color="auto" w:fill="auto"/>
            <w:vAlign w:val="center"/>
          </w:tcPr>
          <w:p w:rsidR="007D22B3" w:rsidRPr="000B60A2" w:rsidRDefault="007D22B3" w:rsidP="00064A6E">
            <w:pPr>
              <w:pStyle w:val="Odstavecseseznamem"/>
              <w:ind w:left="0"/>
            </w:pPr>
            <w:r w:rsidRPr="000B60A2">
              <w:t>Příjemci,</w:t>
            </w:r>
            <w:r>
              <w:t xml:space="preserve"> ž</w:t>
            </w:r>
            <w:r w:rsidRPr="000B60A2">
              <w:t>adatelé</w:t>
            </w:r>
          </w:p>
        </w:tc>
        <w:tc>
          <w:tcPr>
            <w:tcW w:w="2032" w:type="dxa"/>
            <w:tcBorders>
              <w:top w:val="single" w:sz="6" w:space="0" w:color="4F6228"/>
              <w:bottom w:val="single" w:sz="6" w:space="0" w:color="4F6228"/>
            </w:tcBorders>
            <w:shd w:val="clear" w:color="auto" w:fill="auto"/>
            <w:vAlign w:val="center"/>
          </w:tcPr>
          <w:p w:rsidR="007D22B3" w:rsidRPr="0068443C" w:rsidRDefault="007D22B3" w:rsidP="00064A6E">
            <w:pPr>
              <w:jc w:val="right"/>
            </w:pPr>
            <w:r w:rsidRPr="0068443C">
              <w:t>63 676,-  Kč</w:t>
            </w:r>
          </w:p>
          <w:p w:rsidR="007D22B3" w:rsidRPr="000B60A2" w:rsidRDefault="007D22B3" w:rsidP="00064A6E">
            <w:pPr>
              <w:pStyle w:val="Odstavecseseznamem"/>
              <w:ind w:left="0"/>
              <w:jc w:val="right"/>
            </w:pPr>
          </w:p>
        </w:tc>
        <w:tc>
          <w:tcPr>
            <w:tcW w:w="3294" w:type="dxa"/>
            <w:tcBorders>
              <w:top w:val="single" w:sz="6" w:space="0" w:color="4F6228"/>
              <w:bottom w:val="single" w:sz="6" w:space="0" w:color="4F6228"/>
            </w:tcBorders>
            <w:shd w:val="clear" w:color="auto" w:fill="auto"/>
            <w:vAlign w:val="center"/>
          </w:tcPr>
          <w:p w:rsidR="007D22B3" w:rsidRPr="000B60A2" w:rsidRDefault="007D22B3" w:rsidP="00064A6E">
            <w:r w:rsidRPr="0068443C">
              <w:t>Zveřejnění prezentace IOP – dotace z</w:t>
            </w:r>
            <w:r>
              <w:t xml:space="preserve"> OI </w:t>
            </w:r>
            <w:r w:rsidRPr="0068443C">
              <w:t xml:space="preserve">3.1 na investice podnikatelů, kteří zaměstnávají osoby z </w:t>
            </w:r>
            <w:r>
              <w:t>vymezených</w:t>
            </w:r>
            <w:r w:rsidRPr="0068443C">
              <w:t xml:space="preserve"> skupin. Inzerce vyšla dne 18. 8. 2014 a 25. 8. 2014 v rozsahu ½  strany.</w:t>
            </w:r>
          </w:p>
        </w:tc>
      </w:tr>
      <w:tr w:rsidR="007D22B3" w:rsidRPr="00522998" w:rsidTr="00157DEF">
        <w:tc>
          <w:tcPr>
            <w:tcW w:w="1257" w:type="dxa"/>
            <w:tcBorders>
              <w:top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tcBorders>
            <w:shd w:val="clear" w:color="auto" w:fill="D9D9D9" w:themeFill="background1" w:themeFillShade="D9"/>
            <w:vAlign w:val="center"/>
          </w:tcPr>
          <w:p w:rsidR="007D22B3" w:rsidRPr="00522998" w:rsidRDefault="007D22B3" w:rsidP="00064A6E">
            <w:r w:rsidRPr="00522998">
              <w:t xml:space="preserve">Webové stránky </w:t>
            </w:r>
            <w:hyperlink r:id="rId60" w:history="1">
              <w:r w:rsidRPr="00122585">
                <w:rPr>
                  <w:rStyle w:val="Hypertextovodkaz"/>
                </w:rPr>
                <w:t>www.osf-mvcr.cz</w:t>
              </w:r>
            </w:hyperlink>
          </w:p>
        </w:tc>
        <w:tc>
          <w:tcPr>
            <w:tcW w:w="2200" w:type="dxa"/>
            <w:tcBorders>
              <w:top w:val="single" w:sz="6" w:space="0" w:color="4F6228"/>
            </w:tcBorders>
            <w:shd w:val="clear" w:color="auto" w:fill="D9D9D9" w:themeFill="background1" w:themeFillShade="D9"/>
            <w:vAlign w:val="center"/>
          </w:tcPr>
          <w:p w:rsidR="007D22B3" w:rsidRPr="00522998" w:rsidRDefault="007D22B3" w:rsidP="00064A6E">
            <w:r w:rsidRPr="00522998">
              <w:t>Průběžné uveřejňování a aktualizace stránek</w:t>
            </w:r>
          </w:p>
        </w:tc>
        <w:tc>
          <w:tcPr>
            <w:tcW w:w="2704" w:type="dxa"/>
            <w:tcBorders>
              <w:top w:val="single" w:sz="6" w:space="0" w:color="4F6228"/>
            </w:tcBorders>
            <w:shd w:val="clear" w:color="auto" w:fill="D9D9D9" w:themeFill="background1" w:themeFillShade="D9"/>
            <w:vAlign w:val="center"/>
          </w:tcPr>
          <w:p w:rsidR="007D22B3" w:rsidRPr="00522998" w:rsidRDefault="007D22B3" w:rsidP="00064A6E">
            <w:r w:rsidRPr="00522998">
              <w:t>Žadatelé a příjemci,</w:t>
            </w:r>
          </w:p>
          <w:p w:rsidR="007D22B3" w:rsidRPr="00522998" w:rsidRDefault="007D22B3" w:rsidP="00064A6E">
            <w:r w:rsidRPr="00522998">
              <w:t>veřejnost, hodnotitelé, subjekty implementace,</w:t>
            </w:r>
          </w:p>
          <w:p w:rsidR="007D22B3" w:rsidRPr="00522998" w:rsidRDefault="007D22B3" w:rsidP="00064A6E">
            <w:r w:rsidRPr="00522998">
              <w:t>sdělovací prostředky</w:t>
            </w:r>
          </w:p>
        </w:tc>
        <w:tc>
          <w:tcPr>
            <w:tcW w:w="2032" w:type="dxa"/>
            <w:tcBorders>
              <w:top w:val="single" w:sz="6" w:space="0" w:color="4F6228"/>
            </w:tcBorders>
            <w:shd w:val="clear" w:color="auto" w:fill="D9D9D9" w:themeFill="background1" w:themeFillShade="D9"/>
            <w:vAlign w:val="center"/>
          </w:tcPr>
          <w:p w:rsidR="007D22B3" w:rsidRPr="0083116D" w:rsidRDefault="007D22B3" w:rsidP="00064A6E">
            <w:pPr>
              <w:jc w:val="right"/>
            </w:pPr>
            <w:r>
              <w:t>25 384,59 Kč</w:t>
            </w:r>
          </w:p>
        </w:tc>
        <w:tc>
          <w:tcPr>
            <w:tcW w:w="3294" w:type="dxa"/>
            <w:tcBorders>
              <w:top w:val="single" w:sz="6" w:space="0" w:color="4F6228"/>
            </w:tcBorders>
            <w:shd w:val="clear" w:color="auto" w:fill="D9D9D9" w:themeFill="background1" w:themeFillShade="D9"/>
            <w:vAlign w:val="center"/>
          </w:tcPr>
          <w:p w:rsidR="007D22B3" w:rsidRPr="00522998" w:rsidRDefault="007D22B3" w:rsidP="00064A6E">
            <w:r w:rsidRPr="00522998">
              <w:t>Aktualizace stránek probíhá po celý rok. Návštěvnost 201</w:t>
            </w:r>
            <w:r>
              <w:t>4</w:t>
            </w:r>
            <w:r w:rsidRPr="00522998">
              <w:t xml:space="preserve">: </w:t>
            </w:r>
            <w:r w:rsidRPr="00522998">
              <w:br/>
            </w:r>
            <w:r>
              <w:t>42 733 uživatelů</w:t>
            </w:r>
          </w:p>
          <w:p w:rsidR="007D22B3" w:rsidRPr="00522998" w:rsidRDefault="007D22B3" w:rsidP="00064A6E">
            <w:r>
              <w:t>Jedna úprava</w:t>
            </w:r>
            <w:r w:rsidRPr="00522998">
              <w:t xml:space="preserve"> – </w:t>
            </w:r>
            <w:r>
              <w:t>redakční systém</w:t>
            </w:r>
          </w:p>
        </w:tc>
      </w:tr>
      <w:tr w:rsidR="007D22B3" w:rsidRPr="00522998" w:rsidTr="00157DEF">
        <w:tc>
          <w:tcPr>
            <w:tcW w:w="1257" w:type="dxa"/>
            <w:tcBorders>
              <w:bottom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bottom w:val="single" w:sz="6" w:space="0" w:color="4F6228"/>
            </w:tcBorders>
            <w:shd w:val="clear" w:color="auto" w:fill="D9D9D9" w:themeFill="background1" w:themeFillShade="D9"/>
            <w:vAlign w:val="center"/>
          </w:tcPr>
          <w:p w:rsidR="007D22B3" w:rsidRPr="00522998" w:rsidRDefault="007D22B3" w:rsidP="00064A6E">
            <w:r w:rsidRPr="00522998">
              <w:t>Webové stránky</w:t>
            </w:r>
          </w:p>
          <w:p w:rsidR="007D22B3" w:rsidRPr="00522998" w:rsidRDefault="007D22B3" w:rsidP="00064A6E">
            <w:r w:rsidRPr="00522998">
              <w:t>Projekty.osf-mvcr.cz</w:t>
            </w:r>
          </w:p>
        </w:tc>
        <w:tc>
          <w:tcPr>
            <w:tcW w:w="2200" w:type="dxa"/>
            <w:tcBorders>
              <w:bottom w:val="single" w:sz="6" w:space="0" w:color="4F6228"/>
            </w:tcBorders>
            <w:shd w:val="clear" w:color="auto" w:fill="D9D9D9" w:themeFill="background1" w:themeFillShade="D9"/>
            <w:vAlign w:val="center"/>
          </w:tcPr>
          <w:p w:rsidR="007D22B3" w:rsidRPr="00522998" w:rsidRDefault="007D22B3" w:rsidP="00064A6E">
            <w:r w:rsidRPr="00522998">
              <w:t>Databáze prezentací úspěšných projektů</w:t>
            </w:r>
          </w:p>
        </w:tc>
        <w:tc>
          <w:tcPr>
            <w:tcW w:w="2704" w:type="dxa"/>
            <w:tcBorders>
              <w:bottom w:val="single" w:sz="6" w:space="0" w:color="4F6228"/>
            </w:tcBorders>
            <w:shd w:val="clear" w:color="auto" w:fill="D9D9D9" w:themeFill="background1" w:themeFillShade="D9"/>
            <w:vAlign w:val="center"/>
          </w:tcPr>
          <w:p w:rsidR="007D22B3" w:rsidRPr="00522998" w:rsidRDefault="007D22B3" w:rsidP="00064A6E">
            <w:r w:rsidRPr="00522998">
              <w:t>Žadatelé a příjemci, veřejnost, sdělovací prostředky</w:t>
            </w:r>
          </w:p>
        </w:tc>
        <w:tc>
          <w:tcPr>
            <w:tcW w:w="2032" w:type="dxa"/>
            <w:tcBorders>
              <w:bottom w:val="single" w:sz="6" w:space="0" w:color="4F6228"/>
            </w:tcBorders>
            <w:shd w:val="clear" w:color="auto" w:fill="D9D9D9" w:themeFill="background1" w:themeFillShade="D9"/>
            <w:vAlign w:val="center"/>
          </w:tcPr>
          <w:p w:rsidR="007D22B3" w:rsidRPr="0083116D" w:rsidRDefault="007D22B3" w:rsidP="00064A6E">
            <w:pPr>
              <w:jc w:val="right"/>
            </w:pPr>
            <w:r>
              <w:t>25 155,9 Kč</w:t>
            </w:r>
          </w:p>
        </w:tc>
        <w:tc>
          <w:tcPr>
            <w:tcW w:w="3294" w:type="dxa"/>
            <w:tcBorders>
              <w:bottom w:val="single" w:sz="6" w:space="0" w:color="4F6228"/>
            </w:tcBorders>
            <w:shd w:val="clear" w:color="auto" w:fill="D9D9D9" w:themeFill="background1" w:themeFillShade="D9"/>
            <w:vAlign w:val="center"/>
          </w:tcPr>
          <w:p w:rsidR="007D22B3" w:rsidRDefault="007D22B3" w:rsidP="00064A6E">
            <w:r w:rsidRPr="00522998">
              <w:t>Aktualizace stránek probíhá po celý rok. Návštěvnost 201</w:t>
            </w:r>
            <w:r>
              <w:t>4</w:t>
            </w:r>
            <w:r w:rsidRPr="00522998">
              <w:t xml:space="preserve">: </w:t>
            </w:r>
          </w:p>
          <w:p w:rsidR="007D22B3" w:rsidRPr="00522998" w:rsidRDefault="007D22B3" w:rsidP="00064A6E">
            <w:r w:rsidRPr="00522998">
              <w:t>1</w:t>
            </w:r>
            <w:r>
              <w:t> 350 uživatelů</w:t>
            </w:r>
          </w:p>
          <w:p w:rsidR="007D22B3" w:rsidRPr="00522998" w:rsidRDefault="007D22B3" w:rsidP="00064A6E">
            <w:r>
              <w:t>Dvě úpravy – obrázková galerie, redakční systém</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pPr>
              <w:tabs>
                <w:tab w:val="left" w:pos="735"/>
              </w:tabs>
            </w:pPr>
            <w:r>
              <w:t>MV</w:t>
            </w:r>
            <w:r>
              <w:tab/>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proofErr w:type="spellStart"/>
            <w:r>
              <w:t>Hosting</w:t>
            </w:r>
            <w:proofErr w:type="spellEnd"/>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proofErr w:type="spellStart"/>
            <w:r>
              <w:t>Hosting</w:t>
            </w:r>
            <w:proofErr w:type="spellEnd"/>
            <w:r>
              <w:t xml:space="preserve"> webu OSF</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Žadatelé a příjemci, veřejnost, sdělovací prostředky</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83116D" w:rsidRDefault="007D22B3" w:rsidP="00064A6E">
            <w:pPr>
              <w:jc w:val="right"/>
            </w:pPr>
            <w:r w:rsidRPr="00437D58">
              <w:t>56 563,92</w:t>
            </w:r>
            <w:r>
              <w:t xml:space="preserve"> Kč</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proofErr w:type="spellStart"/>
            <w:r>
              <w:t>Webhosting</w:t>
            </w:r>
            <w:proofErr w:type="spellEnd"/>
            <w:r>
              <w:t xml:space="preserve"> – </w:t>
            </w:r>
            <w:proofErr w:type="spellStart"/>
            <w:r>
              <w:t>vysoutěženo</w:t>
            </w:r>
            <w:proofErr w:type="spellEnd"/>
            <w:r>
              <w:t xml:space="preserve"> ve 2014 na základě VZMR, leden + únor 2014 hrazeny z prostředků MV</w:t>
            </w:r>
          </w:p>
        </w:tc>
      </w:tr>
      <w:tr w:rsidR="007D22B3" w:rsidRPr="00522998" w:rsidTr="00157DEF">
        <w:tc>
          <w:tcPr>
            <w:tcW w:w="1257" w:type="dxa"/>
            <w:tcBorders>
              <w:top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tcBorders>
            <w:shd w:val="clear" w:color="auto" w:fill="D9D9D9" w:themeFill="background1" w:themeFillShade="D9"/>
            <w:vAlign w:val="center"/>
          </w:tcPr>
          <w:p w:rsidR="007D22B3" w:rsidRPr="00522998" w:rsidRDefault="007D22B3" w:rsidP="00064A6E">
            <w:proofErr w:type="spellStart"/>
            <w:r w:rsidRPr="00522998">
              <w:t>Twitter</w:t>
            </w:r>
            <w:proofErr w:type="spellEnd"/>
          </w:p>
        </w:tc>
        <w:tc>
          <w:tcPr>
            <w:tcW w:w="2200" w:type="dxa"/>
            <w:tcBorders>
              <w:top w:val="single" w:sz="6" w:space="0" w:color="4F6228"/>
            </w:tcBorders>
            <w:shd w:val="clear" w:color="auto" w:fill="D9D9D9" w:themeFill="background1" w:themeFillShade="D9"/>
            <w:vAlign w:val="center"/>
          </w:tcPr>
          <w:p w:rsidR="007D22B3" w:rsidRPr="00522998" w:rsidRDefault="007D22B3" w:rsidP="00064A6E">
            <w:r w:rsidRPr="00522998">
              <w:t xml:space="preserve">Průběžné zveřejňování </w:t>
            </w:r>
            <w:r w:rsidRPr="00522998">
              <w:lastRenderedPageBreak/>
              <w:t>novinek z OSF</w:t>
            </w:r>
          </w:p>
        </w:tc>
        <w:tc>
          <w:tcPr>
            <w:tcW w:w="2704" w:type="dxa"/>
            <w:tcBorders>
              <w:top w:val="single" w:sz="6" w:space="0" w:color="4F6228"/>
            </w:tcBorders>
            <w:shd w:val="clear" w:color="auto" w:fill="D9D9D9" w:themeFill="background1" w:themeFillShade="D9"/>
            <w:vAlign w:val="center"/>
          </w:tcPr>
          <w:p w:rsidR="007D22B3" w:rsidRPr="00522998" w:rsidRDefault="007D22B3" w:rsidP="00064A6E">
            <w:r w:rsidRPr="00522998">
              <w:lastRenderedPageBreak/>
              <w:t>Veřejnost,</w:t>
            </w:r>
          </w:p>
          <w:p w:rsidR="007D22B3" w:rsidRPr="00522998" w:rsidRDefault="007D22B3" w:rsidP="00064A6E">
            <w:r w:rsidRPr="00522998">
              <w:lastRenderedPageBreak/>
              <w:t>sdělovací prostředky</w:t>
            </w:r>
          </w:p>
        </w:tc>
        <w:tc>
          <w:tcPr>
            <w:tcW w:w="2032" w:type="dxa"/>
            <w:tcBorders>
              <w:top w:val="single" w:sz="6" w:space="0" w:color="4F6228"/>
            </w:tcBorders>
            <w:shd w:val="clear" w:color="auto" w:fill="D9D9D9" w:themeFill="background1" w:themeFillShade="D9"/>
            <w:vAlign w:val="center"/>
          </w:tcPr>
          <w:p w:rsidR="007D22B3" w:rsidRPr="0083116D" w:rsidRDefault="007D22B3" w:rsidP="00064A6E">
            <w:pPr>
              <w:jc w:val="right"/>
            </w:pPr>
            <w:r w:rsidRPr="0083116D">
              <w:lastRenderedPageBreak/>
              <w:t>0</w:t>
            </w:r>
            <w:r>
              <w:t>,- Kč</w:t>
            </w:r>
          </w:p>
        </w:tc>
        <w:tc>
          <w:tcPr>
            <w:tcW w:w="3294" w:type="dxa"/>
            <w:tcBorders>
              <w:top w:val="single" w:sz="6" w:space="0" w:color="4F6228"/>
            </w:tcBorders>
            <w:shd w:val="clear" w:color="auto" w:fill="D9D9D9" w:themeFill="background1" w:themeFillShade="D9"/>
            <w:vAlign w:val="center"/>
          </w:tcPr>
          <w:p w:rsidR="007D22B3" w:rsidRDefault="007D22B3" w:rsidP="00064A6E">
            <w:r w:rsidRPr="00522998">
              <w:t xml:space="preserve">Účet na </w:t>
            </w:r>
            <w:proofErr w:type="spellStart"/>
            <w:r w:rsidRPr="00522998">
              <w:t>Twitteru</w:t>
            </w:r>
            <w:proofErr w:type="spellEnd"/>
            <w:r w:rsidRPr="00522998">
              <w:t xml:space="preserve"> spuštěn od září </w:t>
            </w:r>
            <w:r w:rsidRPr="00522998">
              <w:lastRenderedPageBreak/>
              <w:t xml:space="preserve">2011, aktuálně </w:t>
            </w:r>
            <w:r>
              <w:t>cca 200</w:t>
            </w:r>
            <w:r w:rsidRPr="00522998">
              <w:t xml:space="preserve"> </w:t>
            </w:r>
            <w:proofErr w:type="spellStart"/>
            <w:r w:rsidRPr="00522998">
              <w:t>followerů</w:t>
            </w:r>
            <w:proofErr w:type="spellEnd"/>
          </w:p>
          <w:p w:rsidR="007D22B3" w:rsidRPr="00522998" w:rsidRDefault="007D22B3" w:rsidP="00064A6E"/>
        </w:tc>
      </w:tr>
      <w:tr w:rsidR="007D22B3" w:rsidRPr="00522998" w:rsidTr="00157DEF">
        <w:tc>
          <w:tcPr>
            <w:tcW w:w="1257" w:type="dxa"/>
            <w:vMerge w:val="restart"/>
            <w:shd w:val="clear" w:color="auto" w:fill="D9D9D9" w:themeFill="background1" w:themeFillShade="D9"/>
            <w:vAlign w:val="center"/>
          </w:tcPr>
          <w:p w:rsidR="007D22B3" w:rsidRPr="00522998" w:rsidRDefault="007D22B3" w:rsidP="00064A6E">
            <w:r w:rsidRPr="00522998">
              <w:lastRenderedPageBreak/>
              <w:t>MV</w:t>
            </w:r>
          </w:p>
        </w:tc>
        <w:tc>
          <w:tcPr>
            <w:tcW w:w="2547" w:type="dxa"/>
            <w:vMerge w:val="restart"/>
            <w:shd w:val="clear" w:color="auto" w:fill="D9D9D9" w:themeFill="background1" w:themeFillShade="D9"/>
            <w:vAlign w:val="center"/>
          </w:tcPr>
          <w:p w:rsidR="007D22B3" w:rsidRPr="00522998" w:rsidRDefault="007D22B3" w:rsidP="00064A6E">
            <w:r w:rsidRPr="00522998">
              <w:t xml:space="preserve">Mediální komunikace </w:t>
            </w:r>
          </w:p>
        </w:tc>
        <w:tc>
          <w:tcPr>
            <w:tcW w:w="2200" w:type="dxa"/>
            <w:vMerge w:val="restart"/>
            <w:shd w:val="clear" w:color="auto" w:fill="D9D9D9" w:themeFill="background1" w:themeFillShade="D9"/>
            <w:vAlign w:val="center"/>
          </w:tcPr>
          <w:p w:rsidR="007D22B3" w:rsidRPr="00522998" w:rsidRDefault="007D22B3" w:rsidP="00064A6E">
            <w:r w:rsidRPr="00522998">
              <w:t>Inzerce k soutěži „Natoč chytrý úřad a vyhraj!“</w:t>
            </w:r>
          </w:p>
        </w:tc>
        <w:tc>
          <w:tcPr>
            <w:tcW w:w="2704" w:type="dxa"/>
            <w:vMerge w:val="restart"/>
            <w:shd w:val="clear" w:color="auto" w:fill="D9D9D9" w:themeFill="background1" w:themeFillShade="D9"/>
            <w:vAlign w:val="center"/>
          </w:tcPr>
          <w:p w:rsidR="007D22B3" w:rsidRPr="00522998" w:rsidRDefault="007D22B3" w:rsidP="00064A6E">
            <w:r w:rsidRPr="00522998">
              <w:t xml:space="preserve">Veřejnost </w:t>
            </w:r>
          </w:p>
        </w:tc>
        <w:tc>
          <w:tcPr>
            <w:tcW w:w="2032" w:type="dxa"/>
            <w:shd w:val="clear" w:color="auto" w:fill="D9D9D9" w:themeFill="background1" w:themeFillShade="D9"/>
            <w:vAlign w:val="center"/>
          </w:tcPr>
          <w:p w:rsidR="007D22B3" w:rsidRPr="0083116D" w:rsidRDefault="007D22B3" w:rsidP="00064A6E">
            <w:pPr>
              <w:jc w:val="right"/>
            </w:pPr>
            <w:r w:rsidRPr="0083116D">
              <w:t>0</w:t>
            </w:r>
            <w:r>
              <w:t>,- Kč</w:t>
            </w:r>
          </w:p>
        </w:tc>
        <w:tc>
          <w:tcPr>
            <w:tcW w:w="3294" w:type="dxa"/>
            <w:shd w:val="clear" w:color="auto" w:fill="D9D9D9" w:themeFill="background1" w:themeFillShade="D9"/>
            <w:vAlign w:val="center"/>
          </w:tcPr>
          <w:p w:rsidR="007D22B3" w:rsidRPr="00522998" w:rsidRDefault="007D22B3" w:rsidP="00064A6E">
            <w:r>
              <w:t>2</w:t>
            </w:r>
            <w:r w:rsidRPr="00522998">
              <w:t xml:space="preserve">x inzerce barevná A4 </w:t>
            </w:r>
            <w:r>
              <w:t xml:space="preserve"> časopis </w:t>
            </w:r>
            <w:r w:rsidRPr="00522998">
              <w:t xml:space="preserve">Veřejná správa (č. </w:t>
            </w:r>
            <w:r>
              <w:t>19</w:t>
            </w:r>
            <w:r w:rsidRPr="00522998">
              <w:t>, 23)</w:t>
            </w:r>
          </w:p>
        </w:tc>
      </w:tr>
      <w:tr w:rsidR="007D22B3" w:rsidRPr="00522998" w:rsidTr="00157DEF">
        <w:tc>
          <w:tcPr>
            <w:tcW w:w="1257" w:type="dxa"/>
            <w:vMerge/>
            <w:tcBorders>
              <w:bottom w:val="single" w:sz="6" w:space="0" w:color="4F6228"/>
            </w:tcBorders>
            <w:shd w:val="clear" w:color="auto" w:fill="D9D9D9" w:themeFill="background1" w:themeFillShade="D9"/>
            <w:vAlign w:val="center"/>
          </w:tcPr>
          <w:p w:rsidR="007D22B3" w:rsidRPr="00522998" w:rsidRDefault="007D22B3" w:rsidP="00064A6E"/>
        </w:tc>
        <w:tc>
          <w:tcPr>
            <w:tcW w:w="2547" w:type="dxa"/>
            <w:vMerge/>
            <w:tcBorders>
              <w:bottom w:val="single" w:sz="6" w:space="0" w:color="4F6228"/>
            </w:tcBorders>
            <w:shd w:val="clear" w:color="auto" w:fill="D9D9D9" w:themeFill="background1" w:themeFillShade="D9"/>
            <w:vAlign w:val="center"/>
          </w:tcPr>
          <w:p w:rsidR="007D22B3" w:rsidRPr="00522998" w:rsidRDefault="007D22B3" w:rsidP="00064A6E"/>
        </w:tc>
        <w:tc>
          <w:tcPr>
            <w:tcW w:w="2200" w:type="dxa"/>
            <w:vMerge/>
            <w:tcBorders>
              <w:bottom w:val="single" w:sz="6" w:space="0" w:color="4F6228"/>
            </w:tcBorders>
            <w:shd w:val="clear" w:color="auto" w:fill="D9D9D9" w:themeFill="background1" w:themeFillShade="D9"/>
            <w:vAlign w:val="center"/>
          </w:tcPr>
          <w:p w:rsidR="007D22B3" w:rsidRPr="00522998" w:rsidRDefault="007D22B3" w:rsidP="00064A6E"/>
        </w:tc>
        <w:tc>
          <w:tcPr>
            <w:tcW w:w="2704" w:type="dxa"/>
            <w:vMerge/>
            <w:tcBorders>
              <w:bottom w:val="single" w:sz="6" w:space="0" w:color="4F6228"/>
            </w:tcBorders>
            <w:shd w:val="clear" w:color="auto" w:fill="D9D9D9" w:themeFill="background1" w:themeFillShade="D9"/>
            <w:vAlign w:val="center"/>
          </w:tcPr>
          <w:p w:rsidR="007D22B3" w:rsidRPr="00522998" w:rsidRDefault="007D22B3" w:rsidP="00064A6E"/>
        </w:tc>
        <w:tc>
          <w:tcPr>
            <w:tcW w:w="2032" w:type="dxa"/>
            <w:tcBorders>
              <w:bottom w:val="single" w:sz="6" w:space="0" w:color="4F6228"/>
            </w:tcBorders>
            <w:shd w:val="clear" w:color="auto" w:fill="D9D9D9" w:themeFill="background1" w:themeFillShade="D9"/>
            <w:vAlign w:val="center"/>
          </w:tcPr>
          <w:p w:rsidR="007D22B3" w:rsidRPr="0083116D" w:rsidRDefault="007D22B3" w:rsidP="00064A6E">
            <w:pPr>
              <w:jc w:val="right"/>
            </w:pPr>
            <w:r>
              <w:t>70 512,75 Kč</w:t>
            </w:r>
          </w:p>
        </w:tc>
        <w:tc>
          <w:tcPr>
            <w:tcW w:w="3294" w:type="dxa"/>
            <w:tcBorders>
              <w:bottom w:val="single" w:sz="6" w:space="0" w:color="4F6228"/>
            </w:tcBorders>
            <w:shd w:val="clear" w:color="auto" w:fill="D9D9D9" w:themeFill="background1" w:themeFillShade="D9"/>
            <w:vAlign w:val="center"/>
          </w:tcPr>
          <w:p w:rsidR="007D22B3" w:rsidRPr="00522998" w:rsidRDefault="007D22B3" w:rsidP="00064A6E">
            <w:proofErr w:type="spellStart"/>
            <w:r>
              <w:t>Bannerová</w:t>
            </w:r>
            <w:proofErr w:type="spellEnd"/>
            <w:r>
              <w:t xml:space="preserve"> inzerce na portále Novinky.cz od 13. 10. do 9. 11., cca 1 mil. impresí</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Počet zodpovězených dotazů</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 xml:space="preserve">Dotazy k IOP </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Veřejnost, příjemci, žadatelé</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83116D" w:rsidRDefault="007D22B3" w:rsidP="00064A6E">
            <w:pPr>
              <w:jc w:val="right"/>
            </w:pPr>
            <w:r w:rsidRPr="0083116D">
              <w:t>0</w:t>
            </w:r>
            <w:r>
              <w:t>,- Kč</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Počet zodpovězených dotazů: 8 000 (kvalifikovaný odhad) – telefonické, e-mailové, osobní konzultace, on-line poradna</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Poskytování služeb PR pro veřejnost – tiskové zprávy</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Informace k novým výzvám IOP a projektům v hodnocení</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Veřejnost, sdělovací prostředky</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83116D" w:rsidRDefault="007D22B3" w:rsidP="00064A6E">
            <w:pPr>
              <w:jc w:val="right"/>
            </w:pPr>
            <w:r w:rsidRPr="0083116D">
              <w:t>0</w:t>
            </w:r>
            <w:r>
              <w:t>,- Kč</w:t>
            </w:r>
            <w:r w:rsidRPr="0083116D" w:rsidDel="009403BE">
              <w:t xml:space="preserve"> </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Default="007D22B3" w:rsidP="00064A6E">
            <w:r>
              <w:t>Tisková zpráva: 3</w:t>
            </w:r>
          </w:p>
          <w:p w:rsidR="007D22B3" w:rsidRDefault="007D22B3" w:rsidP="00064A6E">
            <w:r>
              <w:t>Elektronickou veřejnou správu podpoří strukturální fondy 650 miliony (22. 4. 2014)</w:t>
            </w:r>
          </w:p>
          <w:p w:rsidR="007D22B3" w:rsidRDefault="007D22B3" w:rsidP="00064A6E">
            <w:r>
              <w:t xml:space="preserve">O projekty </w:t>
            </w:r>
            <w:proofErr w:type="spellStart"/>
            <w:r>
              <w:t>eGovernmentu</w:t>
            </w:r>
            <w:proofErr w:type="spellEnd"/>
            <w:r>
              <w:t xml:space="preserve">  je mezi státními úřady zájem (10. 10. 2014)</w:t>
            </w:r>
          </w:p>
          <w:p w:rsidR="007D22B3" w:rsidRDefault="007D22B3" w:rsidP="00064A6E">
            <w:r w:rsidRPr="00522998">
              <w:t>Obě k výzvě č. 1</w:t>
            </w:r>
            <w:r>
              <w:t>7</w:t>
            </w:r>
            <w:r w:rsidRPr="00522998">
              <w:t xml:space="preserve"> IOP</w:t>
            </w:r>
          </w:p>
          <w:p w:rsidR="007D22B3" w:rsidRPr="00522998" w:rsidRDefault="007D22B3" w:rsidP="00064A6E">
            <w:r>
              <w:t>Certifikace projektů OP LZZ: 833 milionů korun, IOP: 1 133 milionů korun (18. 12. 2014)</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 xml:space="preserve">Pravidelná distribuce a tvorba </w:t>
            </w:r>
            <w:proofErr w:type="spellStart"/>
            <w:r w:rsidRPr="00522998">
              <w:t>newsletteru</w:t>
            </w:r>
            <w:proofErr w:type="spellEnd"/>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Informování o činnosti OSF, úspěšných projektech, statistiky</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Odborná veřejnost</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83116D" w:rsidRDefault="007D22B3" w:rsidP="00064A6E">
            <w:pPr>
              <w:jc w:val="right"/>
            </w:pPr>
            <w:r w:rsidRPr="0083116D">
              <w:t>0</w:t>
            </w:r>
            <w:r>
              <w:t>,- Kč</w:t>
            </w:r>
            <w:r w:rsidRPr="0083116D" w:rsidDel="009403BE">
              <w:t xml:space="preserve"> </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Elektronická forma, rozesílán prostřednictvím e-mailu na 1 </w:t>
            </w:r>
            <w:r>
              <w:t>145</w:t>
            </w:r>
            <w:r w:rsidRPr="00522998">
              <w:t xml:space="preserve"> adres, ke stažení na webu OSF; čtvrtletník </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PR články</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Různá témata týkající se podpory IOP a úspěšných projektů</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Veřejnost,</w:t>
            </w:r>
          </w:p>
          <w:p w:rsidR="007D22B3" w:rsidRPr="00522998" w:rsidRDefault="007D22B3" w:rsidP="00064A6E">
            <w:r w:rsidRPr="00522998">
              <w:t>sdělovací prostředky</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83116D" w:rsidRDefault="007D22B3" w:rsidP="00064A6E">
            <w:pPr>
              <w:jc w:val="right"/>
            </w:pPr>
            <w:r w:rsidRPr="0083116D">
              <w:t>0</w:t>
            </w:r>
            <w:r>
              <w:t>,- Kč</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Publikovány 4 PR články na webu OSF</w:t>
            </w:r>
          </w:p>
          <w:p w:rsidR="007D22B3" w:rsidRPr="00522998" w:rsidRDefault="0095318B" w:rsidP="00064A6E">
            <w:hyperlink r:id="rId61" w:history="1">
              <w:r w:rsidR="007D22B3" w:rsidRPr="00522998">
                <w:rPr>
                  <w:rStyle w:val="Hypertextovodkaz"/>
                </w:rPr>
                <w:t>http://www.osf-mvcr.cz/pr-clanky</w:t>
              </w:r>
            </w:hyperlink>
            <w:r w:rsidR="007D22B3" w:rsidRPr="00522998">
              <w:t xml:space="preserve"> </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Soutěž pro veřejnost</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proofErr w:type="spellStart"/>
            <w:r w:rsidRPr="00522998">
              <w:t>Vidoeosoutěž</w:t>
            </w:r>
            <w:proofErr w:type="spellEnd"/>
            <w:r w:rsidRPr="00522998">
              <w:t xml:space="preserve"> na webu OSF pro veřejnost</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Veřejnost</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Default="007D22B3" w:rsidP="00064A6E">
            <w:pPr>
              <w:jc w:val="right"/>
            </w:pPr>
            <w:r>
              <w:t>6 549,44 Kč</w:t>
            </w:r>
          </w:p>
          <w:p w:rsidR="007D22B3" w:rsidRPr="004A29BA" w:rsidRDefault="007D22B3" w:rsidP="00064A6E">
            <w:pPr>
              <w:jc w:val="right"/>
            </w:pP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Soutěž „Natoč chytrý úřad a vyhraj!“ probíhala září-prosinec 201</w:t>
            </w:r>
            <w:r>
              <w:t>4</w:t>
            </w:r>
            <w:r w:rsidRPr="00522998">
              <w:t xml:space="preserve">. Účastníci měli natočit krátký </w:t>
            </w:r>
            <w:proofErr w:type="spellStart"/>
            <w:r w:rsidRPr="00522998">
              <w:t>videospot</w:t>
            </w:r>
            <w:proofErr w:type="spellEnd"/>
            <w:r w:rsidRPr="00522998">
              <w:t xml:space="preserve"> na téma chytrý úřad. </w:t>
            </w:r>
            <w:r>
              <w:t>2</w:t>
            </w:r>
            <w:r w:rsidRPr="00522998">
              <w:t xml:space="preserve"> výherci obdrželi </w:t>
            </w:r>
            <w:r>
              <w:t>chytré hodinky a</w:t>
            </w:r>
            <w:r w:rsidRPr="00522998">
              <w:t xml:space="preserve"> poukázku na nákup </w:t>
            </w:r>
            <w:r>
              <w:t>knih</w:t>
            </w:r>
            <w:r w:rsidRPr="00522998">
              <w:t>. Další účastníci byli odměněni propagačními předměty.</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lastRenderedPageBreak/>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Odborné semináře pro žadatele a příjemce</w:t>
            </w:r>
          </w:p>
          <w:p w:rsidR="007D22B3" w:rsidRPr="00522998" w:rsidRDefault="007D22B3" w:rsidP="00064A6E"/>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2 semináře k výzvě č. 17 a k udržitelnosti a dalším praktickým problémům při realizaci projektu</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Žadatelé a příjemci</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83116D" w:rsidRDefault="007D22B3" w:rsidP="00064A6E">
            <w:pPr>
              <w:jc w:val="right"/>
            </w:pPr>
            <w:r>
              <w:t>5 514,- Kč</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5</w:t>
            </w:r>
            <w:r w:rsidRPr="00522998">
              <w:t xml:space="preserve">. </w:t>
            </w:r>
            <w:r>
              <w:t>5</w:t>
            </w:r>
            <w:r w:rsidRPr="00522998">
              <w:t>. 201</w:t>
            </w:r>
            <w:r>
              <w:t>4</w:t>
            </w:r>
            <w:r w:rsidRPr="00522998">
              <w:t xml:space="preserve"> Praha - Seminář pro </w:t>
            </w:r>
            <w:r>
              <w:t>žadatele ve výzvě č. 17, 49 účastníků</w:t>
            </w:r>
          </w:p>
          <w:p w:rsidR="007D22B3" w:rsidRPr="00522998" w:rsidRDefault="007D22B3" w:rsidP="00064A6E">
            <w:r>
              <w:t>11</w:t>
            </w:r>
            <w:r w:rsidRPr="00522998">
              <w:t xml:space="preserve">. </w:t>
            </w:r>
            <w:r>
              <w:t>12</w:t>
            </w:r>
            <w:r w:rsidRPr="00522998">
              <w:t>. 201</w:t>
            </w:r>
            <w:r>
              <w:t>4</w:t>
            </w:r>
            <w:r w:rsidRPr="00522998">
              <w:t xml:space="preserve"> Praha – Seminář pro příjemce – </w:t>
            </w:r>
            <w:r>
              <w:t>všechny výzvy, udržitelnost projektu a nejčastější otázky při realizaci projektu, 58 účastníků</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Propagační předměty</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 xml:space="preserve">Různé druhy propagačních předmětů, opatřené vizuální identitou IOP </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rsidRPr="00522998">
              <w:t>Žadatelé a příjemci,</w:t>
            </w:r>
          </w:p>
          <w:p w:rsidR="007D22B3" w:rsidRPr="00522998" w:rsidRDefault="007D22B3" w:rsidP="00064A6E">
            <w:r w:rsidRPr="00522998">
              <w:t>odborná veřejnost,</w:t>
            </w:r>
          </w:p>
          <w:p w:rsidR="007D22B3" w:rsidRPr="00522998" w:rsidRDefault="007D22B3" w:rsidP="00064A6E">
            <w:r w:rsidRPr="00522998">
              <w:t>ZS a implementační struktura</w:t>
            </w:r>
          </w:p>
          <w:p w:rsidR="007D22B3" w:rsidRPr="00522998" w:rsidRDefault="007D22B3" w:rsidP="00064A6E"/>
        </w:tc>
        <w:tc>
          <w:tcPr>
            <w:tcW w:w="2032" w:type="dxa"/>
            <w:tcBorders>
              <w:top w:val="single" w:sz="6" w:space="0" w:color="4F6228"/>
              <w:bottom w:val="single" w:sz="6" w:space="0" w:color="4F6228"/>
            </w:tcBorders>
            <w:shd w:val="clear" w:color="auto" w:fill="D9D9D9" w:themeFill="background1" w:themeFillShade="D9"/>
            <w:vAlign w:val="center"/>
          </w:tcPr>
          <w:p w:rsidR="007D22B3" w:rsidRPr="0083116D" w:rsidRDefault="007D22B3" w:rsidP="00064A6E">
            <w:pPr>
              <w:jc w:val="right"/>
            </w:pPr>
            <w:r>
              <w:t>93 412,- Kč</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Propisky</w:t>
            </w:r>
            <w:r w:rsidRPr="00522998">
              <w:t xml:space="preserve"> 2</w:t>
            </w:r>
            <w:r>
              <w:t xml:space="preserve"> </w:t>
            </w:r>
            <w:r w:rsidRPr="00522998">
              <w:t>00</w:t>
            </w:r>
            <w:r>
              <w:t>0</w:t>
            </w:r>
            <w:r w:rsidRPr="00522998">
              <w:t xml:space="preserve"> ks</w:t>
            </w:r>
          </w:p>
          <w:p w:rsidR="007D22B3" w:rsidRPr="00522998" w:rsidRDefault="007D22B3" w:rsidP="00064A6E">
            <w:r>
              <w:t>Zvýrazňovač (různé barvy)</w:t>
            </w:r>
            <w:r w:rsidRPr="00522998">
              <w:t xml:space="preserve"> </w:t>
            </w:r>
            <w:r>
              <w:t>1 0</w:t>
            </w:r>
            <w:r w:rsidRPr="00522998">
              <w:t>00 ks</w:t>
            </w:r>
          </w:p>
          <w:p w:rsidR="007D22B3" w:rsidRDefault="007D22B3" w:rsidP="00064A6E">
            <w:r>
              <w:t>Protiskluzová podložka 500 ks</w:t>
            </w:r>
          </w:p>
          <w:p w:rsidR="007D22B3" w:rsidRDefault="007D22B3" w:rsidP="00064A6E">
            <w:r>
              <w:t>Gumoví medvídci 3 000 ks</w:t>
            </w:r>
          </w:p>
          <w:p w:rsidR="007D22B3" w:rsidRPr="00522998" w:rsidRDefault="007D22B3" w:rsidP="00064A6E">
            <w:r>
              <w:t>Karamelové biskvity 3 000 ks</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Propagace na odborných konferencích k veřejné správě</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Prostřednictvím stánku s propagačními předměty</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Odborná a široká veřejnost</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Default="007D22B3" w:rsidP="00064A6E">
            <w:pPr>
              <w:jc w:val="right"/>
            </w:pPr>
            <w:r>
              <w:t>1 815,66,- Kč</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Default="007D22B3" w:rsidP="00064A6E">
            <w:r>
              <w:t>18. 2. 2014 10. Národní konference kvality ve veřejné správě v Hradci Králové</w:t>
            </w:r>
          </w:p>
          <w:p w:rsidR="007D22B3" w:rsidRDefault="007D22B3" w:rsidP="00064A6E">
            <w:r>
              <w:t>25. 9. 2014 Veřejná správa 2014, Univerzita Pardubice</w:t>
            </w:r>
          </w:p>
          <w:p w:rsidR="007D22B3" w:rsidRDefault="007D22B3" w:rsidP="00064A6E">
            <w:r>
              <w:t>Hrazeny pouze náklady na pořízení propagačního stojanu</w:t>
            </w:r>
          </w:p>
        </w:tc>
      </w:tr>
      <w:tr w:rsidR="007D22B3" w:rsidRPr="00522998"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522998" w:rsidRDefault="007D22B3" w:rsidP="00064A6E">
            <w:r>
              <w:t>MV</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Default="007D22B3" w:rsidP="00064A6E">
            <w:r>
              <w:t>Fotografování</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Default="007D22B3" w:rsidP="00064A6E">
            <w:r>
              <w:t>Fotografie k propagaci projektů/IOP</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Default="007D22B3" w:rsidP="00064A6E">
            <w:r>
              <w:t>Veřejnost, sdělovací prostředky</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Default="007D22B3" w:rsidP="00064A6E">
            <w:pPr>
              <w:jc w:val="right"/>
            </w:pPr>
            <w:r>
              <w:t>12 000, Kč</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Default="007D22B3" w:rsidP="00064A6E">
            <w:r>
              <w:t>Ilustrační fotografie vytvořené profesionálním fotografem, k využití na webu, v publikačních materiálech apod.</w:t>
            </w:r>
          </w:p>
        </w:tc>
      </w:tr>
      <w:tr w:rsidR="007D22B3" w:rsidRPr="00522998" w:rsidTr="00064A6E">
        <w:tc>
          <w:tcPr>
            <w:tcW w:w="1257" w:type="dxa"/>
            <w:tcBorders>
              <w:top w:val="single" w:sz="6" w:space="0" w:color="4F6228"/>
            </w:tcBorders>
            <w:vAlign w:val="center"/>
          </w:tcPr>
          <w:p w:rsidR="007D22B3" w:rsidRPr="000B60A2" w:rsidRDefault="007D22B3" w:rsidP="00064A6E">
            <w:proofErr w:type="spellStart"/>
            <w:r w:rsidRPr="000B60A2">
              <w:t>MZd</w:t>
            </w:r>
            <w:proofErr w:type="spellEnd"/>
          </w:p>
        </w:tc>
        <w:tc>
          <w:tcPr>
            <w:tcW w:w="2547" w:type="dxa"/>
            <w:tcBorders>
              <w:top w:val="single" w:sz="6" w:space="0" w:color="4F6228"/>
            </w:tcBorders>
            <w:vAlign w:val="center"/>
          </w:tcPr>
          <w:p w:rsidR="007D22B3" w:rsidRPr="000B60A2" w:rsidRDefault="007D22B3" w:rsidP="00064A6E">
            <w:r w:rsidRPr="000B60A2">
              <w:t>Webové stránky www.mzcr.cz</w:t>
            </w:r>
          </w:p>
        </w:tc>
        <w:tc>
          <w:tcPr>
            <w:tcW w:w="2200" w:type="dxa"/>
            <w:tcBorders>
              <w:top w:val="single" w:sz="6" w:space="0" w:color="4F6228"/>
            </w:tcBorders>
            <w:vAlign w:val="center"/>
          </w:tcPr>
          <w:p w:rsidR="007D22B3" w:rsidRPr="000B60A2" w:rsidRDefault="007D22B3" w:rsidP="00064A6E">
            <w:r w:rsidRPr="000B60A2">
              <w:t>Průběžné uveřejňování a aktualizace informací k oblasti intervence 3.2</w:t>
            </w:r>
          </w:p>
        </w:tc>
        <w:tc>
          <w:tcPr>
            <w:tcW w:w="2704" w:type="dxa"/>
            <w:tcBorders>
              <w:top w:val="single" w:sz="6" w:space="0" w:color="4F6228"/>
            </w:tcBorders>
            <w:vAlign w:val="center"/>
          </w:tcPr>
          <w:p w:rsidR="007D22B3" w:rsidRPr="000B60A2" w:rsidRDefault="007D22B3" w:rsidP="00064A6E">
            <w:r w:rsidRPr="000B60A2">
              <w:rPr>
                <w:color w:val="000000"/>
              </w:rPr>
              <w:t xml:space="preserve">Žadatelé a příjemci, </w:t>
            </w:r>
            <w:r>
              <w:t>v</w:t>
            </w:r>
            <w:r w:rsidRPr="000B60A2">
              <w:t>eřejnost</w:t>
            </w:r>
          </w:p>
        </w:tc>
        <w:tc>
          <w:tcPr>
            <w:tcW w:w="2032" w:type="dxa"/>
            <w:tcBorders>
              <w:top w:val="single" w:sz="6" w:space="0" w:color="4F6228"/>
            </w:tcBorders>
            <w:vAlign w:val="center"/>
          </w:tcPr>
          <w:p w:rsidR="007D22B3" w:rsidRPr="000B60A2" w:rsidRDefault="007D22B3" w:rsidP="00064A6E">
            <w:pPr>
              <w:jc w:val="right"/>
            </w:pPr>
            <w:r w:rsidRPr="000B60A2">
              <w:t>0</w:t>
            </w:r>
            <w:r>
              <w:t>,- Kč</w:t>
            </w:r>
          </w:p>
        </w:tc>
        <w:tc>
          <w:tcPr>
            <w:tcW w:w="3294" w:type="dxa"/>
            <w:tcBorders>
              <w:top w:val="single" w:sz="6" w:space="0" w:color="4F6228"/>
            </w:tcBorders>
            <w:vAlign w:val="center"/>
          </w:tcPr>
          <w:p w:rsidR="007D22B3" w:rsidRPr="000B60A2" w:rsidRDefault="007D22B3" w:rsidP="00064A6E">
            <w:r w:rsidRPr="000B60A2">
              <w:t>Aktualizace stránek probíhá po celý rok.</w:t>
            </w:r>
          </w:p>
        </w:tc>
      </w:tr>
      <w:tr w:rsidR="007D22B3" w:rsidRPr="00522998" w:rsidTr="00064A6E">
        <w:tc>
          <w:tcPr>
            <w:tcW w:w="1257" w:type="dxa"/>
            <w:vAlign w:val="center"/>
          </w:tcPr>
          <w:p w:rsidR="007D22B3" w:rsidRPr="008017ED" w:rsidRDefault="007D22B3" w:rsidP="00064A6E">
            <w:pPr>
              <w:rPr>
                <w:highlight w:val="yellow"/>
              </w:rPr>
            </w:pPr>
            <w:proofErr w:type="spellStart"/>
            <w:r w:rsidRPr="000B629B">
              <w:t>MZd</w:t>
            </w:r>
            <w:proofErr w:type="spellEnd"/>
          </w:p>
        </w:tc>
        <w:tc>
          <w:tcPr>
            <w:tcW w:w="2547" w:type="dxa"/>
            <w:vAlign w:val="center"/>
          </w:tcPr>
          <w:p w:rsidR="007D22B3" w:rsidRPr="008017ED" w:rsidRDefault="007D22B3" w:rsidP="00064A6E">
            <w:pPr>
              <w:rPr>
                <w:highlight w:val="yellow"/>
              </w:rPr>
            </w:pPr>
            <w:r w:rsidRPr="000B60A2">
              <w:t xml:space="preserve">Webové stránky </w:t>
            </w:r>
            <w:hyperlink r:id="rId62" w:history="1">
              <w:r w:rsidRPr="00275F70">
                <w:rPr>
                  <w:color w:val="000000"/>
                </w:rPr>
                <w:t>www.kvalitazivota.eu</w:t>
              </w:r>
            </w:hyperlink>
          </w:p>
        </w:tc>
        <w:tc>
          <w:tcPr>
            <w:tcW w:w="2200" w:type="dxa"/>
            <w:vAlign w:val="center"/>
          </w:tcPr>
          <w:p w:rsidR="007D22B3" w:rsidRPr="008017ED" w:rsidRDefault="007D22B3" w:rsidP="00064A6E">
            <w:pPr>
              <w:rPr>
                <w:highlight w:val="yellow"/>
              </w:rPr>
            </w:pPr>
            <w:r w:rsidRPr="000B60A2">
              <w:t xml:space="preserve">Průběžné uveřejňování </w:t>
            </w:r>
            <w:r w:rsidRPr="00275F70">
              <w:rPr>
                <w:color w:val="000000"/>
              </w:rPr>
              <w:t>příklad</w:t>
            </w:r>
            <w:r>
              <w:rPr>
                <w:color w:val="000000"/>
              </w:rPr>
              <w:t>ů</w:t>
            </w:r>
            <w:r w:rsidRPr="00275F70">
              <w:rPr>
                <w:color w:val="000000"/>
              </w:rPr>
              <w:t xml:space="preserve"> úspěšných projektů z oblasti 3.2</w:t>
            </w:r>
          </w:p>
        </w:tc>
        <w:tc>
          <w:tcPr>
            <w:tcW w:w="2704" w:type="dxa"/>
            <w:vAlign w:val="center"/>
          </w:tcPr>
          <w:p w:rsidR="007D22B3" w:rsidRPr="008017ED" w:rsidRDefault="007D22B3" w:rsidP="00064A6E">
            <w:pPr>
              <w:rPr>
                <w:highlight w:val="yellow"/>
              </w:rPr>
            </w:pPr>
            <w:r w:rsidRPr="000B629B">
              <w:rPr>
                <w:color w:val="000000"/>
              </w:rPr>
              <w:t>Veřejnost</w:t>
            </w:r>
          </w:p>
        </w:tc>
        <w:tc>
          <w:tcPr>
            <w:tcW w:w="2032" w:type="dxa"/>
            <w:vAlign w:val="center"/>
          </w:tcPr>
          <w:p w:rsidR="007D22B3" w:rsidRPr="000B629B" w:rsidRDefault="007D22B3" w:rsidP="00064A6E">
            <w:pPr>
              <w:jc w:val="right"/>
              <w:rPr>
                <w:color w:val="000000"/>
              </w:rPr>
            </w:pPr>
            <w:r w:rsidRPr="000B629B">
              <w:rPr>
                <w:color w:val="000000"/>
              </w:rPr>
              <w:t>0</w:t>
            </w:r>
            <w:r>
              <w:rPr>
                <w:color w:val="000000"/>
              </w:rPr>
              <w:t>,- Kč</w:t>
            </w:r>
          </w:p>
          <w:p w:rsidR="007D22B3" w:rsidRPr="008017ED" w:rsidRDefault="007D22B3" w:rsidP="00064A6E">
            <w:pPr>
              <w:jc w:val="right"/>
              <w:rPr>
                <w:highlight w:val="yellow"/>
              </w:rPr>
            </w:pPr>
          </w:p>
        </w:tc>
        <w:tc>
          <w:tcPr>
            <w:tcW w:w="3294" w:type="dxa"/>
            <w:vAlign w:val="center"/>
          </w:tcPr>
          <w:p w:rsidR="007D22B3" w:rsidRPr="008017ED" w:rsidRDefault="007D22B3" w:rsidP="00064A6E">
            <w:pPr>
              <w:rPr>
                <w:highlight w:val="yellow"/>
              </w:rPr>
            </w:pPr>
            <w:r w:rsidRPr="000B60A2">
              <w:t>Aktualizace stránek probíhá po celý rok.</w:t>
            </w:r>
          </w:p>
        </w:tc>
      </w:tr>
      <w:tr w:rsidR="007D22B3" w:rsidRPr="00522998" w:rsidTr="00064A6E">
        <w:tc>
          <w:tcPr>
            <w:tcW w:w="1257" w:type="dxa"/>
            <w:vAlign w:val="center"/>
          </w:tcPr>
          <w:p w:rsidR="007D22B3" w:rsidRPr="00661E4E" w:rsidRDefault="007D22B3" w:rsidP="00064A6E">
            <w:proofErr w:type="spellStart"/>
            <w:r>
              <w:t>MZd</w:t>
            </w:r>
            <w:proofErr w:type="spellEnd"/>
          </w:p>
        </w:tc>
        <w:tc>
          <w:tcPr>
            <w:tcW w:w="2547" w:type="dxa"/>
            <w:vAlign w:val="center"/>
          </w:tcPr>
          <w:p w:rsidR="007D22B3" w:rsidRPr="00661E4E" w:rsidRDefault="007D22B3" w:rsidP="00064A6E">
            <w:r>
              <w:t>Osobní, písemná, telefonická a emailová komunikace</w:t>
            </w:r>
          </w:p>
        </w:tc>
        <w:tc>
          <w:tcPr>
            <w:tcW w:w="2200" w:type="dxa"/>
            <w:vAlign w:val="center"/>
          </w:tcPr>
          <w:p w:rsidR="007D22B3" w:rsidRPr="00661E4E" w:rsidRDefault="007D22B3" w:rsidP="00064A6E">
            <w:r>
              <w:t>Poskytnutí informací – osobní, telefonická a emailová komunikace – průběžná podpora žadatelům a příjemcům.</w:t>
            </w:r>
          </w:p>
        </w:tc>
        <w:tc>
          <w:tcPr>
            <w:tcW w:w="2704" w:type="dxa"/>
            <w:vAlign w:val="center"/>
          </w:tcPr>
          <w:p w:rsidR="007D22B3" w:rsidRPr="00661E4E" w:rsidRDefault="007D22B3" w:rsidP="00064A6E">
            <w:pPr>
              <w:tabs>
                <w:tab w:val="num" w:pos="900"/>
              </w:tabs>
              <w:rPr>
                <w:color w:val="000000"/>
              </w:rPr>
            </w:pPr>
            <w:r>
              <w:rPr>
                <w:color w:val="000000"/>
              </w:rPr>
              <w:t>Subjekty implementace a další</w:t>
            </w:r>
          </w:p>
        </w:tc>
        <w:tc>
          <w:tcPr>
            <w:tcW w:w="2032" w:type="dxa"/>
            <w:vAlign w:val="center"/>
          </w:tcPr>
          <w:p w:rsidR="007D22B3" w:rsidRPr="00661E4E" w:rsidRDefault="007D22B3" w:rsidP="00064A6E">
            <w:pPr>
              <w:jc w:val="right"/>
              <w:rPr>
                <w:color w:val="000000"/>
              </w:rPr>
            </w:pPr>
            <w:r>
              <w:rPr>
                <w:color w:val="000000"/>
              </w:rPr>
              <w:t>0,- Kč</w:t>
            </w:r>
          </w:p>
        </w:tc>
        <w:tc>
          <w:tcPr>
            <w:tcW w:w="3294" w:type="dxa"/>
            <w:vAlign w:val="center"/>
          </w:tcPr>
          <w:p w:rsidR="007D22B3" w:rsidRPr="00661E4E" w:rsidRDefault="007D22B3" w:rsidP="00064A6E">
            <w:r>
              <w:t>Celoroční aktivita</w:t>
            </w:r>
          </w:p>
        </w:tc>
      </w:tr>
      <w:tr w:rsidR="007D22B3" w:rsidRPr="00522998" w:rsidTr="00064A6E">
        <w:tc>
          <w:tcPr>
            <w:tcW w:w="1257" w:type="dxa"/>
            <w:vAlign w:val="center"/>
          </w:tcPr>
          <w:p w:rsidR="007D22B3" w:rsidRPr="00661E4E" w:rsidRDefault="007D22B3" w:rsidP="00064A6E">
            <w:proofErr w:type="spellStart"/>
            <w:r w:rsidRPr="00661E4E">
              <w:t>MZd</w:t>
            </w:r>
            <w:proofErr w:type="spellEnd"/>
          </w:p>
        </w:tc>
        <w:tc>
          <w:tcPr>
            <w:tcW w:w="2547" w:type="dxa"/>
            <w:vAlign w:val="center"/>
          </w:tcPr>
          <w:p w:rsidR="007D22B3" w:rsidRPr="00661E4E" w:rsidRDefault="007D22B3" w:rsidP="00064A6E">
            <w:r w:rsidRPr="00661E4E">
              <w:t>Semináře a školení pro žadatele (</w:t>
            </w:r>
            <w:r>
              <w:t>1</w:t>
            </w:r>
            <w:r w:rsidRPr="00661E4E">
              <w:t>x)</w:t>
            </w:r>
          </w:p>
        </w:tc>
        <w:tc>
          <w:tcPr>
            <w:tcW w:w="2200" w:type="dxa"/>
            <w:vAlign w:val="center"/>
          </w:tcPr>
          <w:p w:rsidR="007D22B3" w:rsidRPr="005C2CC6" w:rsidRDefault="007D22B3" w:rsidP="00064A6E">
            <w:r w:rsidRPr="005C2CC6">
              <w:t xml:space="preserve">Poskytnutí informací pro žadatele 18. výzvy. </w:t>
            </w:r>
            <w:r w:rsidRPr="005C2CC6">
              <w:lastRenderedPageBreak/>
              <w:t>(seznámení s žádostí o poskytnutí dotace, financování projektu, systém hodnocení a výběru projektů, základní podmínky realizace aj.)</w:t>
            </w:r>
          </w:p>
        </w:tc>
        <w:tc>
          <w:tcPr>
            <w:tcW w:w="2704" w:type="dxa"/>
            <w:vAlign w:val="center"/>
          </w:tcPr>
          <w:p w:rsidR="007D22B3" w:rsidRPr="005C2CC6" w:rsidRDefault="007D22B3" w:rsidP="00064A6E">
            <w:pPr>
              <w:tabs>
                <w:tab w:val="num" w:pos="900"/>
              </w:tabs>
              <w:rPr>
                <w:color w:val="000000"/>
              </w:rPr>
            </w:pPr>
            <w:r w:rsidRPr="005C2CC6">
              <w:rPr>
                <w:color w:val="000000"/>
              </w:rPr>
              <w:lastRenderedPageBreak/>
              <w:t>Žadatelé</w:t>
            </w:r>
          </w:p>
        </w:tc>
        <w:tc>
          <w:tcPr>
            <w:tcW w:w="2032" w:type="dxa"/>
            <w:vAlign w:val="center"/>
          </w:tcPr>
          <w:p w:rsidR="007D22B3" w:rsidRPr="005C2CC6" w:rsidRDefault="007D22B3" w:rsidP="00064A6E">
            <w:pPr>
              <w:jc w:val="right"/>
              <w:rPr>
                <w:color w:val="000000"/>
              </w:rPr>
            </w:pPr>
            <w:r w:rsidRPr="005C2CC6">
              <w:rPr>
                <w:color w:val="000000"/>
              </w:rPr>
              <w:t>6</w:t>
            </w:r>
            <w:r>
              <w:rPr>
                <w:color w:val="000000"/>
              </w:rPr>
              <w:t> </w:t>
            </w:r>
            <w:r w:rsidRPr="005C2CC6">
              <w:rPr>
                <w:color w:val="000000"/>
              </w:rPr>
              <w:t>474</w:t>
            </w:r>
            <w:r>
              <w:rPr>
                <w:color w:val="000000"/>
              </w:rPr>
              <w:t xml:space="preserve">,- </w:t>
            </w:r>
            <w:r w:rsidRPr="005C2CC6">
              <w:rPr>
                <w:color w:val="000000"/>
              </w:rPr>
              <w:t>Kč</w:t>
            </w:r>
          </w:p>
          <w:p w:rsidR="007D22B3" w:rsidRPr="005C2CC6" w:rsidRDefault="007D22B3" w:rsidP="00064A6E">
            <w:pPr>
              <w:jc w:val="right"/>
            </w:pPr>
          </w:p>
        </w:tc>
        <w:tc>
          <w:tcPr>
            <w:tcW w:w="3294" w:type="dxa"/>
            <w:vAlign w:val="center"/>
          </w:tcPr>
          <w:p w:rsidR="007D22B3" w:rsidRPr="005C2CC6" w:rsidRDefault="007D22B3" w:rsidP="00064A6E">
            <w:r w:rsidRPr="005C2CC6">
              <w:t>13.</w:t>
            </w:r>
            <w:r>
              <w:t xml:space="preserve"> </w:t>
            </w:r>
            <w:r w:rsidRPr="005C2CC6">
              <w:t>1.</w:t>
            </w:r>
            <w:r>
              <w:t xml:space="preserve"> </w:t>
            </w:r>
            <w:r w:rsidRPr="005C2CC6">
              <w:t xml:space="preserve">2014 v Praze seminář pro žadatele – 18. výzva. Počet účastníků </w:t>
            </w:r>
            <w:r w:rsidRPr="005C2CC6">
              <w:lastRenderedPageBreak/>
              <w:t>19</w:t>
            </w:r>
          </w:p>
        </w:tc>
      </w:tr>
      <w:tr w:rsidR="007D22B3" w:rsidRPr="00522998" w:rsidTr="00064A6E">
        <w:tc>
          <w:tcPr>
            <w:tcW w:w="1257" w:type="dxa"/>
            <w:tcBorders>
              <w:bottom w:val="single" w:sz="6" w:space="0" w:color="4F6228"/>
            </w:tcBorders>
            <w:vAlign w:val="center"/>
          </w:tcPr>
          <w:p w:rsidR="007D22B3" w:rsidRPr="00661E4E" w:rsidRDefault="007D22B3" w:rsidP="00064A6E">
            <w:proofErr w:type="spellStart"/>
            <w:r w:rsidRPr="00661E4E">
              <w:lastRenderedPageBreak/>
              <w:t>MZd</w:t>
            </w:r>
            <w:proofErr w:type="spellEnd"/>
          </w:p>
        </w:tc>
        <w:tc>
          <w:tcPr>
            <w:tcW w:w="2547" w:type="dxa"/>
            <w:tcBorders>
              <w:bottom w:val="single" w:sz="6" w:space="0" w:color="4F6228"/>
            </w:tcBorders>
            <w:vAlign w:val="center"/>
          </w:tcPr>
          <w:p w:rsidR="007D22B3" w:rsidRPr="00EA7CD1" w:rsidRDefault="007D22B3" w:rsidP="00064A6E">
            <w:r w:rsidRPr="00EA7CD1">
              <w:t>Školení pro příjemce (3 x)</w:t>
            </w:r>
          </w:p>
        </w:tc>
        <w:tc>
          <w:tcPr>
            <w:tcW w:w="2200" w:type="dxa"/>
            <w:tcBorders>
              <w:bottom w:val="single" w:sz="6" w:space="0" w:color="4F6228"/>
            </w:tcBorders>
            <w:vAlign w:val="center"/>
          </w:tcPr>
          <w:p w:rsidR="007D22B3" w:rsidRPr="00EA7CD1" w:rsidRDefault="007D22B3" w:rsidP="00064A6E">
            <w:r w:rsidRPr="00EA7CD1">
              <w:t>Poskytnutí informací pro příjemce projektů ze 13., 14., 17. a 18. Výzvy + seminář týkající se problematiky veřejných zakázek.</w:t>
            </w:r>
          </w:p>
        </w:tc>
        <w:tc>
          <w:tcPr>
            <w:tcW w:w="2704" w:type="dxa"/>
            <w:tcBorders>
              <w:bottom w:val="single" w:sz="6" w:space="0" w:color="4F6228"/>
            </w:tcBorders>
            <w:vAlign w:val="center"/>
          </w:tcPr>
          <w:p w:rsidR="007D22B3" w:rsidRPr="00661E4E" w:rsidRDefault="007D22B3" w:rsidP="00064A6E">
            <w:r>
              <w:t>Příjemci</w:t>
            </w:r>
          </w:p>
        </w:tc>
        <w:tc>
          <w:tcPr>
            <w:tcW w:w="2032" w:type="dxa"/>
            <w:tcBorders>
              <w:bottom w:val="single" w:sz="6" w:space="0" w:color="4F6228"/>
            </w:tcBorders>
            <w:vAlign w:val="center"/>
          </w:tcPr>
          <w:p w:rsidR="007D22B3" w:rsidRPr="00661E4E" w:rsidRDefault="007D22B3" w:rsidP="00064A6E">
            <w:pPr>
              <w:jc w:val="right"/>
            </w:pPr>
            <w:r>
              <w:t>42 594,-</w:t>
            </w:r>
            <w:r w:rsidRPr="00661E4E">
              <w:t xml:space="preserve"> Kč</w:t>
            </w:r>
          </w:p>
        </w:tc>
        <w:tc>
          <w:tcPr>
            <w:tcW w:w="3294" w:type="dxa"/>
            <w:tcBorders>
              <w:bottom w:val="single" w:sz="6" w:space="0" w:color="4F6228"/>
            </w:tcBorders>
            <w:vAlign w:val="center"/>
          </w:tcPr>
          <w:p w:rsidR="007D22B3" w:rsidRPr="00661E4E" w:rsidRDefault="007D22B3" w:rsidP="00064A6E">
            <w:pPr>
              <w:rPr>
                <w:highlight w:val="yellow"/>
              </w:rPr>
            </w:pPr>
            <w:r>
              <w:t>13. 1. 2014, 6. 2. 2014, 24. 6. 2014 v Praze školení pro příjemce 13., 14., 17. a</w:t>
            </w:r>
            <w:r w:rsidRPr="00661E4E">
              <w:t xml:space="preserve"> 18</w:t>
            </w:r>
            <w:r>
              <w:t>. Výzvy</w:t>
            </w:r>
            <w:r w:rsidRPr="00661E4E">
              <w:t xml:space="preserve"> IOP. Počet účastníků </w:t>
            </w:r>
            <w:r>
              <w:t>107</w:t>
            </w:r>
          </w:p>
        </w:tc>
      </w:tr>
      <w:tr w:rsidR="007D22B3" w:rsidRPr="00522998" w:rsidTr="00064A6E">
        <w:tc>
          <w:tcPr>
            <w:tcW w:w="1257" w:type="dxa"/>
            <w:tcBorders>
              <w:top w:val="single" w:sz="6" w:space="0" w:color="4F6228"/>
              <w:bottom w:val="single" w:sz="6" w:space="0" w:color="4F6228"/>
            </w:tcBorders>
            <w:shd w:val="clear" w:color="auto" w:fill="auto"/>
            <w:vAlign w:val="center"/>
          </w:tcPr>
          <w:p w:rsidR="007D22B3" w:rsidRPr="0035445F" w:rsidRDefault="007D22B3" w:rsidP="00064A6E">
            <w:proofErr w:type="spellStart"/>
            <w:r w:rsidRPr="0035445F">
              <w:t>MZd</w:t>
            </w:r>
            <w:proofErr w:type="spellEnd"/>
          </w:p>
        </w:tc>
        <w:tc>
          <w:tcPr>
            <w:tcW w:w="2547" w:type="dxa"/>
            <w:tcBorders>
              <w:top w:val="single" w:sz="6" w:space="0" w:color="4F6228"/>
              <w:bottom w:val="single" w:sz="6" w:space="0" w:color="4F6228"/>
            </w:tcBorders>
            <w:shd w:val="clear" w:color="auto" w:fill="auto"/>
            <w:vAlign w:val="center"/>
          </w:tcPr>
          <w:p w:rsidR="007D22B3" w:rsidRPr="0035445F" w:rsidRDefault="007D22B3" w:rsidP="00064A6E">
            <w:r w:rsidRPr="00E7702F">
              <w:t>Školení pro hodnotitele (2x)</w:t>
            </w:r>
          </w:p>
        </w:tc>
        <w:tc>
          <w:tcPr>
            <w:tcW w:w="2200" w:type="dxa"/>
            <w:tcBorders>
              <w:top w:val="single" w:sz="6" w:space="0" w:color="4F6228"/>
              <w:bottom w:val="single" w:sz="6" w:space="0" w:color="4F6228"/>
            </w:tcBorders>
            <w:shd w:val="clear" w:color="auto" w:fill="auto"/>
            <w:vAlign w:val="center"/>
          </w:tcPr>
          <w:p w:rsidR="007D22B3" w:rsidRPr="0035445F" w:rsidRDefault="007D22B3" w:rsidP="00064A6E">
            <w:r w:rsidRPr="0035445F">
              <w:t>Poskytnutí inf</w:t>
            </w:r>
            <w:r>
              <w:t>ormací pro hodnotitele pro 18. výzvu</w:t>
            </w:r>
            <w:r w:rsidRPr="0035445F">
              <w:t xml:space="preserve">. </w:t>
            </w:r>
          </w:p>
        </w:tc>
        <w:tc>
          <w:tcPr>
            <w:tcW w:w="2704" w:type="dxa"/>
            <w:tcBorders>
              <w:top w:val="single" w:sz="6" w:space="0" w:color="4F6228"/>
              <w:bottom w:val="single" w:sz="6" w:space="0" w:color="4F6228"/>
            </w:tcBorders>
            <w:shd w:val="clear" w:color="auto" w:fill="auto"/>
            <w:vAlign w:val="center"/>
          </w:tcPr>
          <w:p w:rsidR="007D22B3" w:rsidRPr="0035445F" w:rsidRDefault="007D22B3" w:rsidP="00064A6E">
            <w:r>
              <w:rPr>
                <w:color w:val="000000"/>
              </w:rPr>
              <w:t>Hodnotitelé</w:t>
            </w:r>
            <w:r w:rsidRPr="0035445F">
              <w:t xml:space="preserve"> </w:t>
            </w:r>
          </w:p>
        </w:tc>
        <w:tc>
          <w:tcPr>
            <w:tcW w:w="2032" w:type="dxa"/>
            <w:tcBorders>
              <w:top w:val="single" w:sz="6" w:space="0" w:color="4F6228"/>
              <w:bottom w:val="single" w:sz="6" w:space="0" w:color="4F6228"/>
            </w:tcBorders>
            <w:shd w:val="clear" w:color="auto" w:fill="auto"/>
            <w:vAlign w:val="center"/>
          </w:tcPr>
          <w:p w:rsidR="007D22B3" w:rsidRPr="0035445F" w:rsidRDefault="007D22B3" w:rsidP="00064A6E">
            <w:pPr>
              <w:jc w:val="right"/>
              <w:rPr>
                <w:color w:val="000000"/>
              </w:rPr>
            </w:pPr>
            <w:r w:rsidRPr="0035445F">
              <w:rPr>
                <w:color w:val="000000"/>
              </w:rPr>
              <w:t>0</w:t>
            </w:r>
            <w:r>
              <w:rPr>
                <w:color w:val="000000"/>
              </w:rPr>
              <w:t>,-</w:t>
            </w:r>
            <w:r w:rsidRPr="0035445F">
              <w:rPr>
                <w:color w:val="000000"/>
              </w:rPr>
              <w:t xml:space="preserve"> Kč</w:t>
            </w:r>
          </w:p>
          <w:p w:rsidR="007D22B3" w:rsidRPr="00661E4E" w:rsidRDefault="007D22B3" w:rsidP="00064A6E">
            <w:pPr>
              <w:jc w:val="right"/>
              <w:rPr>
                <w:highlight w:val="yellow"/>
              </w:rPr>
            </w:pPr>
          </w:p>
        </w:tc>
        <w:tc>
          <w:tcPr>
            <w:tcW w:w="3294" w:type="dxa"/>
            <w:tcBorders>
              <w:top w:val="single" w:sz="6" w:space="0" w:color="4F6228"/>
              <w:bottom w:val="single" w:sz="6" w:space="0" w:color="4F6228"/>
            </w:tcBorders>
            <w:shd w:val="clear" w:color="auto" w:fill="auto"/>
            <w:vAlign w:val="center"/>
          </w:tcPr>
          <w:p w:rsidR="007D22B3" w:rsidRPr="00661E4E" w:rsidRDefault="007D22B3" w:rsidP="00064A6E">
            <w:pPr>
              <w:rPr>
                <w:highlight w:val="yellow"/>
              </w:rPr>
            </w:pPr>
            <w:r>
              <w:t>25. 2</w:t>
            </w:r>
            <w:r w:rsidRPr="00FC612A">
              <w:t>.</w:t>
            </w:r>
            <w:r>
              <w:t xml:space="preserve"> 2014 a 27</w:t>
            </w:r>
            <w:r w:rsidRPr="00FC612A">
              <w:t>.</w:t>
            </w:r>
            <w:r>
              <w:t xml:space="preserve"> </w:t>
            </w:r>
            <w:r w:rsidRPr="00FC612A">
              <w:t>2.</w:t>
            </w:r>
            <w:r>
              <w:t xml:space="preserve"> 2014 v Praze školení pro hodnotitele – 18. Výzva</w:t>
            </w:r>
            <w:r w:rsidRPr="00FC612A">
              <w:t>. Počet účastníků 6</w:t>
            </w:r>
            <w:r>
              <w:t xml:space="preserve"> – proběhlo v budově </w:t>
            </w:r>
            <w:proofErr w:type="spellStart"/>
            <w:r>
              <w:t>MZd</w:t>
            </w:r>
            <w:proofErr w:type="spellEnd"/>
            <w:r>
              <w:t>.</w:t>
            </w:r>
          </w:p>
        </w:tc>
      </w:tr>
      <w:tr w:rsidR="007D22B3" w:rsidRPr="00522998" w:rsidTr="00064A6E">
        <w:tc>
          <w:tcPr>
            <w:tcW w:w="1257" w:type="dxa"/>
            <w:tcBorders>
              <w:top w:val="single" w:sz="6" w:space="0" w:color="4F6228"/>
              <w:bottom w:val="single" w:sz="6" w:space="0" w:color="4F6228"/>
            </w:tcBorders>
            <w:shd w:val="clear" w:color="auto" w:fill="auto"/>
            <w:vAlign w:val="center"/>
          </w:tcPr>
          <w:p w:rsidR="007D22B3" w:rsidRPr="00FC612A" w:rsidRDefault="007D22B3" w:rsidP="00064A6E">
            <w:proofErr w:type="spellStart"/>
            <w:r w:rsidRPr="00FC612A">
              <w:t>MZd</w:t>
            </w:r>
            <w:proofErr w:type="spellEnd"/>
          </w:p>
        </w:tc>
        <w:tc>
          <w:tcPr>
            <w:tcW w:w="2547" w:type="dxa"/>
            <w:tcBorders>
              <w:top w:val="single" w:sz="6" w:space="0" w:color="4F6228"/>
              <w:bottom w:val="single" w:sz="6" w:space="0" w:color="4F6228"/>
            </w:tcBorders>
            <w:shd w:val="clear" w:color="auto" w:fill="auto"/>
            <w:vAlign w:val="center"/>
          </w:tcPr>
          <w:p w:rsidR="007D22B3" w:rsidRPr="00FC612A" w:rsidRDefault="007D22B3" w:rsidP="00064A6E">
            <w:proofErr w:type="spellStart"/>
            <w:r>
              <w:t>Round</w:t>
            </w:r>
            <w:proofErr w:type="spellEnd"/>
            <w:r>
              <w:t xml:space="preserve"> </w:t>
            </w:r>
            <w:proofErr w:type="spellStart"/>
            <w:r>
              <w:t>tables</w:t>
            </w:r>
            <w:proofErr w:type="spellEnd"/>
            <w:r>
              <w:t xml:space="preserve"> </w:t>
            </w:r>
            <w:proofErr w:type="spellStart"/>
            <w:r>
              <w:t>of</w:t>
            </w:r>
            <w:proofErr w:type="spellEnd"/>
            <w:r>
              <w:t xml:space="preserve"> </w:t>
            </w:r>
            <w:proofErr w:type="spellStart"/>
            <w:r>
              <w:t>Visegrad</w:t>
            </w:r>
            <w:proofErr w:type="spellEnd"/>
            <w:r>
              <w:t xml:space="preserve"> </w:t>
            </w:r>
            <w:proofErr w:type="spellStart"/>
            <w:r>
              <w:t>Countries</w:t>
            </w:r>
            <w:proofErr w:type="spellEnd"/>
            <w:r>
              <w:t xml:space="preserve"> – </w:t>
            </w:r>
            <w:proofErr w:type="spellStart"/>
            <w:r>
              <w:t>Lessons</w:t>
            </w:r>
            <w:proofErr w:type="spellEnd"/>
            <w:r>
              <w:t xml:space="preserve"> </w:t>
            </w:r>
            <w:proofErr w:type="spellStart"/>
            <w:r>
              <w:t>learned</w:t>
            </w:r>
            <w:proofErr w:type="spellEnd"/>
            <w:r>
              <w:t xml:space="preserve"> </w:t>
            </w:r>
            <w:proofErr w:type="spellStart"/>
            <w:r>
              <w:t>from</w:t>
            </w:r>
            <w:proofErr w:type="spellEnd"/>
            <w:r>
              <w:t xml:space="preserve"> </w:t>
            </w:r>
            <w:proofErr w:type="spellStart"/>
            <w:r>
              <w:t>programming</w:t>
            </w:r>
            <w:proofErr w:type="spellEnd"/>
            <w:r>
              <w:t xml:space="preserve"> period 2007 – 2013 in </w:t>
            </w:r>
            <w:proofErr w:type="spellStart"/>
            <w:r>
              <w:t>health</w:t>
            </w:r>
            <w:proofErr w:type="spellEnd"/>
          </w:p>
        </w:tc>
        <w:tc>
          <w:tcPr>
            <w:tcW w:w="2200" w:type="dxa"/>
            <w:tcBorders>
              <w:top w:val="single" w:sz="6" w:space="0" w:color="4F6228"/>
              <w:bottom w:val="single" w:sz="6" w:space="0" w:color="4F6228"/>
            </w:tcBorders>
            <w:shd w:val="clear" w:color="auto" w:fill="auto"/>
            <w:vAlign w:val="center"/>
          </w:tcPr>
          <w:p w:rsidR="007D22B3" w:rsidRPr="00FC612A" w:rsidRDefault="007D22B3" w:rsidP="00064A6E">
            <w:r>
              <w:t>Výměna zkušeností – workshop – představení úspěšných projektů, výměna dobré praxe mezi státy EU v programovém období 2007 - 2013</w:t>
            </w:r>
          </w:p>
        </w:tc>
        <w:tc>
          <w:tcPr>
            <w:tcW w:w="2704" w:type="dxa"/>
            <w:tcBorders>
              <w:top w:val="single" w:sz="6" w:space="0" w:color="4F6228"/>
              <w:bottom w:val="single" w:sz="6" w:space="0" w:color="4F6228"/>
            </w:tcBorders>
            <w:shd w:val="clear" w:color="auto" w:fill="auto"/>
            <w:vAlign w:val="center"/>
          </w:tcPr>
          <w:p w:rsidR="007D22B3" w:rsidRPr="00FC612A" w:rsidRDefault="007D22B3" w:rsidP="00064A6E">
            <w:r w:rsidRPr="00FC612A">
              <w:t>Pracovníci EF</w:t>
            </w:r>
          </w:p>
        </w:tc>
        <w:tc>
          <w:tcPr>
            <w:tcW w:w="2032" w:type="dxa"/>
            <w:tcBorders>
              <w:top w:val="single" w:sz="6" w:space="0" w:color="4F6228"/>
              <w:bottom w:val="single" w:sz="6" w:space="0" w:color="4F6228"/>
            </w:tcBorders>
            <w:shd w:val="clear" w:color="auto" w:fill="auto"/>
            <w:vAlign w:val="center"/>
          </w:tcPr>
          <w:p w:rsidR="007D22B3" w:rsidRPr="004621F0" w:rsidRDefault="007D22B3" w:rsidP="00064A6E">
            <w:pPr>
              <w:jc w:val="right"/>
            </w:pPr>
            <w:r>
              <w:t>88 043,50</w:t>
            </w:r>
            <w:r w:rsidRPr="004621F0">
              <w:t xml:space="preserve"> Kč</w:t>
            </w:r>
          </w:p>
        </w:tc>
        <w:tc>
          <w:tcPr>
            <w:tcW w:w="3294" w:type="dxa"/>
            <w:tcBorders>
              <w:top w:val="single" w:sz="6" w:space="0" w:color="4F6228"/>
              <w:bottom w:val="single" w:sz="6" w:space="0" w:color="4F6228"/>
            </w:tcBorders>
            <w:shd w:val="clear" w:color="auto" w:fill="auto"/>
            <w:vAlign w:val="center"/>
          </w:tcPr>
          <w:p w:rsidR="007D22B3" w:rsidRPr="004621F0" w:rsidRDefault="007D22B3" w:rsidP="00064A6E">
            <w:r>
              <w:t>25. – 26. 6. 2014 v Jihlavě. Počet účastníků: 2</w:t>
            </w:r>
            <w:r w:rsidRPr="004621F0">
              <w:t>4</w:t>
            </w:r>
          </w:p>
        </w:tc>
      </w:tr>
      <w:tr w:rsidR="007D22B3" w:rsidRPr="00522998" w:rsidTr="00064A6E">
        <w:tc>
          <w:tcPr>
            <w:tcW w:w="1257" w:type="dxa"/>
            <w:tcBorders>
              <w:top w:val="single" w:sz="6" w:space="0" w:color="4F6228"/>
              <w:bottom w:val="double" w:sz="4" w:space="0" w:color="4F6228"/>
            </w:tcBorders>
            <w:shd w:val="clear" w:color="auto" w:fill="auto"/>
            <w:vAlign w:val="center"/>
          </w:tcPr>
          <w:p w:rsidR="007D22B3" w:rsidRPr="00FC612A" w:rsidRDefault="007D22B3" w:rsidP="00064A6E">
            <w:proofErr w:type="spellStart"/>
            <w:r w:rsidRPr="00FC612A">
              <w:t>MZd</w:t>
            </w:r>
            <w:proofErr w:type="spellEnd"/>
          </w:p>
        </w:tc>
        <w:tc>
          <w:tcPr>
            <w:tcW w:w="2547" w:type="dxa"/>
            <w:tcBorders>
              <w:top w:val="single" w:sz="6" w:space="0" w:color="4F6228"/>
              <w:bottom w:val="double" w:sz="4" w:space="0" w:color="4F6228"/>
            </w:tcBorders>
            <w:shd w:val="clear" w:color="auto" w:fill="auto"/>
            <w:vAlign w:val="center"/>
          </w:tcPr>
          <w:p w:rsidR="007D22B3" w:rsidRDefault="007D22B3" w:rsidP="00064A6E">
            <w:r w:rsidRPr="000B64DC">
              <w:t>Publikace, brožury, letáky, školící materiály</w:t>
            </w:r>
          </w:p>
        </w:tc>
        <w:tc>
          <w:tcPr>
            <w:tcW w:w="2200" w:type="dxa"/>
            <w:tcBorders>
              <w:top w:val="single" w:sz="6" w:space="0" w:color="4F6228"/>
              <w:bottom w:val="double" w:sz="4" w:space="0" w:color="4F6228"/>
            </w:tcBorders>
            <w:shd w:val="clear" w:color="auto" w:fill="auto"/>
            <w:vAlign w:val="center"/>
          </w:tcPr>
          <w:p w:rsidR="007D22B3" w:rsidRDefault="007D22B3" w:rsidP="00064A6E"/>
        </w:tc>
        <w:tc>
          <w:tcPr>
            <w:tcW w:w="2704" w:type="dxa"/>
            <w:tcBorders>
              <w:top w:val="single" w:sz="6" w:space="0" w:color="4F6228"/>
              <w:bottom w:val="double" w:sz="4" w:space="0" w:color="4F6228"/>
            </w:tcBorders>
            <w:shd w:val="clear" w:color="auto" w:fill="auto"/>
            <w:vAlign w:val="center"/>
          </w:tcPr>
          <w:p w:rsidR="007D22B3" w:rsidRPr="00FC612A" w:rsidRDefault="007D22B3" w:rsidP="00064A6E">
            <w:r w:rsidRPr="000B64DC">
              <w:t>Publikace, brožury, letáky, školící materiály</w:t>
            </w:r>
          </w:p>
        </w:tc>
        <w:tc>
          <w:tcPr>
            <w:tcW w:w="2032" w:type="dxa"/>
            <w:tcBorders>
              <w:top w:val="single" w:sz="6" w:space="0" w:color="4F6228"/>
              <w:bottom w:val="double" w:sz="4" w:space="0" w:color="4F6228"/>
            </w:tcBorders>
            <w:shd w:val="clear" w:color="auto" w:fill="auto"/>
            <w:vAlign w:val="center"/>
          </w:tcPr>
          <w:p w:rsidR="007D22B3" w:rsidRDefault="007D22B3" w:rsidP="00064A6E">
            <w:pPr>
              <w:jc w:val="right"/>
            </w:pPr>
            <w:r>
              <w:t>13 190,- Kč</w:t>
            </w:r>
          </w:p>
        </w:tc>
        <w:tc>
          <w:tcPr>
            <w:tcW w:w="3294" w:type="dxa"/>
            <w:tcBorders>
              <w:top w:val="single" w:sz="6" w:space="0" w:color="4F6228"/>
              <w:bottom w:val="double" w:sz="4" w:space="0" w:color="4F6228"/>
            </w:tcBorders>
            <w:shd w:val="clear" w:color="auto" w:fill="auto"/>
            <w:vAlign w:val="center"/>
          </w:tcPr>
          <w:p w:rsidR="007D22B3" w:rsidRPr="000B64DC" w:rsidRDefault="007D22B3" w:rsidP="00064A6E">
            <w:pPr>
              <w:pStyle w:val="Textpoznpodarou"/>
            </w:pPr>
            <w:r w:rsidRPr="000B64DC">
              <w:t>Plánovaná publikace nebyla vydána vzhledem k časové vytížen</w:t>
            </w:r>
            <w:r>
              <w:t>osti. Pro zajištění potřeb publ</w:t>
            </w:r>
            <w:r w:rsidRPr="000B64DC">
              <w:t xml:space="preserve">icity byl zakoupen fotoaparát. </w:t>
            </w:r>
          </w:p>
          <w:p w:rsidR="007D22B3" w:rsidRDefault="007D22B3" w:rsidP="00064A6E"/>
        </w:tc>
      </w:tr>
    </w:tbl>
    <w:p w:rsidR="001912D2" w:rsidRDefault="001912D2" w:rsidP="001912D2"/>
    <w:p w:rsidR="001912D2" w:rsidRDefault="001912D2" w:rsidP="001912D2"/>
    <w:p w:rsidR="001912D2" w:rsidRDefault="001912D2" w:rsidP="001912D2"/>
    <w:p w:rsidR="001912D2" w:rsidRDefault="001912D2" w:rsidP="001912D2"/>
    <w:p w:rsidR="003A2352" w:rsidRDefault="009B6B35">
      <w:pPr>
        <w:rPr>
          <w:rStyle w:val="Siln"/>
          <w:b w:val="0"/>
        </w:rPr>
      </w:pPr>
      <w:r>
        <w:br w:type="page"/>
      </w:r>
    </w:p>
    <w:p w:rsidR="003A2352" w:rsidRPr="004E735C" w:rsidRDefault="003A2352" w:rsidP="004E735C">
      <w:pPr>
        <w:pStyle w:val="Nadpis3"/>
      </w:pPr>
      <w:bookmarkStart w:id="307" w:name="_Toc417024913"/>
      <w:r w:rsidRPr="001912D2">
        <w:lastRenderedPageBreak/>
        <w:t>Příloha č. 3  - Akční plány evaluací</w:t>
      </w:r>
      <w:bookmarkEnd w:id="307"/>
    </w:p>
    <w:p w:rsidR="003A2352" w:rsidRPr="000C38DC" w:rsidRDefault="003A2352" w:rsidP="003A2352">
      <w:pPr>
        <w:rPr>
          <w:b/>
          <w:bCs/>
          <w:iCs/>
        </w:rPr>
      </w:pPr>
      <w:r w:rsidRPr="000C38DC">
        <w:rPr>
          <w:b/>
          <w:bCs/>
          <w:iCs/>
        </w:rPr>
        <w:t>Akční plán Evaluace realizace finančního nástroje JESSICA s ohledem na využitelnost pro programové období 2014 – 2020</w:t>
      </w:r>
    </w:p>
    <w:tbl>
      <w:tblPr>
        <w:tblW w:w="1413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01"/>
        <w:gridCol w:w="2690"/>
        <w:gridCol w:w="2555"/>
        <w:gridCol w:w="1614"/>
        <w:gridCol w:w="1614"/>
        <w:gridCol w:w="3362"/>
      </w:tblGrid>
      <w:tr w:rsidR="003A2352" w:rsidRPr="000C38DC" w:rsidTr="004E735C">
        <w:trPr>
          <w:trHeight w:val="145"/>
          <w:tblHeader/>
        </w:trPr>
        <w:tc>
          <w:tcPr>
            <w:tcW w:w="2301" w:type="dxa"/>
            <w:vMerge w:val="restart"/>
            <w:shd w:val="clear" w:color="auto" w:fill="C2D69B" w:themeFill="accent3" w:themeFillTint="99"/>
            <w:noWrap/>
            <w:vAlign w:val="center"/>
            <w:hideMark/>
          </w:tcPr>
          <w:p w:rsidR="003A2352" w:rsidRPr="000C38DC" w:rsidRDefault="003A2352" w:rsidP="003A2352">
            <w:pPr>
              <w:tabs>
                <w:tab w:val="left" w:pos="231"/>
                <w:tab w:val="center" w:pos="1142"/>
              </w:tabs>
              <w:spacing w:after="200" w:line="276" w:lineRule="auto"/>
              <w:jc w:val="center"/>
              <w:rPr>
                <w:rFonts w:eastAsiaTheme="minorHAnsi"/>
                <w:b/>
                <w:bCs/>
                <w:lang w:eastAsia="en-US"/>
              </w:rPr>
            </w:pPr>
            <w:r w:rsidRPr="000C38DC">
              <w:rPr>
                <w:rFonts w:eastAsiaTheme="minorHAnsi"/>
                <w:lang w:eastAsia="en-US"/>
              </w:rPr>
              <w:br w:type="page"/>
            </w:r>
            <w:r w:rsidRPr="000C38DC">
              <w:rPr>
                <w:rFonts w:eastAsiaTheme="minorHAnsi"/>
                <w:b/>
                <w:bCs/>
                <w:lang w:eastAsia="en-US"/>
              </w:rPr>
              <w:t>ZÁVĚRY</w:t>
            </w:r>
          </w:p>
        </w:tc>
        <w:tc>
          <w:tcPr>
            <w:tcW w:w="2690" w:type="dxa"/>
            <w:vMerge w:val="restart"/>
            <w:shd w:val="clear" w:color="auto" w:fill="C2D69B" w:themeFill="accent3" w:themeFillTint="99"/>
            <w:vAlign w:val="center"/>
          </w:tcPr>
          <w:p w:rsidR="003A2352" w:rsidRPr="000C38DC" w:rsidRDefault="003A2352" w:rsidP="003A2352">
            <w:pPr>
              <w:spacing w:after="200" w:line="276" w:lineRule="auto"/>
              <w:jc w:val="center"/>
              <w:rPr>
                <w:rFonts w:eastAsiaTheme="minorHAnsi"/>
                <w:b/>
                <w:bCs/>
                <w:lang w:eastAsia="en-US"/>
              </w:rPr>
            </w:pPr>
            <w:r w:rsidRPr="000C38DC">
              <w:rPr>
                <w:rFonts w:eastAsiaTheme="minorHAnsi"/>
                <w:b/>
                <w:bCs/>
                <w:color w:val="000000"/>
                <w:lang w:eastAsia="en-US"/>
              </w:rPr>
              <w:t>DOPORUČENÍ</w:t>
            </w:r>
          </w:p>
        </w:tc>
        <w:tc>
          <w:tcPr>
            <w:tcW w:w="9144" w:type="dxa"/>
            <w:gridSpan w:val="4"/>
            <w:shd w:val="clear" w:color="auto" w:fill="C2D69B" w:themeFill="accent3" w:themeFillTint="99"/>
            <w:vAlign w:val="center"/>
          </w:tcPr>
          <w:p w:rsidR="003A2352" w:rsidRPr="000C38DC" w:rsidRDefault="003A2352" w:rsidP="003A2352">
            <w:pPr>
              <w:spacing w:after="200" w:line="276" w:lineRule="auto"/>
              <w:jc w:val="center"/>
              <w:rPr>
                <w:rFonts w:eastAsiaTheme="minorHAnsi"/>
                <w:b/>
                <w:bCs/>
                <w:lang w:eastAsia="en-US"/>
              </w:rPr>
            </w:pPr>
            <w:r w:rsidRPr="000C38DC">
              <w:rPr>
                <w:rFonts w:eastAsiaTheme="minorHAnsi"/>
                <w:b/>
                <w:bCs/>
                <w:lang w:eastAsia="en-US"/>
              </w:rPr>
              <w:t>Subjekty implementace FN JESSICA v IOP</w:t>
            </w:r>
          </w:p>
        </w:tc>
      </w:tr>
      <w:tr w:rsidR="003A2352" w:rsidRPr="000C38DC" w:rsidTr="004E735C">
        <w:trPr>
          <w:trHeight w:val="123"/>
          <w:tblHeader/>
        </w:trPr>
        <w:tc>
          <w:tcPr>
            <w:tcW w:w="2301" w:type="dxa"/>
            <w:vMerge/>
            <w:shd w:val="clear" w:color="auto" w:fill="C2D69B" w:themeFill="accent3" w:themeFillTint="99"/>
            <w:noWrap/>
            <w:hideMark/>
          </w:tcPr>
          <w:p w:rsidR="003A2352" w:rsidRPr="000C38DC" w:rsidRDefault="003A2352" w:rsidP="003A2352">
            <w:pPr>
              <w:tabs>
                <w:tab w:val="center" w:pos="1142"/>
              </w:tabs>
              <w:spacing w:after="200" w:line="276" w:lineRule="auto"/>
              <w:rPr>
                <w:rFonts w:eastAsiaTheme="minorHAnsi"/>
                <w:b/>
                <w:bCs/>
                <w:lang w:eastAsia="en-US"/>
              </w:rPr>
            </w:pPr>
          </w:p>
        </w:tc>
        <w:tc>
          <w:tcPr>
            <w:tcW w:w="2690" w:type="dxa"/>
            <w:vMerge/>
            <w:shd w:val="clear" w:color="auto" w:fill="C2D69B" w:themeFill="accent3" w:themeFillTint="99"/>
            <w:vAlign w:val="center"/>
            <w:hideMark/>
          </w:tcPr>
          <w:p w:rsidR="003A2352" w:rsidRPr="000C38DC" w:rsidRDefault="003A2352" w:rsidP="003A2352">
            <w:pPr>
              <w:spacing w:after="200" w:line="276" w:lineRule="auto"/>
              <w:jc w:val="center"/>
              <w:rPr>
                <w:rFonts w:eastAsiaTheme="minorHAnsi"/>
                <w:b/>
                <w:bCs/>
                <w:color w:val="000000"/>
                <w:lang w:eastAsia="en-US"/>
              </w:rPr>
            </w:pPr>
          </w:p>
        </w:tc>
        <w:tc>
          <w:tcPr>
            <w:tcW w:w="2555" w:type="dxa"/>
            <w:shd w:val="clear" w:color="auto" w:fill="C2D69B" w:themeFill="accent3" w:themeFillTint="99"/>
          </w:tcPr>
          <w:p w:rsidR="003A2352" w:rsidRPr="000C38DC" w:rsidRDefault="003A2352" w:rsidP="003A2352">
            <w:pPr>
              <w:spacing w:after="200" w:line="276" w:lineRule="auto"/>
              <w:jc w:val="center"/>
              <w:rPr>
                <w:rFonts w:eastAsiaTheme="minorHAnsi"/>
                <w:b/>
                <w:bCs/>
                <w:color w:val="000000"/>
                <w:lang w:eastAsia="en-US"/>
              </w:rPr>
            </w:pPr>
            <w:r w:rsidRPr="000C38DC">
              <w:rPr>
                <w:rFonts w:eastAsiaTheme="minorHAnsi"/>
                <w:b/>
                <w:bCs/>
                <w:color w:val="000000"/>
                <w:lang w:eastAsia="en-US"/>
              </w:rPr>
              <w:t>NÁPRAVNÉ OPATŘENÍ</w:t>
            </w:r>
          </w:p>
        </w:tc>
        <w:tc>
          <w:tcPr>
            <w:tcW w:w="1614" w:type="dxa"/>
            <w:shd w:val="clear" w:color="auto" w:fill="C2D69B" w:themeFill="accent3" w:themeFillTint="99"/>
            <w:vAlign w:val="center"/>
            <w:hideMark/>
          </w:tcPr>
          <w:p w:rsidR="003A2352" w:rsidRPr="000C38DC" w:rsidRDefault="003A2352" w:rsidP="003A2352">
            <w:pPr>
              <w:spacing w:after="200" w:line="276" w:lineRule="auto"/>
              <w:jc w:val="center"/>
              <w:rPr>
                <w:rFonts w:eastAsiaTheme="minorHAnsi"/>
                <w:b/>
                <w:bCs/>
                <w:color w:val="000000"/>
                <w:lang w:eastAsia="en-US"/>
              </w:rPr>
            </w:pPr>
            <w:r w:rsidRPr="000C38DC">
              <w:rPr>
                <w:rFonts w:eastAsiaTheme="minorHAnsi"/>
                <w:b/>
                <w:bCs/>
                <w:color w:val="000000"/>
                <w:lang w:eastAsia="en-US"/>
              </w:rPr>
              <w:t>TERMÍN</w:t>
            </w:r>
          </w:p>
        </w:tc>
        <w:tc>
          <w:tcPr>
            <w:tcW w:w="1614" w:type="dxa"/>
            <w:shd w:val="clear" w:color="auto" w:fill="C2D69B" w:themeFill="accent3" w:themeFillTint="99"/>
            <w:vAlign w:val="center"/>
          </w:tcPr>
          <w:p w:rsidR="003A2352" w:rsidRPr="000C38DC" w:rsidRDefault="003A2352" w:rsidP="003A2352">
            <w:pPr>
              <w:spacing w:after="200" w:line="276" w:lineRule="auto"/>
              <w:jc w:val="center"/>
              <w:rPr>
                <w:rFonts w:eastAsiaTheme="minorHAnsi"/>
                <w:b/>
                <w:bCs/>
                <w:color w:val="000000"/>
                <w:lang w:eastAsia="en-US"/>
              </w:rPr>
            </w:pPr>
            <w:r w:rsidRPr="000C38DC">
              <w:rPr>
                <w:rFonts w:eastAsiaTheme="minorHAnsi"/>
                <w:b/>
                <w:bCs/>
                <w:color w:val="000000"/>
                <w:lang w:eastAsia="en-US"/>
              </w:rPr>
              <w:t>PROVEDE</w:t>
            </w:r>
          </w:p>
        </w:tc>
        <w:tc>
          <w:tcPr>
            <w:tcW w:w="3362" w:type="dxa"/>
            <w:shd w:val="clear" w:color="auto" w:fill="C2D69B" w:themeFill="accent3" w:themeFillTint="99"/>
            <w:vAlign w:val="center"/>
            <w:hideMark/>
          </w:tcPr>
          <w:p w:rsidR="003A2352" w:rsidRPr="000C38DC" w:rsidRDefault="003A2352" w:rsidP="003A2352">
            <w:pPr>
              <w:spacing w:after="200" w:line="276" w:lineRule="auto"/>
              <w:jc w:val="center"/>
              <w:rPr>
                <w:rFonts w:eastAsiaTheme="minorHAnsi"/>
                <w:b/>
                <w:bCs/>
                <w:color w:val="000000"/>
                <w:lang w:eastAsia="en-US"/>
              </w:rPr>
            </w:pPr>
            <w:r w:rsidRPr="000C38DC">
              <w:rPr>
                <w:rFonts w:eastAsiaTheme="minorHAnsi"/>
                <w:b/>
                <w:bCs/>
                <w:color w:val="000000"/>
                <w:lang w:eastAsia="en-US"/>
              </w:rPr>
              <w:t>SPLNĚNO</w:t>
            </w:r>
          </w:p>
        </w:tc>
      </w:tr>
      <w:tr w:rsidR="003A2352" w:rsidRPr="000C38DC" w:rsidTr="004E735C">
        <w:trPr>
          <w:trHeight w:val="927"/>
        </w:trPr>
        <w:tc>
          <w:tcPr>
            <w:tcW w:w="2301" w:type="dxa"/>
            <w:vMerge w:val="restart"/>
            <w:noWrap/>
            <w:vAlign w:val="center"/>
          </w:tcPr>
          <w:p w:rsidR="003A2352" w:rsidRPr="000C38DC" w:rsidRDefault="003A2352" w:rsidP="003A2352">
            <w:pPr>
              <w:autoSpaceDE w:val="0"/>
              <w:autoSpaceDN w:val="0"/>
              <w:adjustRightInd w:val="0"/>
              <w:spacing w:after="200" w:line="276" w:lineRule="auto"/>
              <w:jc w:val="both"/>
              <w:rPr>
                <w:rFonts w:eastAsiaTheme="minorHAnsi"/>
                <w:bCs/>
                <w:lang w:eastAsia="en-US"/>
              </w:rPr>
            </w:pPr>
            <w:r w:rsidRPr="000C38DC">
              <w:rPr>
                <w:rFonts w:eastAsiaTheme="minorHAnsi"/>
                <w:lang w:eastAsia="en-US"/>
              </w:rPr>
              <w:t>Na úrovni některých procesů byl identifikován prostor pro zjednodušení a zefektivnění administrativních postupů.</w:t>
            </w:r>
          </w:p>
        </w:tc>
        <w:tc>
          <w:tcPr>
            <w:tcW w:w="2690" w:type="dxa"/>
          </w:tcPr>
          <w:p w:rsidR="003A2352" w:rsidRPr="000C38DC" w:rsidRDefault="00995D03" w:rsidP="002E608B">
            <w:pPr>
              <w:numPr>
                <w:ilvl w:val="0"/>
                <w:numId w:val="34"/>
              </w:numPr>
              <w:spacing w:after="200" w:line="276" w:lineRule="auto"/>
              <w:contextualSpacing/>
              <w:jc w:val="both"/>
              <w:rPr>
                <w:rFonts w:eastAsiaTheme="minorHAnsi"/>
                <w:lang w:eastAsia="en-US"/>
              </w:rPr>
            </w:pPr>
            <w:r>
              <w:rPr>
                <w:rFonts w:eastAsiaTheme="minorHAnsi"/>
                <w:color w:val="000000"/>
                <w:lang w:eastAsia="en-US"/>
              </w:rPr>
              <w:t xml:space="preserve">Zlepšení vzájemné </w:t>
            </w:r>
            <w:r w:rsidR="003A2352" w:rsidRPr="000C38DC">
              <w:rPr>
                <w:rFonts w:eastAsiaTheme="minorHAnsi"/>
                <w:color w:val="000000"/>
                <w:lang w:eastAsia="en-US"/>
              </w:rPr>
              <w:t xml:space="preserve">komunikace a součinnosti všech subjektů zapojených implementace. </w:t>
            </w:r>
          </w:p>
        </w:tc>
        <w:tc>
          <w:tcPr>
            <w:tcW w:w="2555" w:type="dxa"/>
          </w:tcPr>
          <w:p w:rsidR="003A2352" w:rsidRPr="000C38DC" w:rsidRDefault="003A2352" w:rsidP="003A2352">
            <w:pPr>
              <w:spacing w:after="200" w:line="276" w:lineRule="auto"/>
              <w:jc w:val="both"/>
              <w:rPr>
                <w:rFonts w:eastAsiaTheme="minorHAnsi"/>
                <w:color w:val="000000"/>
                <w:lang w:eastAsia="en-US"/>
              </w:rPr>
            </w:pPr>
            <w:r w:rsidRPr="000C38DC">
              <w:rPr>
                <w:rFonts w:eastAsiaTheme="minorHAnsi"/>
                <w:color w:val="000000"/>
                <w:lang w:eastAsia="en-US"/>
              </w:rPr>
              <w:t xml:space="preserve">Dodržovat včasné informování o důležitých skutečnostech (elektronicky či telefonicky) a nastavit pravidelná půlroční pracovní setkání zástupců implementační struktury, kde budou řešeny aktuální problémy (mimo uvedenou lhůtu se pracovní jednání mohou konat také ad hoc). </w:t>
            </w:r>
          </w:p>
        </w:tc>
        <w:tc>
          <w:tcPr>
            <w:tcW w:w="1614" w:type="dxa"/>
          </w:tcPr>
          <w:p w:rsidR="003A2352" w:rsidRPr="000C38DC" w:rsidRDefault="003A2352" w:rsidP="003A2352">
            <w:pPr>
              <w:spacing w:after="200" w:line="276" w:lineRule="auto"/>
              <w:rPr>
                <w:rFonts w:eastAsiaTheme="minorHAnsi"/>
                <w:color w:val="000000"/>
                <w:lang w:eastAsia="en-US"/>
              </w:rPr>
            </w:pPr>
            <w:r w:rsidRPr="000C38DC">
              <w:rPr>
                <w:rFonts w:eastAsiaTheme="minorHAnsi"/>
                <w:color w:val="000000"/>
                <w:lang w:eastAsia="en-US"/>
              </w:rPr>
              <w:t>do 30. 11. 2014 zaslat na ŘO informaci, jak je nápravné opatření zpracováno</w:t>
            </w:r>
          </w:p>
        </w:tc>
        <w:tc>
          <w:tcPr>
            <w:tcW w:w="1614" w:type="dxa"/>
          </w:tcPr>
          <w:p w:rsidR="003A2352" w:rsidRPr="000C38DC" w:rsidRDefault="003A2352" w:rsidP="003A2352">
            <w:pPr>
              <w:spacing w:after="200" w:line="276" w:lineRule="auto"/>
              <w:rPr>
                <w:rFonts w:eastAsiaTheme="minorHAnsi"/>
                <w:color w:val="000000"/>
                <w:lang w:eastAsia="en-US"/>
              </w:rPr>
            </w:pPr>
            <w:r w:rsidRPr="000C38DC">
              <w:rPr>
                <w:rFonts w:eastAsiaTheme="minorHAnsi"/>
                <w:color w:val="000000"/>
                <w:lang w:eastAsia="en-US"/>
              </w:rPr>
              <w:t xml:space="preserve">ŘO - oddělení 262, garant FN, </w:t>
            </w:r>
          </w:p>
          <w:p w:rsidR="003A2352" w:rsidRPr="000C38DC" w:rsidRDefault="003A2352" w:rsidP="003A2352">
            <w:pPr>
              <w:spacing w:after="200" w:line="276" w:lineRule="auto"/>
              <w:rPr>
                <w:rFonts w:eastAsiaTheme="minorHAnsi"/>
                <w:color w:val="000000"/>
                <w:lang w:eastAsia="en-US"/>
              </w:rPr>
            </w:pPr>
            <w:r w:rsidRPr="000C38DC">
              <w:rPr>
                <w:rFonts w:eastAsiaTheme="minorHAnsi"/>
                <w:color w:val="000000"/>
                <w:lang w:eastAsia="en-US"/>
              </w:rPr>
              <w:t>HF, SFRB</w:t>
            </w:r>
          </w:p>
        </w:tc>
        <w:tc>
          <w:tcPr>
            <w:tcW w:w="3362" w:type="dxa"/>
          </w:tcPr>
          <w:p w:rsidR="003A2352" w:rsidRPr="000C38DC" w:rsidRDefault="003A2352" w:rsidP="003A2352">
            <w:pPr>
              <w:spacing w:after="200" w:line="276" w:lineRule="auto"/>
              <w:rPr>
                <w:rFonts w:eastAsiaTheme="minorHAnsi"/>
                <w:color w:val="000000"/>
                <w:lang w:eastAsia="en-US"/>
              </w:rPr>
            </w:pPr>
            <w:r w:rsidRPr="000C38DC">
              <w:rPr>
                <w:rFonts w:eastAsiaTheme="minorHAnsi"/>
                <w:color w:val="000000"/>
                <w:lang w:eastAsia="en-US"/>
              </w:rPr>
              <w:t>ŘO: Ze strany ŘO je dodržování včasného informování o důležitých skutečnostech aplikováno. Pracovní jednání ad hoc se konají.</w:t>
            </w:r>
          </w:p>
          <w:p w:rsidR="003A2352" w:rsidRPr="000C38DC" w:rsidRDefault="003A2352" w:rsidP="003A2352">
            <w:pPr>
              <w:spacing w:after="200" w:line="276" w:lineRule="auto"/>
              <w:rPr>
                <w:rFonts w:eastAsiaTheme="minorHAnsi"/>
                <w:color w:val="000000"/>
                <w:lang w:eastAsia="en-US"/>
              </w:rPr>
            </w:pPr>
            <w:r w:rsidRPr="000C38DC">
              <w:rPr>
                <w:rFonts w:eastAsiaTheme="minorHAnsi"/>
                <w:color w:val="000000"/>
                <w:lang w:eastAsia="en-US"/>
              </w:rPr>
              <w:t xml:space="preserve">HF: </w:t>
            </w:r>
            <w:r w:rsidRPr="000C38DC">
              <w:rPr>
                <w:rFonts w:eastAsiaTheme="minorHAnsi"/>
                <w:lang w:eastAsia="en-US"/>
              </w:rPr>
              <w:t xml:space="preserve">Zástupci HF SFRB se pravidelně účastní půlročních pracovních setkání zástupců implementační struktury. Dále aktuální otázky v oblasti implementace řeší HF formou „ad hoc“ jednání, </w:t>
            </w:r>
            <w:proofErr w:type="gramStart"/>
            <w:r w:rsidRPr="000C38DC">
              <w:rPr>
                <w:rFonts w:eastAsiaTheme="minorHAnsi"/>
                <w:lang w:eastAsia="en-US"/>
              </w:rPr>
              <w:t>tzn.</w:t>
            </w:r>
            <w:proofErr w:type="gramEnd"/>
            <w:r w:rsidRPr="000C38DC">
              <w:rPr>
                <w:rFonts w:eastAsiaTheme="minorHAnsi"/>
                <w:lang w:eastAsia="en-US"/>
              </w:rPr>
              <w:t xml:space="preserve"> HF </w:t>
            </w:r>
            <w:proofErr w:type="gramStart"/>
            <w:r w:rsidRPr="000C38DC">
              <w:rPr>
                <w:rFonts w:eastAsiaTheme="minorHAnsi"/>
                <w:lang w:eastAsia="en-US"/>
              </w:rPr>
              <w:t>vede</w:t>
            </w:r>
            <w:proofErr w:type="gramEnd"/>
            <w:r w:rsidRPr="000C38DC">
              <w:rPr>
                <w:rFonts w:eastAsiaTheme="minorHAnsi"/>
                <w:lang w:eastAsia="en-US"/>
              </w:rPr>
              <w:t xml:space="preserve"> průběžnou aktivní komunikaci s ŘO IOP a SFRM o průběhu celé implementace FN JESSICA zejména prostřednictvím emailu, telefonicky či osobně.</w:t>
            </w:r>
          </w:p>
        </w:tc>
      </w:tr>
      <w:tr w:rsidR="003A2352" w:rsidRPr="000C38DC" w:rsidTr="004E735C">
        <w:trPr>
          <w:trHeight w:val="348"/>
        </w:trPr>
        <w:tc>
          <w:tcPr>
            <w:tcW w:w="2301" w:type="dxa"/>
            <w:vMerge/>
            <w:noWrap/>
          </w:tcPr>
          <w:p w:rsidR="003A2352" w:rsidRPr="000C38DC" w:rsidRDefault="003A2352" w:rsidP="003A2352">
            <w:pPr>
              <w:autoSpaceDE w:val="0"/>
              <w:autoSpaceDN w:val="0"/>
              <w:adjustRightInd w:val="0"/>
              <w:spacing w:after="200" w:line="276" w:lineRule="auto"/>
              <w:jc w:val="both"/>
              <w:rPr>
                <w:rFonts w:eastAsiaTheme="minorHAnsi"/>
                <w:lang w:eastAsia="en-US"/>
              </w:rPr>
            </w:pP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t>Posílení a maximalizace kvality administrativní kontroly a výkonu činností.</w:t>
            </w:r>
          </w:p>
        </w:tc>
        <w:tc>
          <w:tcPr>
            <w:tcW w:w="2555" w:type="dxa"/>
          </w:tcPr>
          <w:p w:rsidR="003A2352" w:rsidRPr="000C38DC" w:rsidRDefault="003A2352" w:rsidP="003A2352">
            <w:pPr>
              <w:autoSpaceDE w:val="0"/>
              <w:autoSpaceDN w:val="0"/>
              <w:adjustRightInd w:val="0"/>
              <w:jc w:val="both"/>
              <w:rPr>
                <w:rFonts w:eastAsiaTheme="minorHAnsi"/>
                <w:bCs/>
                <w:lang w:eastAsia="en-US"/>
              </w:rPr>
            </w:pPr>
            <w:r w:rsidRPr="000C38DC">
              <w:t xml:space="preserve">Subjekty implementace zajistí procesní proškolení s cílem zvýšit kompetence pracovníků, zajistí sjednocení postupů při výkonu administrativních kontrol a stanoví jasné pravomoci pro výkon činností. </w:t>
            </w:r>
          </w:p>
        </w:tc>
        <w:tc>
          <w:tcPr>
            <w:tcW w:w="1614" w:type="dxa"/>
          </w:tcPr>
          <w:p w:rsidR="003A2352" w:rsidRPr="000C38DC" w:rsidRDefault="003A2352" w:rsidP="003A2352">
            <w:pPr>
              <w:spacing w:after="200" w:line="276" w:lineRule="auto"/>
              <w:rPr>
                <w:rFonts w:eastAsiaTheme="minorHAnsi"/>
                <w:bCs/>
                <w:lang w:eastAsia="en-US"/>
              </w:rPr>
            </w:pPr>
            <w:r w:rsidRPr="000C38DC">
              <w:rPr>
                <w:rFonts w:eastAsiaTheme="minorHAnsi"/>
                <w:lang w:eastAsia="en-US"/>
              </w:rPr>
              <w:t>do 30. 11. 2014 zaslat na ŘO informaci, jak je nápravné opatření zpracováno</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 xml:space="preserve">ŘO – VO 262 a 264, </w:t>
            </w:r>
          </w:p>
          <w:p w:rsidR="003A2352" w:rsidRPr="000C38DC" w:rsidRDefault="003A2352" w:rsidP="003A2352">
            <w:pPr>
              <w:spacing w:after="200" w:line="276" w:lineRule="auto"/>
              <w:rPr>
                <w:rFonts w:eastAsiaTheme="minorHAnsi"/>
                <w:bCs/>
                <w:lang w:eastAsia="en-US"/>
              </w:rPr>
            </w:pPr>
            <w:r w:rsidRPr="000C38DC">
              <w:rPr>
                <w:rFonts w:eastAsiaTheme="minorHAnsi"/>
                <w:lang w:eastAsia="en-US"/>
              </w:rPr>
              <w:t>HF, SFRB</w:t>
            </w:r>
          </w:p>
        </w:tc>
        <w:tc>
          <w:tcPr>
            <w:tcW w:w="3362" w:type="dxa"/>
          </w:tcPr>
          <w:p w:rsidR="003A2352" w:rsidRPr="000C38DC" w:rsidRDefault="003A2352" w:rsidP="003A2352">
            <w:pPr>
              <w:spacing w:after="200" w:line="276" w:lineRule="auto"/>
              <w:rPr>
                <w:rFonts w:eastAsiaTheme="minorHAnsi"/>
                <w:bCs/>
                <w:lang w:eastAsia="en-US"/>
              </w:rPr>
            </w:pPr>
            <w:r w:rsidRPr="000C38DC">
              <w:rPr>
                <w:rFonts w:eastAsiaTheme="minorHAnsi"/>
                <w:bCs/>
                <w:lang w:eastAsia="en-US"/>
              </w:rPr>
              <w:t xml:space="preserve">HF: </w:t>
            </w:r>
            <w:r w:rsidRPr="000C38DC">
              <w:rPr>
                <w:rFonts w:eastAsiaTheme="minorHAnsi"/>
                <w:lang w:eastAsia="en-US"/>
              </w:rPr>
              <w:t xml:space="preserve">Zaměstnanci HF se pravidelně účastní odborných školení. Jednotné postupy a administrativní kontroly jsou zajištěny ŘKS, Smlouvou o správě finančních prostředků, Obchodním plánem a Manuálem kontrolních činností včetně kontrolních listů. Popisy pracovních míst zajišťují jasné rozdělení pracovních činností mezi zaměstnance HF. Pravomoci zaměstnanců vyplývají z ŘKS. V případě nepřítomnosti (nemoc, </w:t>
            </w:r>
            <w:r w:rsidRPr="000C38DC">
              <w:rPr>
                <w:rFonts w:eastAsiaTheme="minorHAnsi"/>
                <w:lang w:eastAsia="en-US"/>
              </w:rPr>
              <w:lastRenderedPageBreak/>
              <w:t>dovolená, služební cesta) je agenda vždy předána, zajištěn zástup a zajištěna následná kontinuita nastavených postupů.</w:t>
            </w:r>
          </w:p>
        </w:tc>
      </w:tr>
      <w:tr w:rsidR="003A2352" w:rsidRPr="000C38DC" w:rsidTr="004E735C">
        <w:trPr>
          <w:trHeight w:val="457"/>
        </w:trPr>
        <w:tc>
          <w:tcPr>
            <w:tcW w:w="2301" w:type="dxa"/>
            <w:vMerge/>
            <w:noWrap/>
          </w:tcPr>
          <w:p w:rsidR="003A2352" w:rsidRPr="000C38DC" w:rsidRDefault="003A2352" w:rsidP="003A2352">
            <w:pPr>
              <w:spacing w:after="200" w:line="276" w:lineRule="auto"/>
              <w:rPr>
                <w:rFonts w:eastAsiaTheme="minorHAnsi"/>
                <w:lang w:eastAsia="en-US"/>
              </w:rPr>
            </w:pPr>
          </w:p>
        </w:tc>
        <w:tc>
          <w:tcPr>
            <w:tcW w:w="2690" w:type="dxa"/>
            <w:vAlign w:val="center"/>
          </w:tcPr>
          <w:p w:rsidR="003A2352" w:rsidRPr="000C38DC" w:rsidRDefault="003A2352" w:rsidP="002E608B">
            <w:pPr>
              <w:numPr>
                <w:ilvl w:val="0"/>
                <w:numId w:val="34"/>
              </w:numPr>
              <w:spacing w:after="200" w:line="276" w:lineRule="auto"/>
              <w:contextualSpacing/>
              <w:jc w:val="both"/>
              <w:rPr>
                <w:rFonts w:eastAsiaTheme="minorHAnsi"/>
                <w:color w:val="000000"/>
                <w:lang w:eastAsia="en-US"/>
              </w:rPr>
            </w:pPr>
            <w:r w:rsidRPr="000C38DC">
              <w:rPr>
                <w:rFonts w:eastAsia="Arial"/>
                <w:color w:val="000000"/>
                <w:lang w:eastAsia="en-US"/>
              </w:rPr>
              <w:t xml:space="preserve">Redukce </w:t>
            </w:r>
            <w:r w:rsidRPr="000C38DC">
              <w:rPr>
                <w:rFonts w:eastAsiaTheme="minorHAnsi"/>
                <w:lang w:eastAsia="en-US"/>
              </w:rPr>
              <w:t>dokumentů, které ukládá příloha monitorovací zprávy č. 10 Dokladování způsobilých výdajů</w:t>
            </w:r>
            <w:r w:rsidRPr="000C38DC" w:rsidDel="00914D47">
              <w:rPr>
                <w:rFonts w:eastAsia="Arial"/>
                <w:color w:val="000000"/>
                <w:lang w:eastAsia="en-US"/>
              </w:rPr>
              <w:t xml:space="preserve"> </w:t>
            </w:r>
            <w:r w:rsidRPr="000C38DC">
              <w:rPr>
                <w:rFonts w:eastAsia="Arial"/>
                <w:color w:val="000000"/>
                <w:lang w:eastAsia="en-US"/>
              </w:rPr>
              <w:t xml:space="preserve">- nedokládání měsíčních výkazů práce pracovníků HF podílejících se 100% na implementaci IOP. </w:t>
            </w:r>
          </w:p>
        </w:tc>
        <w:tc>
          <w:tcPr>
            <w:tcW w:w="2555" w:type="dxa"/>
          </w:tcPr>
          <w:p w:rsidR="003A2352" w:rsidRPr="000C38DC" w:rsidRDefault="003A2352" w:rsidP="003A2352">
            <w:pPr>
              <w:spacing w:after="200" w:line="276" w:lineRule="auto"/>
              <w:jc w:val="both"/>
              <w:rPr>
                <w:rFonts w:eastAsia="Arial"/>
                <w:color w:val="000000"/>
                <w:lang w:eastAsia="en-US"/>
              </w:rPr>
            </w:pPr>
            <w:r w:rsidRPr="000C38DC">
              <w:rPr>
                <w:rFonts w:eastAsiaTheme="minorHAnsi"/>
                <w:lang w:eastAsia="en-US"/>
              </w:rPr>
              <w:t xml:space="preserve">ŘO provede </w:t>
            </w:r>
            <w:r w:rsidRPr="000C38DC">
              <w:rPr>
                <w:rFonts w:eastAsia="Arial"/>
                <w:color w:val="000000"/>
                <w:lang w:eastAsia="en-US"/>
              </w:rPr>
              <w:t>ú</w:t>
            </w:r>
            <w:r w:rsidRPr="000C38DC">
              <w:rPr>
                <w:rFonts w:eastAsiaTheme="minorHAnsi"/>
                <w:color w:val="000000"/>
                <w:lang w:eastAsia="en-US"/>
              </w:rPr>
              <w:t xml:space="preserve">pravu </w:t>
            </w:r>
            <w:r w:rsidRPr="000C38DC">
              <w:rPr>
                <w:rFonts w:eastAsia="Arial"/>
                <w:color w:val="000000"/>
                <w:lang w:eastAsia="en-US"/>
              </w:rPr>
              <w:t xml:space="preserve">relevantních Příloh Manuálu pro realizaci FN JESSICA. </w:t>
            </w:r>
          </w:p>
          <w:p w:rsidR="003A2352" w:rsidRPr="000C38DC" w:rsidRDefault="003A2352" w:rsidP="003A2352">
            <w:pPr>
              <w:spacing w:after="200" w:line="276" w:lineRule="auto"/>
              <w:jc w:val="both"/>
              <w:rPr>
                <w:rFonts w:eastAsiaTheme="minorHAnsi"/>
                <w:lang w:eastAsia="en-US"/>
              </w:rPr>
            </w:pP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12/2014</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ŘO</w:t>
            </w:r>
          </w:p>
        </w:tc>
        <w:tc>
          <w:tcPr>
            <w:tcW w:w="3362" w:type="dxa"/>
            <w:vAlign w:val="center"/>
          </w:tcPr>
          <w:p w:rsidR="003A2352" w:rsidRPr="000C38DC" w:rsidRDefault="003A2352" w:rsidP="003A2352">
            <w:pPr>
              <w:spacing w:after="200" w:line="276" w:lineRule="auto"/>
              <w:rPr>
                <w:rFonts w:eastAsiaTheme="minorHAnsi"/>
                <w:lang w:eastAsia="en-US"/>
              </w:rPr>
            </w:pPr>
            <w:r w:rsidRPr="000C38DC">
              <w:rPr>
                <w:rFonts w:eastAsiaTheme="minorHAnsi"/>
                <w:lang w:eastAsia="en-US"/>
              </w:rPr>
              <w:t>Splněno. ŘO IOP zaslal 30. 5. 2014 k tomuto bodu HF stanoviska, kterými upřesnil výklad Manuálu pro realizaci FN JESSICA.</w:t>
            </w:r>
          </w:p>
        </w:tc>
      </w:tr>
      <w:tr w:rsidR="003A2352" w:rsidRPr="000C38DC" w:rsidTr="004E735C">
        <w:trPr>
          <w:trHeight w:val="123"/>
        </w:trPr>
        <w:tc>
          <w:tcPr>
            <w:tcW w:w="2301" w:type="dxa"/>
            <w:vMerge/>
            <w:noWrap/>
          </w:tcPr>
          <w:p w:rsidR="003A2352" w:rsidRPr="000C38DC" w:rsidRDefault="003A2352" w:rsidP="003A2352">
            <w:pPr>
              <w:spacing w:after="200" w:line="276" w:lineRule="auto"/>
              <w:rPr>
                <w:rFonts w:eastAsiaTheme="minorHAnsi"/>
                <w:lang w:eastAsia="en-US"/>
              </w:rPr>
            </w:pP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t>Nevyžadovat od HF předkládání zadávací dokumentace ke schválení ŘO 10 pracovních dní před zveřejněním výběrového řízení nebo před odesláním výzvy dodavatelům u zakázek malého rozsahu 2. kategorie</w:t>
            </w:r>
            <w:r w:rsidRPr="000C38DC">
              <w:rPr>
                <w:rFonts w:eastAsia="Arial"/>
                <w:color w:val="000000"/>
                <w:lang w:eastAsia="en-US"/>
              </w:rPr>
              <w:t xml:space="preserve">. </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ŘO provede změnu povinnosti předkládat ZD na VZMR 2. kategorie.</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12/2014</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ŘO</w:t>
            </w:r>
          </w:p>
        </w:tc>
        <w:tc>
          <w:tcPr>
            <w:tcW w:w="3362" w:type="dxa"/>
            <w:vAlign w:val="center"/>
          </w:tcPr>
          <w:p w:rsidR="003A2352" w:rsidRPr="000C38DC" w:rsidRDefault="003A2352" w:rsidP="003A2352">
            <w:pPr>
              <w:spacing w:after="200" w:line="276" w:lineRule="auto"/>
              <w:rPr>
                <w:rFonts w:eastAsiaTheme="minorHAnsi"/>
                <w:lang w:eastAsia="en-US"/>
              </w:rPr>
            </w:pPr>
            <w:r w:rsidRPr="000C38DC">
              <w:rPr>
                <w:rFonts w:eastAsiaTheme="minorHAnsi"/>
                <w:lang w:eastAsia="en-US"/>
              </w:rPr>
              <w:t>Splněno. ŘO IOP v revizi Manuálu pro realizaci FN JESSICA (1.6) 25. 8. 2014 i v revizi Podmínek Rozhodnutí o poskytnutí dotace vydané X. října 2014 změnil povinnost předkládat ZD k VZMR 2. kategorie na doporučení.</w:t>
            </w:r>
          </w:p>
        </w:tc>
      </w:tr>
      <w:tr w:rsidR="003A2352" w:rsidRPr="000C38DC" w:rsidTr="004E735C">
        <w:trPr>
          <w:trHeight w:val="123"/>
        </w:trPr>
        <w:tc>
          <w:tcPr>
            <w:tcW w:w="2301" w:type="dxa"/>
            <w:vMerge/>
            <w:noWrap/>
          </w:tcPr>
          <w:p w:rsidR="003A2352" w:rsidRPr="000C38DC" w:rsidRDefault="003A2352" w:rsidP="003A2352">
            <w:pPr>
              <w:spacing w:after="200" w:line="276" w:lineRule="auto"/>
              <w:rPr>
                <w:rFonts w:eastAsiaTheme="minorHAnsi"/>
                <w:lang w:eastAsia="en-US"/>
              </w:rPr>
            </w:pP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t>Kontrolovat na vzorku, zda SFRM dodržel stanovené postupy a kritéria pro výběr projektů.</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HF stanoví vzorek žádostí o úvěr, na kterém kontroluje, zda SFRM dodržel stanovené postupy a kritéria pro výběr projektů. Stanovený vzorek zapracuje do ŘKS.</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12/2014</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HF</w:t>
            </w:r>
          </w:p>
        </w:tc>
        <w:tc>
          <w:tcPr>
            <w:tcW w:w="3362" w:type="dxa"/>
            <w:vAlign w:val="center"/>
          </w:tcPr>
          <w:p w:rsidR="003A2352" w:rsidRPr="000C38DC" w:rsidRDefault="003A2352" w:rsidP="003A2352">
            <w:pPr>
              <w:spacing w:after="200" w:line="276" w:lineRule="auto"/>
              <w:rPr>
                <w:rFonts w:eastAsiaTheme="minorHAnsi"/>
                <w:lang w:eastAsia="en-US"/>
              </w:rPr>
            </w:pPr>
            <w:r w:rsidRPr="000C38DC">
              <w:rPr>
                <w:rFonts w:eastAsiaTheme="minorHAnsi"/>
                <w:lang w:eastAsia="en-US"/>
              </w:rPr>
              <w:t>Stanoveno v ŘKS HF od 1. 1. 2014.</w:t>
            </w:r>
          </w:p>
        </w:tc>
      </w:tr>
      <w:tr w:rsidR="003A2352" w:rsidRPr="000C38DC" w:rsidTr="004E735C">
        <w:trPr>
          <w:trHeight w:val="123"/>
        </w:trPr>
        <w:tc>
          <w:tcPr>
            <w:tcW w:w="2301" w:type="dxa"/>
            <w:vMerge/>
            <w:noWrap/>
          </w:tcPr>
          <w:p w:rsidR="003A2352" w:rsidRPr="000C38DC" w:rsidRDefault="003A2352" w:rsidP="003A2352">
            <w:pPr>
              <w:spacing w:after="200" w:line="276" w:lineRule="auto"/>
              <w:rPr>
                <w:rFonts w:eastAsiaTheme="minorHAnsi"/>
                <w:lang w:eastAsia="en-US"/>
              </w:rPr>
            </w:pP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Arial"/>
                <w:color w:val="000000"/>
                <w:lang w:eastAsia="en-US"/>
              </w:rPr>
              <w:t>Ve fázi splácení úvěrů prodloužit frekvence předkládaní měsíčních zpráv z měsíčního na čtvrtletní předkládání.</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 xml:space="preserve">Ve </w:t>
            </w:r>
            <w:r w:rsidRPr="000C38DC">
              <w:rPr>
                <w:rFonts w:eastAsia="Arial"/>
                <w:color w:val="000000"/>
                <w:lang w:eastAsia="en-US"/>
              </w:rPr>
              <w:t>fázi splácení úvěrů provede HF změny Smlouvy a Obchodního plánu, které prodlouží frekvenci předkládaní měsíčních zpráv z měsíční na čtvrtletní.</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ve fázi splácení úvěrů</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HF</w:t>
            </w:r>
          </w:p>
        </w:tc>
        <w:tc>
          <w:tcPr>
            <w:tcW w:w="3362" w:type="dxa"/>
            <w:vAlign w:val="center"/>
          </w:tcPr>
          <w:p w:rsidR="003A2352" w:rsidRPr="000C38DC" w:rsidRDefault="003A2352" w:rsidP="003A2352">
            <w:pPr>
              <w:spacing w:after="200" w:line="276" w:lineRule="auto"/>
              <w:rPr>
                <w:rFonts w:eastAsiaTheme="minorHAnsi"/>
                <w:lang w:eastAsia="en-US"/>
              </w:rPr>
            </w:pPr>
          </w:p>
        </w:tc>
      </w:tr>
      <w:tr w:rsidR="003A2352" w:rsidRPr="000C38DC" w:rsidTr="004E735C">
        <w:trPr>
          <w:trHeight w:val="656"/>
        </w:trPr>
        <w:tc>
          <w:tcPr>
            <w:tcW w:w="2301" w:type="dxa"/>
            <w:noWrap/>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Aktuální stav čerpání podpořený zájmem potencionálních žadatelů o produkt naznačuje, že by do konce roku 2015 mohlo dojít k vyčerpání celé alokované částky.</w:t>
            </w: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bidi="en-US"/>
              </w:rPr>
              <w:t xml:space="preserve">Průběžně sledovat vývoj čerpání alokace finančního nástroje a absorpční kapacity a </w:t>
            </w:r>
            <w:r w:rsidRPr="000C38DC">
              <w:rPr>
                <w:rFonts w:eastAsiaTheme="minorHAnsi"/>
                <w:color w:val="142A3E"/>
                <w:lang w:eastAsia="en-US"/>
              </w:rPr>
              <w:t>realizovat opatření k eliminaci rizika nedočerpání.</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Správce zajistí</w:t>
            </w:r>
            <w:r w:rsidRPr="000C38DC">
              <w:rPr>
                <w:rFonts w:eastAsiaTheme="minorHAnsi"/>
                <w:color w:val="142A3E"/>
                <w:lang w:eastAsia="en-US"/>
              </w:rPr>
              <w:t xml:space="preserve"> detailní přehled o potencionálních žadatelích, plný informační servis potencionálním žadatelům a v případě odstoupení od smlouvy osloví další potencionální žadatele.</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12/2015</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SFRM</w:t>
            </w:r>
          </w:p>
        </w:tc>
        <w:tc>
          <w:tcPr>
            <w:tcW w:w="3362" w:type="dxa"/>
            <w:vAlign w:val="center"/>
          </w:tcPr>
          <w:p w:rsidR="003A2352" w:rsidRPr="000C38DC" w:rsidRDefault="003A2352" w:rsidP="003A2352">
            <w:pPr>
              <w:spacing w:after="200" w:line="276" w:lineRule="auto"/>
              <w:rPr>
                <w:rFonts w:eastAsiaTheme="minorHAnsi"/>
                <w:lang w:eastAsia="en-US"/>
              </w:rPr>
            </w:pPr>
          </w:p>
        </w:tc>
      </w:tr>
      <w:tr w:rsidR="003A2352" w:rsidRPr="000C38DC" w:rsidTr="004E735C">
        <w:trPr>
          <w:trHeight w:val="129"/>
        </w:trPr>
        <w:tc>
          <w:tcPr>
            <w:tcW w:w="2301" w:type="dxa"/>
            <w:noWrap/>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 xml:space="preserve">Důvodem opakování procesu zadání ZŘ na SFRM bylo nesprávné nastavením podmínek v zadávací dokumentaci, které odradilo většinu uchazečů. Problematické pro potencionální uchazeče bylo především nejasné definování podmínek zadávací dokumentace. Konkrétně se jednalo o nepochopení stanovené terminologie, problematická byla také </w:t>
            </w:r>
            <w:r w:rsidRPr="000C38DC">
              <w:rPr>
                <w:rFonts w:eastAsiaTheme="minorHAnsi"/>
                <w:lang w:eastAsia="en-US"/>
              </w:rPr>
              <w:lastRenderedPageBreak/>
              <w:t xml:space="preserve">oblast finančních toků a vysoká odpovědnost za nesplácení úvěru. Podmínky tendru byly pro bankovní sektor nastaveny velice rizikově vzhledem k možnému profitu. </w:t>
            </w: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lastRenderedPageBreak/>
              <w:t xml:space="preserve">Provést detailní analýzu a průzkum trhu, dotazníkové šetření a vést konzultace s experty z bankovního prostředí (např. na úrovni České bankovní asociace). Definovat dokumenty, na které bude odkazovat smlouva, aby se uchazeči mohli seznámit s pravidly programu a pravidly EU. Jednoznačně definovat a vyjasnit veškerou terminologii v dokumentaci a v souladu </w:t>
            </w:r>
            <w:r w:rsidRPr="000C38DC">
              <w:rPr>
                <w:rFonts w:eastAsiaTheme="minorHAnsi"/>
                <w:lang w:eastAsia="en-US"/>
              </w:rPr>
              <w:lastRenderedPageBreak/>
              <w:t xml:space="preserve">se Zákonem o veřejných zakázkách zvážit výběr vhodné formy ZŘ. </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lastRenderedPageBreak/>
              <w:t>Před vyhlášením veřejné zakázky na Správce provede ŘO a HF detailní analýzu a průzkum trhu a jednoznačně definuje a vyjasní veškerou terminologii v zadávací dokumentaci.</w:t>
            </w:r>
          </w:p>
          <w:p w:rsidR="003A2352" w:rsidRPr="000C38DC" w:rsidRDefault="003A2352" w:rsidP="003A2352">
            <w:pPr>
              <w:spacing w:after="200" w:line="276" w:lineRule="auto"/>
              <w:jc w:val="both"/>
              <w:rPr>
                <w:rFonts w:eastAsiaTheme="minorHAnsi"/>
                <w:lang w:eastAsia="en-US"/>
              </w:rPr>
            </w:pP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před zadáním veřejné zakázky na Správce</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ŘO - konzultace, HF</w:t>
            </w:r>
          </w:p>
        </w:tc>
        <w:tc>
          <w:tcPr>
            <w:tcW w:w="3362" w:type="dxa"/>
            <w:vAlign w:val="center"/>
          </w:tcPr>
          <w:p w:rsidR="003A2352" w:rsidRPr="000C38DC" w:rsidRDefault="003A2352" w:rsidP="003A2352">
            <w:pPr>
              <w:spacing w:after="200" w:line="276" w:lineRule="auto"/>
              <w:rPr>
                <w:rFonts w:eastAsiaTheme="minorHAnsi"/>
                <w:lang w:eastAsia="en-US"/>
              </w:rPr>
            </w:pPr>
          </w:p>
        </w:tc>
      </w:tr>
      <w:tr w:rsidR="003A2352" w:rsidRPr="000C38DC" w:rsidTr="004E735C">
        <w:trPr>
          <w:trHeight w:val="395"/>
        </w:trPr>
        <w:tc>
          <w:tcPr>
            <w:tcW w:w="2301" w:type="dxa"/>
            <w:noWrap/>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lastRenderedPageBreak/>
              <w:t>Během realizace vyplynulo jako problematické porušení smlouvy v případě výplaty tranší pro jednotlivé schválené investice.</w:t>
            </w:r>
          </w:p>
        </w:tc>
        <w:tc>
          <w:tcPr>
            <w:tcW w:w="2690" w:type="dxa"/>
          </w:tcPr>
          <w:p w:rsidR="003A2352" w:rsidRPr="000C38DC" w:rsidRDefault="003A2352" w:rsidP="002E608B">
            <w:pPr>
              <w:numPr>
                <w:ilvl w:val="0"/>
                <w:numId w:val="34"/>
              </w:numPr>
              <w:spacing w:after="200" w:line="276" w:lineRule="auto"/>
              <w:contextualSpacing/>
              <w:rPr>
                <w:rFonts w:eastAsiaTheme="minorHAnsi"/>
                <w:lang w:eastAsia="en-US"/>
              </w:rPr>
            </w:pPr>
            <w:r w:rsidRPr="000C38DC">
              <w:rPr>
                <w:rFonts w:eastAsiaTheme="minorHAnsi"/>
                <w:lang w:eastAsia="en-US"/>
              </w:rPr>
              <w:t>Důsledně kontrolovat, zda jsou úvěrové smlouvy podepisovány v souladu se stanovami SV.</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Správce zajistí systém kontrol podpisů úvěrových smluv, aby byly podepisovány v souladu se stanovami SV.</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11/2014</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SFRM</w:t>
            </w:r>
          </w:p>
        </w:tc>
        <w:tc>
          <w:tcPr>
            <w:tcW w:w="3362" w:type="dxa"/>
            <w:vAlign w:val="center"/>
          </w:tcPr>
          <w:p w:rsidR="003A2352" w:rsidRPr="000C38DC" w:rsidRDefault="003A2352" w:rsidP="003A2352">
            <w:pPr>
              <w:spacing w:after="200" w:line="276" w:lineRule="auto"/>
              <w:rPr>
                <w:rFonts w:eastAsiaTheme="minorHAnsi"/>
                <w:lang w:eastAsia="en-US"/>
              </w:rPr>
            </w:pPr>
            <w:r w:rsidRPr="000C38DC">
              <w:rPr>
                <w:rFonts w:eastAsiaTheme="minorHAnsi"/>
                <w:lang w:eastAsia="en-US"/>
              </w:rPr>
              <w:t>SFRM: Splněno. Podpisy na základě plných mocí neprobíhají a je plněna podmínka jednání za SV dle platných stanov (předkládány jakou součást žádosti o úvěr).</w:t>
            </w:r>
          </w:p>
        </w:tc>
      </w:tr>
      <w:tr w:rsidR="003A2352" w:rsidRPr="000C38DC" w:rsidTr="004E735C">
        <w:trPr>
          <w:trHeight w:val="123"/>
        </w:trPr>
        <w:tc>
          <w:tcPr>
            <w:tcW w:w="2301" w:type="dxa"/>
            <w:vMerge w:val="restart"/>
            <w:noWrap/>
            <w:vAlign w:val="center"/>
          </w:tcPr>
          <w:p w:rsidR="003A2352" w:rsidRPr="000C38DC" w:rsidRDefault="003A2352" w:rsidP="003A2352">
            <w:pPr>
              <w:spacing w:after="200" w:line="276" w:lineRule="auto"/>
              <w:contextualSpacing/>
              <w:jc w:val="both"/>
              <w:rPr>
                <w:rFonts w:eastAsiaTheme="minorHAnsi"/>
                <w:lang w:eastAsia="en-US"/>
              </w:rPr>
            </w:pPr>
            <w:r w:rsidRPr="000C38DC">
              <w:rPr>
                <w:rFonts w:eastAsiaTheme="minorHAnsi"/>
                <w:lang w:eastAsia="en-US"/>
              </w:rPr>
              <w:t>Pro programové období 2014+</w:t>
            </w:r>
            <w:r w:rsidRPr="000C38DC">
              <w:rPr>
                <w:rFonts w:eastAsiaTheme="minorHAnsi"/>
                <w:b/>
                <w:lang w:eastAsia="en-US"/>
              </w:rPr>
              <w:t xml:space="preserve"> </w:t>
            </w:r>
            <w:r w:rsidRPr="000C38DC">
              <w:rPr>
                <w:rFonts w:eastAsiaTheme="minorHAnsi"/>
                <w:lang w:eastAsia="en-US"/>
              </w:rPr>
              <w:t>je vhodné zvýšit podíl prostředků využívaných formou FN, protože se jedná o významný nástroj z hlediska návratnosti veřejných prostředků a z hlediska co nejnižšího narušení tržního prostředí ve smyslu bankovního trhu i trhu v sektorech, kam dotace směřují.</w:t>
            </w: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t xml:space="preserve">Jasně vymezit okruh využití dotací a FN a zamezit překrývání jejich působnosti v IROP s dalšími operačními a národními programy. </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ŘO provede Předběžné posouzení využití finančního nástroje v IROP, ze kterého vzejde návrh využití finančních nástrojů ve specifických cílech a aktivitách IROP.</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2/2015</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ŘO – vedení odboru</w:t>
            </w:r>
          </w:p>
        </w:tc>
        <w:tc>
          <w:tcPr>
            <w:tcW w:w="3362" w:type="dxa"/>
            <w:vAlign w:val="center"/>
          </w:tcPr>
          <w:p w:rsidR="003A2352" w:rsidRPr="000C38DC" w:rsidRDefault="003A2352" w:rsidP="003A2352">
            <w:pPr>
              <w:spacing w:after="200" w:line="276" w:lineRule="auto"/>
              <w:rPr>
                <w:rFonts w:eastAsiaTheme="minorHAnsi"/>
                <w:lang w:eastAsia="en-US"/>
              </w:rPr>
            </w:pPr>
            <w:r w:rsidRPr="000C38DC">
              <w:rPr>
                <w:rFonts w:eastAsiaTheme="minorHAnsi"/>
                <w:lang w:eastAsia="en-US"/>
              </w:rPr>
              <w:t>V realizaci</w:t>
            </w:r>
          </w:p>
        </w:tc>
      </w:tr>
      <w:tr w:rsidR="003A2352" w:rsidRPr="000C38DC" w:rsidTr="004E735C">
        <w:trPr>
          <w:trHeight w:val="123"/>
        </w:trPr>
        <w:tc>
          <w:tcPr>
            <w:tcW w:w="2301" w:type="dxa"/>
            <w:vMerge/>
            <w:noWrap/>
          </w:tcPr>
          <w:p w:rsidR="003A2352" w:rsidRPr="000C38DC" w:rsidRDefault="003A2352" w:rsidP="003A2352">
            <w:pPr>
              <w:spacing w:after="200" w:line="276" w:lineRule="auto"/>
              <w:rPr>
                <w:rFonts w:eastAsiaTheme="minorHAnsi"/>
                <w:lang w:eastAsia="en-US"/>
              </w:rPr>
            </w:pP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t>Limitovat administrativní zátěž pro konečného uživatele – administrativní zátěž by neměla být o mnoho větší než při využití komerčních produktů.</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ŘO využije standardizaci a zjednodušování postupů, které umožňují nadřazené metodiky, při zpracování dokumentace k FN, využije také postupy z bankovní praxe.</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4/2015</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 xml:space="preserve">ŘO - </w:t>
            </w:r>
            <w:r w:rsidRPr="000C38DC">
              <w:rPr>
                <w:rFonts w:eastAsiaTheme="minorHAnsi"/>
                <w:color w:val="000000"/>
                <w:lang w:eastAsia="en-US"/>
              </w:rPr>
              <w:t>oddělení 262, garant FN</w:t>
            </w:r>
          </w:p>
        </w:tc>
        <w:tc>
          <w:tcPr>
            <w:tcW w:w="3362" w:type="dxa"/>
            <w:vAlign w:val="center"/>
          </w:tcPr>
          <w:p w:rsidR="003A2352" w:rsidRPr="000C38DC" w:rsidRDefault="003A2352" w:rsidP="003A2352">
            <w:pPr>
              <w:spacing w:after="200" w:line="276" w:lineRule="auto"/>
              <w:rPr>
                <w:rFonts w:eastAsiaTheme="minorHAnsi"/>
                <w:lang w:eastAsia="en-US"/>
              </w:rPr>
            </w:pPr>
          </w:p>
        </w:tc>
      </w:tr>
      <w:tr w:rsidR="003A2352" w:rsidRPr="000C38DC" w:rsidTr="004E735C">
        <w:trPr>
          <w:trHeight w:val="123"/>
        </w:trPr>
        <w:tc>
          <w:tcPr>
            <w:tcW w:w="2301" w:type="dxa"/>
            <w:vMerge/>
            <w:noWrap/>
          </w:tcPr>
          <w:p w:rsidR="003A2352" w:rsidRPr="000C38DC" w:rsidRDefault="003A2352" w:rsidP="003A2352">
            <w:pPr>
              <w:spacing w:after="200" w:line="276" w:lineRule="auto"/>
              <w:rPr>
                <w:rFonts w:eastAsiaTheme="minorHAnsi"/>
                <w:lang w:eastAsia="en-US"/>
              </w:rPr>
            </w:pP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t xml:space="preserve">Sjednotit metodické prostředí, aby nedocházelo k roztříštěnosti přístupu, kritérií, požadavků apod. </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ŘO zapracuje veškeré metodické pokyny NOK pro implementaci FN do své řídící dokumentace (operační manuál).</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4/2015</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 xml:space="preserve">ŘO - </w:t>
            </w:r>
            <w:r w:rsidRPr="000C38DC">
              <w:rPr>
                <w:rFonts w:eastAsiaTheme="minorHAnsi"/>
                <w:color w:val="000000"/>
                <w:lang w:eastAsia="en-US"/>
              </w:rPr>
              <w:t>oddělení 262, garant FN</w:t>
            </w:r>
          </w:p>
        </w:tc>
        <w:tc>
          <w:tcPr>
            <w:tcW w:w="3362" w:type="dxa"/>
            <w:vAlign w:val="center"/>
          </w:tcPr>
          <w:p w:rsidR="003A2352" w:rsidRPr="000C38DC" w:rsidRDefault="003A2352" w:rsidP="003A2352">
            <w:pPr>
              <w:spacing w:after="200" w:line="276" w:lineRule="auto"/>
              <w:rPr>
                <w:rFonts w:eastAsiaTheme="minorHAnsi"/>
                <w:lang w:eastAsia="en-US"/>
              </w:rPr>
            </w:pPr>
          </w:p>
        </w:tc>
      </w:tr>
      <w:tr w:rsidR="003A2352" w:rsidRPr="000C38DC" w:rsidTr="004E735C">
        <w:trPr>
          <w:trHeight w:val="123"/>
        </w:trPr>
        <w:tc>
          <w:tcPr>
            <w:tcW w:w="2301" w:type="dxa"/>
            <w:vMerge/>
            <w:noWrap/>
          </w:tcPr>
          <w:p w:rsidR="003A2352" w:rsidRPr="000C38DC" w:rsidRDefault="003A2352" w:rsidP="003A2352">
            <w:pPr>
              <w:spacing w:after="200" w:line="276" w:lineRule="auto"/>
              <w:rPr>
                <w:rFonts w:eastAsiaTheme="minorHAnsi"/>
                <w:lang w:eastAsia="en-US"/>
              </w:rPr>
            </w:pPr>
          </w:p>
        </w:tc>
        <w:tc>
          <w:tcPr>
            <w:tcW w:w="2690" w:type="dxa"/>
          </w:tcPr>
          <w:p w:rsidR="003A2352" w:rsidRPr="000C38DC" w:rsidRDefault="003A2352" w:rsidP="002E608B">
            <w:pPr>
              <w:numPr>
                <w:ilvl w:val="0"/>
                <w:numId w:val="34"/>
              </w:numPr>
              <w:spacing w:after="200" w:line="276" w:lineRule="auto"/>
              <w:contextualSpacing/>
              <w:jc w:val="both"/>
              <w:rPr>
                <w:rFonts w:eastAsiaTheme="minorHAnsi"/>
                <w:lang w:eastAsia="en-US"/>
              </w:rPr>
            </w:pPr>
            <w:r w:rsidRPr="000C38DC">
              <w:rPr>
                <w:rFonts w:eastAsiaTheme="minorHAnsi"/>
                <w:lang w:eastAsia="en-US"/>
              </w:rPr>
              <w:t>V jednotlivých fázích implementace FN konzultovat nastavování všech strategických dokumentů se všemi subjekty implementace FN.</w:t>
            </w:r>
          </w:p>
        </w:tc>
        <w:tc>
          <w:tcPr>
            <w:tcW w:w="2555" w:type="dxa"/>
          </w:tcPr>
          <w:p w:rsidR="003A2352" w:rsidRPr="000C38DC" w:rsidRDefault="003A2352" w:rsidP="003A2352">
            <w:pPr>
              <w:spacing w:after="200" w:line="276" w:lineRule="auto"/>
              <w:jc w:val="both"/>
              <w:rPr>
                <w:rFonts w:eastAsiaTheme="minorHAnsi"/>
                <w:lang w:eastAsia="en-US"/>
              </w:rPr>
            </w:pPr>
            <w:r w:rsidRPr="000C38DC">
              <w:rPr>
                <w:rFonts w:eastAsiaTheme="minorHAnsi"/>
                <w:lang w:eastAsia="en-US"/>
              </w:rPr>
              <w:t>ŘO využije při zpracování kapitoly F Operačního manuálu IROP a jejich revizích připomínky subjektů implementace FN.</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do 4/2015 a v průběhu implementace FN</w:t>
            </w:r>
          </w:p>
        </w:tc>
        <w:tc>
          <w:tcPr>
            <w:tcW w:w="1614" w:type="dxa"/>
          </w:tcPr>
          <w:p w:rsidR="003A2352" w:rsidRPr="000C38DC" w:rsidRDefault="003A2352" w:rsidP="003A2352">
            <w:pPr>
              <w:spacing w:after="200" w:line="276" w:lineRule="auto"/>
              <w:rPr>
                <w:rFonts w:eastAsiaTheme="minorHAnsi"/>
                <w:lang w:eastAsia="en-US"/>
              </w:rPr>
            </w:pPr>
            <w:r w:rsidRPr="000C38DC">
              <w:rPr>
                <w:rFonts w:eastAsiaTheme="minorHAnsi"/>
                <w:lang w:eastAsia="en-US"/>
              </w:rPr>
              <w:t xml:space="preserve">ŘO - </w:t>
            </w:r>
            <w:r w:rsidRPr="000C38DC">
              <w:rPr>
                <w:rFonts w:eastAsiaTheme="minorHAnsi"/>
                <w:color w:val="000000"/>
                <w:lang w:eastAsia="en-US"/>
              </w:rPr>
              <w:t>oddělení 262, garant FN</w:t>
            </w:r>
          </w:p>
        </w:tc>
        <w:tc>
          <w:tcPr>
            <w:tcW w:w="3362" w:type="dxa"/>
            <w:vAlign w:val="center"/>
          </w:tcPr>
          <w:p w:rsidR="003A2352" w:rsidRPr="000C38DC" w:rsidRDefault="003A2352" w:rsidP="003A2352">
            <w:pPr>
              <w:spacing w:after="200" w:line="276" w:lineRule="auto"/>
              <w:rPr>
                <w:rFonts w:eastAsiaTheme="minorHAnsi"/>
                <w:lang w:eastAsia="en-US"/>
              </w:rPr>
            </w:pPr>
          </w:p>
        </w:tc>
      </w:tr>
    </w:tbl>
    <w:p w:rsidR="00CC5EFD" w:rsidRDefault="00CC5EFD">
      <w:pPr>
        <w:rPr>
          <w:rStyle w:val="Siln"/>
          <w:b w:val="0"/>
        </w:rPr>
      </w:pPr>
    </w:p>
    <w:p w:rsidR="00246927" w:rsidRDefault="00246927">
      <w:pPr>
        <w:rPr>
          <w:rStyle w:val="Siln"/>
          <w:b w:val="0"/>
        </w:rPr>
      </w:pPr>
      <w:r>
        <w:rPr>
          <w:rStyle w:val="Siln"/>
          <w:b w:val="0"/>
        </w:rPr>
        <w:br w:type="page"/>
      </w:r>
    </w:p>
    <w:p w:rsidR="00246927" w:rsidRDefault="00246927">
      <w:pPr>
        <w:rPr>
          <w:rStyle w:val="Siln"/>
          <w:b w:val="0"/>
        </w:rPr>
        <w:sectPr w:rsidR="00246927" w:rsidSect="003A2352">
          <w:pgSz w:w="16838" w:h="11906" w:orient="landscape"/>
          <w:pgMar w:top="1418" w:right="1418" w:bottom="1418" w:left="1418" w:header="709" w:footer="709" w:gutter="0"/>
          <w:cols w:space="708"/>
          <w:docGrid w:linePitch="360"/>
        </w:sectPr>
      </w:pPr>
    </w:p>
    <w:p w:rsidR="00246927" w:rsidRPr="003B5C47" w:rsidRDefault="00246927" w:rsidP="003B5C47">
      <w:pPr>
        <w:pStyle w:val="Nadpis3"/>
      </w:pPr>
      <w:bookmarkStart w:id="308" w:name="_Toc417024914"/>
      <w:r w:rsidRPr="003B5C47">
        <w:lastRenderedPageBreak/>
        <w:t>Příloha č. 4</w:t>
      </w:r>
      <w:r w:rsidR="003B5C47">
        <w:t xml:space="preserve"> – Krizový akční plán</w:t>
      </w:r>
      <w:bookmarkEnd w:id="308"/>
      <w:r w:rsidR="003B5C47">
        <w:t xml:space="preserve"> </w:t>
      </w:r>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1463"/>
        <w:gridCol w:w="1513"/>
        <w:gridCol w:w="933"/>
        <w:gridCol w:w="1394"/>
        <w:gridCol w:w="679"/>
        <w:gridCol w:w="1196"/>
        <w:gridCol w:w="1355"/>
        <w:gridCol w:w="1459"/>
        <w:gridCol w:w="1988"/>
        <w:gridCol w:w="1525"/>
      </w:tblGrid>
      <w:tr w:rsidR="00246927" w:rsidRPr="00246927" w:rsidTr="005B1D87">
        <w:trPr>
          <w:trHeight w:val="300"/>
        </w:trPr>
        <w:tc>
          <w:tcPr>
            <w:tcW w:w="5000" w:type="pct"/>
            <w:gridSpan w:val="11"/>
            <w:shd w:val="clear" w:color="000000" w:fill="C4D79B"/>
            <w:noWrap/>
            <w:vAlign w:val="center"/>
            <w:hideMark/>
          </w:tcPr>
          <w:p w:rsidR="00246927" w:rsidRPr="00246927" w:rsidRDefault="00246927" w:rsidP="00246927">
            <w:pPr>
              <w:rPr>
                <w:b/>
                <w:bCs/>
                <w:color w:val="000000"/>
              </w:rPr>
            </w:pPr>
            <w:r w:rsidRPr="00246927">
              <w:rPr>
                <w:b/>
                <w:bCs/>
                <w:color w:val="000000"/>
              </w:rPr>
              <w:t>Krizový plán Integrovaného operačního programu</w:t>
            </w:r>
          </w:p>
        </w:tc>
      </w:tr>
      <w:tr w:rsidR="00246927" w:rsidRPr="00246927" w:rsidTr="005B1D87">
        <w:trPr>
          <w:trHeight w:val="510"/>
        </w:trPr>
        <w:tc>
          <w:tcPr>
            <w:tcW w:w="225"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Číslo rizika</w:t>
            </w:r>
          </w:p>
        </w:tc>
        <w:tc>
          <w:tcPr>
            <w:tcW w:w="517"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Název rizika</w:t>
            </w:r>
          </w:p>
        </w:tc>
        <w:tc>
          <w:tcPr>
            <w:tcW w:w="535"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Popis rizika</w:t>
            </w:r>
          </w:p>
        </w:tc>
        <w:tc>
          <w:tcPr>
            <w:tcW w:w="330"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Číslo opatření</w:t>
            </w:r>
          </w:p>
        </w:tc>
        <w:tc>
          <w:tcPr>
            <w:tcW w:w="493"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Seznam opatření</w:t>
            </w:r>
          </w:p>
        </w:tc>
        <w:tc>
          <w:tcPr>
            <w:tcW w:w="240"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Gestor</w:t>
            </w:r>
          </w:p>
        </w:tc>
        <w:tc>
          <w:tcPr>
            <w:tcW w:w="423"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Termín</w:t>
            </w:r>
          </w:p>
        </w:tc>
        <w:tc>
          <w:tcPr>
            <w:tcW w:w="479"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Způsob ověření plnění opatření</w:t>
            </w:r>
          </w:p>
        </w:tc>
        <w:tc>
          <w:tcPr>
            <w:tcW w:w="516"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 xml:space="preserve">Postup plnění ke konci </w:t>
            </w:r>
            <w:r w:rsidRPr="005B1D87">
              <w:rPr>
                <w:b/>
                <w:bCs/>
                <w:color w:val="000000"/>
                <w:sz w:val="18"/>
                <w:szCs w:val="18"/>
              </w:rPr>
              <w:br/>
              <w:t>II. čtvrtletí 2014</w:t>
            </w:r>
          </w:p>
        </w:tc>
        <w:tc>
          <w:tcPr>
            <w:tcW w:w="703"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 xml:space="preserve">Postup plnění ke konci </w:t>
            </w:r>
            <w:r w:rsidRPr="005B1D87">
              <w:rPr>
                <w:b/>
                <w:bCs/>
                <w:color w:val="000000"/>
                <w:sz w:val="18"/>
                <w:szCs w:val="18"/>
              </w:rPr>
              <w:br/>
              <w:t>III. čtvrtletí 2014</w:t>
            </w:r>
          </w:p>
        </w:tc>
        <w:tc>
          <w:tcPr>
            <w:tcW w:w="539" w:type="pct"/>
            <w:shd w:val="clear" w:color="000000" w:fill="D8E4BC"/>
            <w:vAlign w:val="center"/>
            <w:hideMark/>
          </w:tcPr>
          <w:p w:rsidR="00246927" w:rsidRPr="005B1D87" w:rsidRDefault="00246927" w:rsidP="00246927">
            <w:pPr>
              <w:jc w:val="center"/>
              <w:rPr>
                <w:b/>
                <w:bCs/>
                <w:color w:val="000000"/>
                <w:sz w:val="18"/>
                <w:szCs w:val="18"/>
              </w:rPr>
            </w:pPr>
            <w:r w:rsidRPr="005B1D87">
              <w:rPr>
                <w:b/>
                <w:bCs/>
                <w:color w:val="000000"/>
                <w:sz w:val="18"/>
                <w:szCs w:val="18"/>
              </w:rPr>
              <w:t xml:space="preserve">Postup plnění ke konci </w:t>
            </w:r>
            <w:r w:rsidRPr="005B1D87">
              <w:rPr>
                <w:b/>
                <w:bCs/>
                <w:color w:val="000000"/>
                <w:sz w:val="18"/>
                <w:szCs w:val="18"/>
              </w:rPr>
              <w:br/>
              <w:t>IV. čtvrtletí 2014</w:t>
            </w:r>
          </w:p>
        </w:tc>
      </w:tr>
      <w:tr w:rsidR="00246927" w:rsidRPr="00246927" w:rsidTr="005B1D87">
        <w:trPr>
          <w:trHeight w:val="3060"/>
        </w:trPr>
        <w:tc>
          <w:tcPr>
            <w:tcW w:w="225"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1</w:t>
            </w:r>
          </w:p>
        </w:tc>
        <w:tc>
          <w:tcPr>
            <w:tcW w:w="517"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Nedočerpání volných a během realizace uvolňovaných finančních prostředků v IOP</w:t>
            </w:r>
          </w:p>
        </w:tc>
        <w:tc>
          <w:tcPr>
            <w:tcW w:w="535"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xml:space="preserve">Vlivem intervence ČNB v listopadu 2013 došlo ke skokovému oslabení koruny vůči euru z 25,7 na 27,5, tím došlo k navýšení disponibilní alokace. Existuje související riziko a to </w:t>
            </w:r>
            <w:proofErr w:type="spellStart"/>
            <w:r w:rsidRPr="005B1D87">
              <w:rPr>
                <w:color w:val="000000"/>
                <w:sz w:val="18"/>
                <w:szCs w:val="18"/>
              </w:rPr>
              <w:t>přezávazkování</w:t>
            </w:r>
            <w:proofErr w:type="spellEnd"/>
            <w:r w:rsidRPr="005B1D87">
              <w:rPr>
                <w:color w:val="000000"/>
                <w:sz w:val="18"/>
                <w:szCs w:val="18"/>
              </w:rPr>
              <w:t xml:space="preserve"> programu při posílení české koruny v letech 2014 a 2015.</w:t>
            </w:r>
          </w:p>
        </w:tc>
        <w:tc>
          <w:tcPr>
            <w:tcW w:w="33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1.1</w:t>
            </w:r>
          </w:p>
        </w:tc>
        <w:tc>
          <w:tcPr>
            <w:tcW w:w="49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xml:space="preserve">Podrobná vnitřní analýza dočerpání finančních prostředků programu pro roky 2014 a 2015 s cílem identifikovat vhodná opatření v jednotlivých oblastech intervence (vyhlášení nebo navýšení výzev, rozpuštění zásobníků projektů, </w:t>
            </w:r>
            <w:proofErr w:type="spellStart"/>
            <w:r w:rsidRPr="005B1D87">
              <w:rPr>
                <w:color w:val="000000"/>
                <w:sz w:val="18"/>
                <w:szCs w:val="18"/>
              </w:rPr>
              <w:t>přezávazkování</w:t>
            </w:r>
            <w:proofErr w:type="spellEnd"/>
            <w:r w:rsidRPr="005B1D87">
              <w:rPr>
                <w:color w:val="000000"/>
                <w:sz w:val="18"/>
                <w:szCs w:val="18"/>
              </w:rPr>
              <w:t xml:space="preserve"> a využití 10% flexibility mezi prioritními osami)</w:t>
            </w:r>
          </w:p>
        </w:tc>
        <w:tc>
          <w:tcPr>
            <w:tcW w:w="24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ŘO</w:t>
            </w:r>
          </w:p>
        </w:tc>
        <w:tc>
          <w:tcPr>
            <w:tcW w:w="423"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10. 3. 2014; měsíčně</w:t>
            </w:r>
          </w:p>
        </w:tc>
        <w:tc>
          <w:tcPr>
            <w:tcW w:w="479"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xml:space="preserve">ŘO zašle MMR-NOK do 15. 3. 2014 zpracovanou analýzu a dále bude zasílat vždy nejpozději k 15. dni následujícího měsíce měsíční monitorovací zprávu pro vedení MMR. </w:t>
            </w:r>
          </w:p>
        </w:tc>
        <w:tc>
          <w:tcPr>
            <w:tcW w:w="516" w:type="pct"/>
            <w:shd w:val="clear" w:color="auto" w:fill="auto"/>
            <w:vAlign w:val="center"/>
            <w:hideMark/>
          </w:tcPr>
          <w:p w:rsidR="00246927" w:rsidRPr="005B1D87" w:rsidRDefault="00246927" w:rsidP="00F73645">
            <w:pPr>
              <w:rPr>
                <w:sz w:val="18"/>
                <w:szCs w:val="18"/>
              </w:rPr>
            </w:pPr>
            <w:r w:rsidRPr="005B1D87">
              <w:rPr>
                <w:sz w:val="18"/>
                <w:szCs w:val="18"/>
              </w:rPr>
              <w:t xml:space="preserve">Splněno, 17.3.2014 byl předložen materiál na poradu vedení MMR "Analýza dočerpání Integrovaného operačního programu", </w:t>
            </w:r>
            <w:proofErr w:type="gramStart"/>
            <w:r w:rsidRPr="005B1D87">
              <w:rPr>
                <w:sz w:val="18"/>
                <w:szCs w:val="18"/>
              </w:rPr>
              <w:t>č.j.</w:t>
            </w:r>
            <w:proofErr w:type="gramEnd"/>
            <w:r w:rsidRPr="005B1D87">
              <w:rPr>
                <w:sz w:val="18"/>
                <w:szCs w:val="18"/>
              </w:rPr>
              <w:t xml:space="preserve">  9513/2014-26. O průběžném stavu informuje ŘO vedení MMR každý měsíc prostřednict</w:t>
            </w:r>
            <w:r w:rsidR="00F73645" w:rsidRPr="005B1D87">
              <w:rPr>
                <w:sz w:val="18"/>
                <w:szCs w:val="18"/>
              </w:rPr>
              <w:t>v</w:t>
            </w:r>
            <w:r w:rsidRPr="005B1D87">
              <w:rPr>
                <w:sz w:val="18"/>
                <w:szCs w:val="18"/>
              </w:rPr>
              <w:t xml:space="preserve">ím Měsíční monitorovací zprávy IOP. </w:t>
            </w:r>
          </w:p>
        </w:tc>
        <w:tc>
          <w:tcPr>
            <w:tcW w:w="703" w:type="pct"/>
            <w:shd w:val="clear" w:color="auto" w:fill="auto"/>
            <w:vAlign w:val="center"/>
            <w:hideMark/>
          </w:tcPr>
          <w:p w:rsidR="00246927" w:rsidRPr="005B1D87" w:rsidRDefault="00246927" w:rsidP="00F73645">
            <w:pPr>
              <w:rPr>
                <w:sz w:val="18"/>
                <w:szCs w:val="18"/>
              </w:rPr>
            </w:pPr>
            <w:r w:rsidRPr="005B1D87">
              <w:rPr>
                <w:sz w:val="18"/>
                <w:szCs w:val="18"/>
              </w:rPr>
              <w:t xml:space="preserve">Splněno, 17.3.2014 byl předložen materiál na poradu vedení MMR "Analýza dočerpání Integrovaného operačního programu", </w:t>
            </w:r>
            <w:proofErr w:type="gramStart"/>
            <w:r w:rsidRPr="005B1D87">
              <w:rPr>
                <w:sz w:val="18"/>
                <w:szCs w:val="18"/>
              </w:rPr>
              <w:t>č.j.</w:t>
            </w:r>
            <w:proofErr w:type="gramEnd"/>
            <w:r w:rsidRPr="005B1D87">
              <w:rPr>
                <w:sz w:val="18"/>
                <w:szCs w:val="18"/>
              </w:rPr>
              <w:t xml:space="preserve">  9513/2014-26. O průběžném stavu informuje ŘO vedení MMR každý měsíc prostřednict</w:t>
            </w:r>
            <w:r w:rsidR="00F73645" w:rsidRPr="005B1D87">
              <w:rPr>
                <w:sz w:val="18"/>
                <w:szCs w:val="18"/>
              </w:rPr>
              <w:t>v</w:t>
            </w:r>
            <w:r w:rsidRPr="005B1D87">
              <w:rPr>
                <w:sz w:val="18"/>
                <w:szCs w:val="18"/>
              </w:rPr>
              <w:t xml:space="preserve">ím Měsíční monitorovací zprávy IOP. Připravuje se aktualizace Strategie dočerpání (předložení začátkem října). </w:t>
            </w:r>
          </w:p>
        </w:tc>
        <w:tc>
          <w:tcPr>
            <w:tcW w:w="539"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xml:space="preserve">Splněno. </w:t>
            </w:r>
            <w:r w:rsidR="005B1D87" w:rsidRPr="005B1D87">
              <w:rPr>
                <w:color w:val="000000"/>
                <w:sz w:val="18"/>
                <w:szCs w:val="18"/>
              </w:rPr>
              <w:br/>
            </w:r>
            <w:r w:rsidRPr="005B1D87">
              <w:rPr>
                <w:color w:val="000000"/>
                <w:sz w:val="18"/>
                <w:szCs w:val="18"/>
              </w:rPr>
              <w:t xml:space="preserve">O průběžném stavu informuje ŘO vedení MMR každý měsíc prostřednictvím Měsíční monitorovací zprávy IOP. V říjnu a počátkem prosince provedl aktualizaci Strategie dočerpání IOP. Další aktualizace Strategie dočerpání IOP je plánována na konec ledna 2015. Ve stejném termínu zpracuje Plán čerpání IOP na roky 2015 a 2016.  </w:t>
            </w:r>
          </w:p>
        </w:tc>
      </w:tr>
      <w:tr w:rsidR="00246927" w:rsidRPr="00246927" w:rsidTr="005B1D87">
        <w:trPr>
          <w:trHeight w:val="410"/>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K navýšení disponibilní alokace dochází dále díky úsporám v projektech a vracenými prostředky z korekcí a sankcí</w:t>
            </w:r>
          </w:p>
        </w:tc>
        <w:tc>
          <w:tcPr>
            <w:tcW w:w="33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w:t>
            </w:r>
          </w:p>
        </w:tc>
        <w:tc>
          <w:tcPr>
            <w:tcW w:w="49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w:t>
            </w:r>
          </w:p>
        </w:tc>
        <w:tc>
          <w:tcPr>
            <w:tcW w:w="24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w:t>
            </w:r>
          </w:p>
        </w:tc>
        <w:tc>
          <w:tcPr>
            <w:tcW w:w="423"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w:t>
            </w:r>
          </w:p>
        </w:tc>
        <w:tc>
          <w:tcPr>
            <w:tcW w:w="479"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w:t>
            </w:r>
          </w:p>
        </w:tc>
        <w:tc>
          <w:tcPr>
            <w:tcW w:w="516"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w:t>
            </w:r>
          </w:p>
        </w:tc>
        <w:tc>
          <w:tcPr>
            <w:tcW w:w="70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w:t>
            </w:r>
          </w:p>
        </w:tc>
        <w:tc>
          <w:tcPr>
            <w:tcW w:w="539" w:type="pct"/>
            <w:shd w:val="clear" w:color="auto" w:fill="auto"/>
            <w:vAlign w:val="center"/>
            <w:hideMark/>
          </w:tcPr>
          <w:p w:rsidR="00246927" w:rsidRPr="00246927" w:rsidRDefault="00246927" w:rsidP="00246927">
            <w:pPr>
              <w:rPr>
                <w:color w:val="000000"/>
              </w:rPr>
            </w:pPr>
            <w:r w:rsidRPr="00246927">
              <w:rPr>
                <w:color w:val="000000"/>
              </w:rPr>
              <w:t> </w:t>
            </w:r>
          </w:p>
        </w:tc>
      </w:tr>
      <w:tr w:rsidR="00246927" w:rsidRPr="00246927" w:rsidTr="005B1D87">
        <w:trPr>
          <w:trHeight w:val="2805"/>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xml:space="preserve">Uvolňované prostředky se vrací do programu s časovým zpožděním a proto uvolněné prostředky v letech 2014 a 2015 nebude možné efektivně využít z důvodu krátkého termínu pro realizaci případných nových záměrů. </w:t>
            </w:r>
          </w:p>
        </w:tc>
        <w:tc>
          <w:tcPr>
            <w:tcW w:w="33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w:t>
            </w:r>
          </w:p>
        </w:tc>
        <w:tc>
          <w:tcPr>
            <w:tcW w:w="493"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w:t>
            </w:r>
          </w:p>
        </w:tc>
        <w:tc>
          <w:tcPr>
            <w:tcW w:w="240"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w:t>
            </w:r>
          </w:p>
        </w:tc>
        <w:tc>
          <w:tcPr>
            <w:tcW w:w="42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w:t>
            </w:r>
          </w:p>
        </w:tc>
        <w:tc>
          <w:tcPr>
            <w:tcW w:w="479"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w:t>
            </w:r>
          </w:p>
        </w:tc>
        <w:tc>
          <w:tcPr>
            <w:tcW w:w="516"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w:t>
            </w:r>
          </w:p>
        </w:tc>
        <w:tc>
          <w:tcPr>
            <w:tcW w:w="703"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 </w:t>
            </w:r>
          </w:p>
        </w:tc>
        <w:tc>
          <w:tcPr>
            <w:tcW w:w="539" w:type="pct"/>
            <w:shd w:val="clear" w:color="auto" w:fill="auto"/>
            <w:vAlign w:val="center"/>
            <w:hideMark/>
          </w:tcPr>
          <w:p w:rsidR="00246927" w:rsidRPr="00246927" w:rsidRDefault="00246927" w:rsidP="00246927">
            <w:pPr>
              <w:jc w:val="center"/>
              <w:rPr>
                <w:color w:val="000000"/>
              </w:rPr>
            </w:pPr>
            <w:r w:rsidRPr="00246927">
              <w:rPr>
                <w:color w:val="000000"/>
              </w:rPr>
              <w:t> </w:t>
            </w:r>
          </w:p>
        </w:tc>
      </w:tr>
      <w:tr w:rsidR="00246927" w:rsidRPr="00246927" w:rsidTr="005B1D87">
        <w:trPr>
          <w:trHeight w:val="3315"/>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t>2</w:t>
            </w:r>
          </w:p>
        </w:tc>
        <w:tc>
          <w:tcPr>
            <w:tcW w:w="517" w:type="pct"/>
            <w:shd w:val="clear" w:color="auto" w:fill="auto"/>
            <w:vAlign w:val="center"/>
            <w:hideMark/>
          </w:tcPr>
          <w:p w:rsidR="00246927" w:rsidRPr="00246927" w:rsidRDefault="00246927" w:rsidP="00246927">
            <w:pPr>
              <w:rPr>
                <w:color w:val="000000"/>
              </w:rPr>
            </w:pPr>
            <w:r w:rsidRPr="00246927">
              <w:rPr>
                <w:color w:val="000000"/>
              </w:rPr>
              <w:t>Nesplnění limitu čerpání pro rok 2014</w:t>
            </w:r>
          </w:p>
        </w:tc>
        <w:tc>
          <w:tcPr>
            <w:tcW w:w="535"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Dosažení limitů čerpání podle pravidla N+2 pro rok 2014 negativně ovlivňuje zpožďování realizace projektů, chyby a prodlevy při jejich realizaci a administraci, úspory v projektech a komplikace spojené s prošetřováním veřejných zakázek ÚOHS.</w:t>
            </w:r>
          </w:p>
        </w:tc>
        <w:tc>
          <w:tcPr>
            <w:tcW w:w="33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2.1</w:t>
            </w:r>
          </w:p>
        </w:tc>
        <w:tc>
          <w:tcPr>
            <w:tcW w:w="49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Stanovení kvartálních milníků čerpání pro ZS IOP a zajištění průběžné kontroly prostřednictvím měsíčního reportingu o stavu vývoje programu pro vedení MMR.</w:t>
            </w:r>
          </w:p>
        </w:tc>
        <w:tc>
          <w:tcPr>
            <w:tcW w:w="24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ŘO</w:t>
            </w:r>
          </w:p>
        </w:tc>
        <w:tc>
          <w:tcPr>
            <w:tcW w:w="423"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měsíčně</w:t>
            </w:r>
          </w:p>
        </w:tc>
        <w:tc>
          <w:tcPr>
            <w:tcW w:w="479"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ŘO zašle vždy nejpozději k 15. dni v následujícím měsíci kopii měsíčního reportingu o stavu vývoje programu pro vedení MMR na MMR-NOK.</w:t>
            </w:r>
          </w:p>
        </w:tc>
        <w:tc>
          <w:tcPr>
            <w:tcW w:w="516" w:type="pct"/>
            <w:shd w:val="clear" w:color="auto" w:fill="auto"/>
            <w:vAlign w:val="center"/>
            <w:hideMark/>
          </w:tcPr>
          <w:p w:rsidR="00246927" w:rsidRPr="005B1D87" w:rsidRDefault="00246927" w:rsidP="00C477C9">
            <w:pPr>
              <w:rPr>
                <w:sz w:val="18"/>
                <w:szCs w:val="18"/>
              </w:rPr>
            </w:pPr>
            <w:r w:rsidRPr="005B1D87">
              <w:rPr>
                <w:sz w:val="18"/>
                <w:szCs w:val="18"/>
              </w:rPr>
              <w:t>O průběžném stavu informuje ŘO vedení MMR každý měsíc prostřednict</w:t>
            </w:r>
            <w:r w:rsidR="00C477C9" w:rsidRPr="005B1D87">
              <w:rPr>
                <w:sz w:val="18"/>
                <w:szCs w:val="18"/>
              </w:rPr>
              <w:t>v</w:t>
            </w:r>
            <w:r w:rsidRPr="005B1D87">
              <w:rPr>
                <w:sz w:val="18"/>
                <w:szCs w:val="18"/>
              </w:rPr>
              <w:t xml:space="preserve">ím Měsíční monitorovací zprávy IOP. </w:t>
            </w:r>
          </w:p>
        </w:tc>
        <w:tc>
          <w:tcPr>
            <w:tcW w:w="703" w:type="pct"/>
            <w:shd w:val="clear" w:color="auto" w:fill="auto"/>
            <w:vAlign w:val="center"/>
            <w:hideMark/>
          </w:tcPr>
          <w:p w:rsidR="00246927" w:rsidRPr="005B1D87" w:rsidRDefault="00246927" w:rsidP="00C477C9">
            <w:pPr>
              <w:rPr>
                <w:sz w:val="18"/>
                <w:szCs w:val="18"/>
              </w:rPr>
            </w:pPr>
            <w:r w:rsidRPr="005B1D87">
              <w:rPr>
                <w:sz w:val="18"/>
                <w:szCs w:val="18"/>
              </w:rPr>
              <w:t>O průběžném stavu informuje ŘO vedení MMR každý měsíc prostřednict</w:t>
            </w:r>
            <w:r w:rsidR="00C477C9" w:rsidRPr="005B1D87">
              <w:rPr>
                <w:sz w:val="18"/>
                <w:szCs w:val="18"/>
              </w:rPr>
              <w:t>v</w:t>
            </w:r>
            <w:r w:rsidRPr="005B1D87">
              <w:rPr>
                <w:sz w:val="18"/>
                <w:szCs w:val="18"/>
              </w:rPr>
              <w:t xml:space="preserve">ím Měsíční monitorovací zprávy IOP. </w:t>
            </w:r>
          </w:p>
        </w:tc>
        <w:tc>
          <w:tcPr>
            <w:tcW w:w="539" w:type="pct"/>
            <w:shd w:val="clear" w:color="auto" w:fill="auto"/>
            <w:vAlign w:val="center"/>
            <w:hideMark/>
          </w:tcPr>
          <w:p w:rsidR="00246927" w:rsidRPr="00246927" w:rsidRDefault="00246927" w:rsidP="00C477C9">
            <w:pPr>
              <w:jc w:val="center"/>
              <w:rPr>
                <w:color w:val="000000"/>
              </w:rPr>
            </w:pPr>
            <w:r w:rsidRPr="005B1D87">
              <w:rPr>
                <w:color w:val="000000"/>
                <w:sz w:val="18"/>
                <w:szCs w:val="18"/>
              </w:rPr>
              <w:t>Splněno. ŘO informoval vedení MMR každý měsíc prostřednict</w:t>
            </w:r>
            <w:r w:rsidR="00C477C9" w:rsidRPr="005B1D87">
              <w:rPr>
                <w:color w:val="000000"/>
                <w:sz w:val="18"/>
                <w:szCs w:val="18"/>
              </w:rPr>
              <w:t>v</w:t>
            </w:r>
            <w:r w:rsidRPr="005B1D87">
              <w:rPr>
                <w:color w:val="000000"/>
                <w:sz w:val="18"/>
                <w:szCs w:val="18"/>
              </w:rPr>
              <w:t>ím Měsíční monitorovací zprávy IOP</w:t>
            </w:r>
            <w:r w:rsidRPr="00246927">
              <w:rPr>
                <w:color w:val="000000"/>
              </w:rPr>
              <w:t xml:space="preserve">. </w:t>
            </w:r>
          </w:p>
        </w:tc>
      </w:tr>
      <w:tr w:rsidR="00246927" w:rsidRPr="00246927" w:rsidTr="005B1D87">
        <w:trPr>
          <w:trHeight w:val="4335"/>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 </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2.2</w:t>
            </w:r>
          </w:p>
        </w:tc>
        <w:tc>
          <w:tcPr>
            <w:tcW w:w="493" w:type="pct"/>
            <w:shd w:val="clear" w:color="auto" w:fill="auto"/>
            <w:vAlign w:val="center"/>
            <w:hideMark/>
          </w:tcPr>
          <w:p w:rsidR="00246927" w:rsidRPr="00246927" w:rsidRDefault="00246927" w:rsidP="00246927">
            <w:pPr>
              <w:rPr>
                <w:color w:val="000000"/>
              </w:rPr>
            </w:pPr>
            <w:r w:rsidRPr="00246927">
              <w:rPr>
                <w:color w:val="000000"/>
              </w:rPr>
              <w:t xml:space="preserve">Materiál do vlády s cílem uložit u spících a vysoce rizikových projektů zajištění urychleného odstranění bariér v realizaci nebo nařídit jejich ukončení ze strany příjemce. </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w:t>
            </w:r>
          </w:p>
        </w:tc>
        <w:tc>
          <w:tcPr>
            <w:tcW w:w="423" w:type="pct"/>
            <w:shd w:val="clear" w:color="auto" w:fill="auto"/>
            <w:vAlign w:val="center"/>
            <w:hideMark/>
          </w:tcPr>
          <w:p w:rsidR="00246927" w:rsidRPr="00246927" w:rsidRDefault="00246927" w:rsidP="00246927">
            <w:pPr>
              <w:jc w:val="center"/>
              <w:rPr>
                <w:color w:val="000000"/>
              </w:rPr>
            </w:pPr>
            <w:proofErr w:type="gramStart"/>
            <w:r w:rsidRPr="00246927">
              <w:rPr>
                <w:color w:val="000000"/>
              </w:rPr>
              <w:t>20.3.2014</w:t>
            </w:r>
            <w:proofErr w:type="gramEnd"/>
          </w:p>
        </w:tc>
        <w:tc>
          <w:tcPr>
            <w:tcW w:w="479" w:type="pct"/>
            <w:shd w:val="clear" w:color="auto" w:fill="auto"/>
            <w:vAlign w:val="center"/>
            <w:hideMark/>
          </w:tcPr>
          <w:p w:rsidR="00246927" w:rsidRPr="00246927" w:rsidRDefault="00246927" w:rsidP="00246927">
            <w:pPr>
              <w:rPr>
                <w:color w:val="000000"/>
              </w:rPr>
            </w:pPr>
            <w:r w:rsidRPr="00246927">
              <w:rPr>
                <w:color w:val="000000"/>
              </w:rPr>
              <w:t>ŘO zašle MMR-NOK materiál do vlády a souhrnnou informaci o navržených opatřeních na straně příjemců.</w:t>
            </w:r>
          </w:p>
        </w:tc>
        <w:tc>
          <w:tcPr>
            <w:tcW w:w="516" w:type="pct"/>
            <w:shd w:val="clear" w:color="auto" w:fill="auto"/>
            <w:vAlign w:val="center"/>
            <w:hideMark/>
          </w:tcPr>
          <w:p w:rsidR="00246927" w:rsidRPr="00246927" w:rsidRDefault="00246927" w:rsidP="00246927">
            <w:r w:rsidRPr="00246927">
              <w:t xml:space="preserve">Splněno. O vývoji je vedení MMR průběžně informováno, vláda projednala 4. 7. 2014, na základě usnesení č. 432/2014 připravená aktualizace a jednání s vedením dotčených resortů </w:t>
            </w:r>
            <w:proofErr w:type="gramStart"/>
            <w:r w:rsidRPr="00246927">
              <w:t>21.7.2014</w:t>
            </w:r>
            <w:proofErr w:type="gramEnd"/>
            <w:r w:rsidRPr="00246927">
              <w:t>.</w:t>
            </w:r>
          </w:p>
        </w:tc>
        <w:tc>
          <w:tcPr>
            <w:tcW w:w="703" w:type="pct"/>
            <w:shd w:val="clear" w:color="auto" w:fill="auto"/>
            <w:vAlign w:val="center"/>
            <w:hideMark/>
          </w:tcPr>
          <w:p w:rsidR="00246927" w:rsidRPr="00246927" w:rsidRDefault="00246927" w:rsidP="00246927">
            <w:pPr>
              <w:rPr>
                <w:color w:val="000000"/>
              </w:rPr>
            </w:pPr>
            <w:r w:rsidRPr="00246927">
              <w:rPr>
                <w:color w:val="000000"/>
              </w:rPr>
              <w:t xml:space="preserve">Provedena revize problémových a spících projektů a tato předložena pro informaci vedení MMR. Na základě výsledků revize připravovány </w:t>
            </w:r>
            <w:proofErr w:type="gramStart"/>
            <w:r w:rsidRPr="00246927">
              <w:rPr>
                <w:color w:val="000000"/>
              </w:rPr>
              <w:t>dopisy 1.NM</w:t>
            </w:r>
            <w:proofErr w:type="gramEnd"/>
            <w:r w:rsidRPr="00246927">
              <w:rPr>
                <w:color w:val="000000"/>
              </w:rPr>
              <w:t xml:space="preserve"> MMR na statutární zástupce institucí, pod nimiž jsou problémové projekty realizovány - upozornění na problematický stav projektů + možné dopady v případě, že se dotčené projekty nepodaří realizovat ve schválených harmonogramech a požadavek na  zaslání informace o seznamu reálných opatření přijatých příjemci pro zdárné dokončení projektu. </w:t>
            </w:r>
          </w:p>
        </w:tc>
        <w:tc>
          <w:tcPr>
            <w:tcW w:w="539" w:type="pct"/>
            <w:shd w:val="clear" w:color="auto" w:fill="auto"/>
            <w:vAlign w:val="center"/>
            <w:hideMark/>
          </w:tcPr>
          <w:p w:rsidR="00246927" w:rsidRPr="00246927" w:rsidRDefault="00246927" w:rsidP="00246927">
            <w:pPr>
              <w:jc w:val="center"/>
              <w:rPr>
                <w:color w:val="000000"/>
              </w:rPr>
            </w:pPr>
            <w:r w:rsidRPr="00246927">
              <w:rPr>
                <w:color w:val="000000"/>
              </w:rPr>
              <w:t>Splněno. Další revizi přehledu problémových a vysoce rizikových projektů zpracuje ŘO na konci ledna 2015 a předloží ji do porady vedení.</w:t>
            </w:r>
          </w:p>
        </w:tc>
      </w:tr>
      <w:tr w:rsidR="00246927" w:rsidRPr="00246927" w:rsidTr="005B1D87">
        <w:trPr>
          <w:trHeight w:val="1402"/>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ŘO IOP eviduje a ve spolupráci se ZS IOP stanovuje opatření pro vysoce rizikové nebo tzv.  spící projekty, u kterých je problematická realizace.</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2.3</w:t>
            </w:r>
          </w:p>
        </w:tc>
        <w:tc>
          <w:tcPr>
            <w:tcW w:w="493" w:type="pct"/>
            <w:shd w:val="clear" w:color="auto" w:fill="auto"/>
            <w:vAlign w:val="center"/>
            <w:hideMark/>
          </w:tcPr>
          <w:p w:rsidR="00246927" w:rsidRPr="00246927" w:rsidRDefault="00246927" w:rsidP="00246927">
            <w:pPr>
              <w:rPr>
                <w:color w:val="000000"/>
              </w:rPr>
            </w:pPr>
            <w:r w:rsidRPr="00246927">
              <w:rPr>
                <w:color w:val="000000"/>
              </w:rPr>
              <w:t>Ukončení projektů ze strany příjemce v návaznosti na materiál do vlády předložený do 28. 2. 2014</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w:t>
            </w:r>
          </w:p>
        </w:tc>
        <w:tc>
          <w:tcPr>
            <w:tcW w:w="423" w:type="pct"/>
            <w:shd w:val="clear" w:color="auto" w:fill="auto"/>
            <w:vAlign w:val="center"/>
            <w:hideMark/>
          </w:tcPr>
          <w:p w:rsidR="00246927" w:rsidRPr="00246927" w:rsidRDefault="00246927" w:rsidP="00246927">
            <w:pPr>
              <w:jc w:val="center"/>
              <w:rPr>
                <w:color w:val="000000"/>
              </w:rPr>
            </w:pPr>
            <w:proofErr w:type="gramStart"/>
            <w:r w:rsidRPr="00246927">
              <w:rPr>
                <w:color w:val="000000"/>
              </w:rPr>
              <w:t>30.4.2014</w:t>
            </w:r>
            <w:proofErr w:type="gramEnd"/>
          </w:p>
        </w:tc>
        <w:tc>
          <w:tcPr>
            <w:tcW w:w="479" w:type="pct"/>
            <w:shd w:val="clear" w:color="auto" w:fill="auto"/>
            <w:vAlign w:val="center"/>
            <w:hideMark/>
          </w:tcPr>
          <w:p w:rsidR="00246927" w:rsidRPr="00246927" w:rsidRDefault="00246927" w:rsidP="00246927">
            <w:pPr>
              <w:rPr>
                <w:color w:val="000000"/>
              </w:rPr>
            </w:pPr>
            <w:r w:rsidRPr="00246927">
              <w:rPr>
                <w:color w:val="000000"/>
              </w:rPr>
              <w:t xml:space="preserve">ŘO zašle do 15. 5. 2014 MMR-NOK souhrnnou informaci o počtu a sumě ukončených projektů ze strany příjemce v návaznosti na materiál </w:t>
            </w:r>
            <w:r w:rsidRPr="00246927">
              <w:rPr>
                <w:color w:val="000000"/>
              </w:rPr>
              <w:lastRenderedPageBreak/>
              <w:t>do vlády ČR.</w:t>
            </w:r>
          </w:p>
        </w:tc>
        <w:tc>
          <w:tcPr>
            <w:tcW w:w="516" w:type="pct"/>
            <w:shd w:val="clear" w:color="auto" w:fill="auto"/>
            <w:vAlign w:val="center"/>
            <w:hideMark/>
          </w:tcPr>
          <w:p w:rsidR="00246927" w:rsidRPr="00246927" w:rsidRDefault="00246927" w:rsidP="00246927">
            <w:r w:rsidRPr="00246927">
              <w:lastRenderedPageBreak/>
              <w:t xml:space="preserve">Splněno. O vývoji je vedení MMR průběžně informováno, vláda projednala 4. 7. 2014, na základě usnesení č. 432/2014 připravená aktualizace a </w:t>
            </w:r>
            <w:r w:rsidRPr="00246927">
              <w:lastRenderedPageBreak/>
              <w:t xml:space="preserve">jednání s vedením dotčených resortů </w:t>
            </w:r>
            <w:proofErr w:type="gramStart"/>
            <w:r w:rsidRPr="00246927">
              <w:t>21.7.2014</w:t>
            </w:r>
            <w:proofErr w:type="gramEnd"/>
            <w:r w:rsidRPr="00246927">
              <w:t>.</w:t>
            </w:r>
          </w:p>
        </w:tc>
        <w:tc>
          <w:tcPr>
            <w:tcW w:w="703" w:type="pct"/>
            <w:shd w:val="clear" w:color="auto" w:fill="auto"/>
            <w:noWrap/>
            <w:vAlign w:val="center"/>
            <w:hideMark/>
          </w:tcPr>
          <w:p w:rsidR="00246927" w:rsidRPr="00246927" w:rsidRDefault="00246927" w:rsidP="00246927">
            <w:pPr>
              <w:rPr>
                <w:color w:val="000000"/>
              </w:rPr>
            </w:pPr>
            <w:r w:rsidRPr="00246927">
              <w:rPr>
                <w:color w:val="000000"/>
              </w:rPr>
              <w:lastRenderedPageBreak/>
              <w:t> </w:t>
            </w:r>
          </w:p>
        </w:tc>
        <w:tc>
          <w:tcPr>
            <w:tcW w:w="539" w:type="pct"/>
            <w:shd w:val="clear" w:color="auto" w:fill="auto"/>
            <w:vAlign w:val="center"/>
            <w:hideMark/>
          </w:tcPr>
          <w:p w:rsidR="00246927" w:rsidRPr="00246927" w:rsidRDefault="00246927" w:rsidP="00246927">
            <w:pPr>
              <w:jc w:val="center"/>
              <w:rPr>
                <w:color w:val="000000"/>
              </w:rPr>
            </w:pPr>
            <w:r w:rsidRPr="00246927">
              <w:rPr>
                <w:color w:val="000000"/>
              </w:rPr>
              <w:t>Splněno. Další revizi přehledu problémových a vysoce rizikových projektů provede ŘO na konci ledna 2015 a předloží ji do porady vedení.</w:t>
            </w:r>
          </w:p>
        </w:tc>
      </w:tr>
      <w:tr w:rsidR="00246927" w:rsidRPr="00246927" w:rsidTr="005B1D87">
        <w:trPr>
          <w:trHeight w:val="1020"/>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 </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2.4</w:t>
            </w:r>
          </w:p>
        </w:tc>
        <w:tc>
          <w:tcPr>
            <w:tcW w:w="493" w:type="pct"/>
            <w:shd w:val="clear" w:color="auto" w:fill="auto"/>
            <w:vAlign w:val="center"/>
            <w:hideMark/>
          </w:tcPr>
          <w:p w:rsidR="00246927" w:rsidRPr="00246927" w:rsidRDefault="00246927" w:rsidP="00246927">
            <w:pPr>
              <w:rPr>
                <w:color w:val="000000"/>
              </w:rPr>
            </w:pPr>
            <w:r w:rsidRPr="00246927">
              <w:rPr>
                <w:color w:val="000000"/>
              </w:rPr>
              <w:t>Úprava „závazných postupů NOK“.</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 xml:space="preserve">MMR </w:t>
            </w:r>
          </w:p>
        </w:tc>
        <w:tc>
          <w:tcPr>
            <w:tcW w:w="423" w:type="pct"/>
            <w:shd w:val="clear" w:color="auto" w:fill="auto"/>
            <w:vAlign w:val="center"/>
            <w:hideMark/>
          </w:tcPr>
          <w:p w:rsidR="00246927" w:rsidRPr="00246927" w:rsidRDefault="00246927" w:rsidP="00246927">
            <w:pPr>
              <w:jc w:val="center"/>
              <w:rPr>
                <w:color w:val="000000"/>
              </w:rPr>
            </w:pPr>
            <w:r w:rsidRPr="00246927">
              <w:rPr>
                <w:color w:val="000000"/>
              </w:rPr>
              <w:t>do 30. 4. 2014</w:t>
            </w:r>
          </w:p>
        </w:tc>
        <w:tc>
          <w:tcPr>
            <w:tcW w:w="479" w:type="pct"/>
            <w:shd w:val="clear" w:color="auto" w:fill="auto"/>
            <w:vAlign w:val="center"/>
            <w:hideMark/>
          </w:tcPr>
          <w:p w:rsidR="00246927" w:rsidRPr="00246927" w:rsidRDefault="00246927" w:rsidP="00246927">
            <w:pPr>
              <w:rPr>
                <w:color w:val="000000"/>
              </w:rPr>
            </w:pPr>
            <w:r w:rsidRPr="00246927">
              <w:rPr>
                <w:color w:val="000000"/>
              </w:rPr>
              <w:t>MMR-NOK zajistí v rámci aktualizace závazných postupů.</w:t>
            </w:r>
          </w:p>
        </w:tc>
        <w:tc>
          <w:tcPr>
            <w:tcW w:w="516" w:type="pct"/>
            <w:shd w:val="clear" w:color="auto" w:fill="auto"/>
            <w:noWrap/>
            <w:vAlign w:val="center"/>
            <w:hideMark/>
          </w:tcPr>
          <w:p w:rsidR="00246927" w:rsidRPr="00246927" w:rsidRDefault="00246927" w:rsidP="00246927">
            <w:pPr>
              <w:rPr>
                <w:color w:val="000000"/>
              </w:rPr>
            </w:pPr>
            <w:r w:rsidRPr="00246927">
              <w:rPr>
                <w:color w:val="000000"/>
              </w:rPr>
              <w:t> </w:t>
            </w:r>
          </w:p>
        </w:tc>
        <w:tc>
          <w:tcPr>
            <w:tcW w:w="703" w:type="pct"/>
            <w:shd w:val="clear" w:color="auto" w:fill="auto"/>
            <w:noWrap/>
            <w:vAlign w:val="center"/>
            <w:hideMark/>
          </w:tcPr>
          <w:p w:rsidR="00246927" w:rsidRPr="00246927" w:rsidRDefault="00246927" w:rsidP="00246927">
            <w:pPr>
              <w:rPr>
                <w:color w:val="000000"/>
              </w:rPr>
            </w:pPr>
            <w:r w:rsidRPr="00246927">
              <w:rPr>
                <w:color w:val="000000"/>
              </w:rPr>
              <w:t> </w:t>
            </w:r>
          </w:p>
        </w:tc>
        <w:tc>
          <w:tcPr>
            <w:tcW w:w="539" w:type="pct"/>
            <w:shd w:val="clear" w:color="auto" w:fill="auto"/>
            <w:noWrap/>
            <w:vAlign w:val="center"/>
            <w:hideMark/>
          </w:tcPr>
          <w:p w:rsidR="00246927" w:rsidRPr="00246927" w:rsidRDefault="00246927" w:rsidP="00246927">
            <w:pPr>
              <w:rPr>
                <w:color w:val="000000"/>
              </w:rPr>
            </w:pPr>
            <w:r w:rsidRPr="00246927">
              <w:rPr>
                <w:color w:val="000000"/>
              </w:rPr>
              <w:t> </w:t>
            </w:r>
          </w:p>
        </w:tc>
      </w:tr>
      <w:tr w:rsidR="00246927" w:rsidRPr="00246927" w:rsidTr="005B1D87">
        <w:trPr>
          <w:trHeight w:val="5053"/>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Sankce nastavené v Podmínkách Rozhodnutí o poskytnutí dotace jsou v souladu s dosud platnými metodikami přísnější, než vyžadují nově vydané (Sazebník COESIF k sankcím za pochybení při výběrových řízeních) a plánované metodiky (Metodika finančních toků a kontroly).</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2.5</w:t>
            </w:r>
          </w:p>
        </w:tc>
        <w:tc>
          <w:tcPr>
            <w:tcW w:w="493" w:type="pct"/>
            <w:shd w:val="clear" w:color="auto" w:fill="auto"/>
            <w:vAlign w:val="center"/>
            <w:hideMark/>
          </w:tcPr>
          <w:p w:rsidR="00246927" w:rsidRPr="00246927" w:rsidRDefault="00246927" w:rsidP="00246927">
            <w:pPr>
              <w:rPr>
                <w:color w:val="000000"/>
              </w:rPr>
            </w:pPr>
            <w:r w:rsidRPr="00246927">
              <w:rPr>
                <w:color w:val="000000"/>
              </w:rPr>
              <w:t xml:space="preserve">Aktualizace Podmínek k Rozhodnutí a Stanovení výdajů s ohledem na aktualizaci metodik na národní úrovni a na základě zkušeností z realizace projektů a kontrolních nálezů. </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w:t>
            </w:r>
          </w:p>
        </w:tc>
        <w:tc>
          <w:tcPr>
            <w:tcW w:w="423" w:type="pct"/>
            <w:shd w:val="clear" w:color="auto" w:fill="auto"/>
            <w:vAlign w:val="center"/>
            <w:hideMark/>
          </w:tcPr>
          <w:p w:rsidR="00246927" w:rsidRPr="00246927" w:rsidRDefault="00246927" w:rsidP="00246927">
            <w:pPr>
              <w:jc w:val="center"/>
              <w:rPr>
                <w:color w:val="000000"/>
              </w:rPr>
            </w:pPr>
            <w:r w:rsidRPr="00246927">
              <w:rPr>
                <w:color w:val="000000"/>
              </w:rPr>
              <w:t>od 1. 4. 2014</w:t>
            </w:r>
          </w:p>
        </w:tc>
        <w:tc>
          <w:tcPr>
            <w:tcW w:w="479" w:type="pct"/>
            <w:shd w:val="clear" w:color="auto" w:fill="auto"/>
            <w:vAlign w:val="center"/>
            <w:hideMark/>
          </w:tcPr>
          <w:p w:rsidR="00246927" w:rsidRPr="00246927" w:rsidRDefault="00246927" w:rsidP="00246927">
            <w:pPr>
              <w:rPr>
                <w:color w:val="000000"/>
              </w:rPr>
            </w:pPr>
            <w:r w:rsidRPr="00246927">
              <w:rPr>
                <w:color w:val="000000"/>
              </w:rPr>
              <w:t>ŘO zašle upravenou dokumentaci k připomínkám MMR-NOK.</w:t>
            </w:r>
          </w:p>
        </w:tc>
        <w:tc>
          <w:tcPr>
            <w:tcW w:w="516" w:type="pct"/>
            <w:shd w:val="clear" w:color="auto" w:fill="auto"/>
            <w:vAlign w:val="center"/>
            <w:hideMark/>
          </w:tcPr>
          <w:p w:rsidR="00246927" w:rsidRPr="00246927" w:rsidRDefault="00246927" w:rsidP="00246927">
            <w:pPr>
              <w:rPr>
                <w:color w:val="000000"/>
              </w:rPr>
            </w:pPr>
            <w:r w:rsidRPr="00246927">
              <w:rPr>
                <w:color w:val="000000"/>
              </w:rPr>
              <w:t>Splněno. Úprava Podmínek a Rozhodnutí probíhá podle priorit jednotlivých oblastí intervence IOP.</w:t>
            </w:r>
          </w:p>
        </w:tc>
        <w:tc>
          <w:tcPr>
            <w:tcW w:w="703" w:type="pct"/>
            <w:shd w:val="clear" w:color="auto" w:fill="auto"/>
            <w:vAlign w:val="center"/>
            <w:hideMark/>
          </w:tcPr>
          <w:p w:rsidR="00246927" w:rsidRPr="00246927" w:rsidRDefault="00246927" w:rsidP="00246927">
            <w:pPr>
              <w:rPr>
                <w:color w:val="000000"/>
              </w:rPr>
            </w:pPr>
            <w:r w:rsidRPr="00246927">
              <w:rPr>
                <w:color w:val="000000"/>
              </w:rPr>
              <w:t>Splněno. Úprava Podmínek a Rozhodnutí probíhá podle priorit jednotlivých oblastí intervence IOP.</w:t>
            </w:r>
          </w:p>
        </w:tc>
        <w:tc>
          <w:tcPr>
            <w:tcW w:w="539" w:type="pct"/>
            <w:shd w:val="clear" w:color="auto" w:fill="auto"/>
            <w:vAlign w:val="center"/>
            <w:hideMark/>
          </w:tcPr>
          <w:p w:rsidR="00246927" w:rsidRPr="00246927" w:rsidRDefault="00246927" w:rsidP="00246927">
            <w:pPr>
              <w:rPr>
                <w:color w:val="000000"/>
              </w:rPr>
            </w:pPr>
            <w:r w:rsidRPr="00246927">
              <w:rPr>
                <w:color w:val="000000"/>
              </w:rPr>
              <w:t>Splněno. Úprava Podmínek a Rozhodnutí je dokončena.</w:t>
            </w:r>
          </w:p>
        </w:tc>
      </w:tr>
      <w:tr w:rsidR="00246927" w:rsidRPr="00246927" w:rsidTr="005B1D87">
        <w:trPr>
          <w:trHeight w:val="2394"/>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 </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2.6</w:t>
            </w:r>
          </w:p>
        </w:tc>
        <w:tc>
          <w:tcPr>
            <w:tcW w:w="493" w:type="pct"/>
            <w:shd w:val="clear" w:color="auto" w:fill="auto"/>
            <w:vAlign w:val="center"/>
            <w:hideMark/>
          </w:tcPr>
          <w:p w:rsidR="00246927" w:rsidRPr="00246927" w:rsidRDefault="00246927" w:rsidP="00246927">
            <w:pPr>
              <w:rPr>
                <w:color w:val="000000"/>
              </w:rPr>
            </w:pPr>
            <w:r w:rsidRPr="00246927">
              <w:rPr>
                <w:color w:val="000000"/>
              </w:rPr>
              <w:t>Zařadit po dohodě s PCO do harmonogramu certifikací případnou mimořádnou certifikaci IOP na konci roku 2014.</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 MF-PCO</w:t>
            </w:r>
          </w:p>
        </w:tc>
        <w:tc>
          <w:tcPr>
            <w:tcW w:w="423" w:type="pct"/>
            <w:shd w:val="clear" w:color="auto" w:fill="auto"/>
            <w:vAlign w:val="center"/>
            <w:hideMark/>
          </w:tcPr>
          <w:p w:rsidR="00246927" w:rsidRPr="00246927" w:rsidRDefault="00246927" w:rsidP="00246927">
            <w:pPr>
              <w:jc w:val="center"/>
              <w:rPr>
                <w:color w:val="000000"/>
              </w:rPr>
            </w:pPr>
            <w:proofErr w:type="gramStart"/>
            <w:r w:rsidRPr="00246927">
              <w:rPr>
                <w:color w:val="000000"/>
              </w:rPr>
              <w:t>31.3.2014</w:t>
            </w:r>
            <w:proofErr w:type="gramEnd"/>
          </w:p>
        </w:tc>
        <w:tc>
          <w:tcPr>
            <w:tcW w:w="479" w:type="pct"/>
            <w:shd w:val="clear" w:color="auto" w:fill="auto"/>
            <w:vAlign w:val="center"/>
            <w:hideMark/>
          </w:tcPr>
          <w:p w:rsidR="00246927" w:rsidRPr="00246927" w:rsidRDefault="00246927" w:rsidP="00246927">
            <w:pPr>
              <w:rPr>
                <w:color w:val="000000"/>
              </w:rPr>
            </w:pPr>
            <w:r w:rsidRPr="00246927">
              <w:rPr>
                <w:color w:val="000000"/>
              </w:rPr>
              <w:t>ŘO informuje nejpozději v termínu MMR-NOK o dohodě s MF-PCO.</w:t>
            </w:r>
          </w:p>
        </w:tc>
        <w:tc>
          <w:tcPr>
            <w:tcW w:w="516" w:type="pct"/>
            <w:shd w:val="clear" w:color="auto" w:fill="auto"/>
            <w:vAlign w:val="center"/>
            <w:hideMark/>
          </w:tcPr>
          <w:p w:rsidR="00246927" w:rsidRPr="00246927" w:rsidRDefault="00246927" w:rsidP="00246927">
            <w:pPr>
              <w:rPr>
                <w:color w:val="000000"/>
              </w:rPr>
            </w:pPr>
            <w:r w:rsidRPr="00246927">
              <w:rPr>
                <w:color w:val="000000"/>
              </w:rPr>
              <w:t>Splněno. ŘO IOP dohodl s PCO termín certifikace, aby bylo maximalizováno čerpání finančních prostředků.</w:t>
            </w:r>
          </w:p>
        </w:tc>
        <w:tc>
          <w:tcPr>
            <w:tcW w:w="703" w:type="pct"/>
            <w:shd w:val="clear" w:color="auto" w:fill="auto"/>
            <w:noWrap/>
            <w:vAlign w:val="center"/>
            <w:hideMark/>
          </w:tcPr>
          <w:p w:rsidR="00246927" w:rsidRPr="00246927" w:rsidRDefault="00246927" w:rsidP="00246927">
            <w:pPr>
              <w:rPr>
                <w:color w:val="000000"/>
              </w:rPr>
            </w:pPr>
            <w:r w:rsidRPr="00246927">
              <w:rPr>
                <w:color w:val="000000"/>
              </w:rPr>
              <w:t> </w:t>
            </w:r>
          </w:p>
        </w:tc>
        <w:tc>
          <w:tcPr>
            <w:tcW w:w="539" w:type="pct"/>
            <w:shd w:val="clear" w:color="auto" w:fill="auto"/>
            <w:vAlign w:val="center"/>
            <w:hideMark/>
          </w:tcPr>
          <w:p w:rsidR="00246927" w:rsidRPr="00246927" w:rsidRDefault="00246927" w:rsidP="00246927">
            <w:pPr>
              <w:rPr>
                <w:color w:val="000000"/>
              </w:rPr>
            </w:pPr>
            <w:r w:rsidRPr="00246927">
              <w:rPr>
                <w:color w:val="000000"/>
              </w:rPr>
              <w:t>Splněno. Pro maximalizaci čerpání finančních prostředků IOP vyjednal ŘO s PCO termín mimořádné certifikace.</w:t>
            </w:r>
          </w:p>
        </w:tc>
      </w:tr>
      <w:tr w:rsidR="00246927" w:rsidRPr="00246927" w:rsidTr="005B1D87">
        <w:trPr>
          <w:trHeight w:val="2531"/>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Z těchto důvodů dochází k neplnění plánu čerpání a riziku nesplnění pravidla N+2.</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2.7</w:t>
            </w:r>
          </w:p>
        </w:tc>
        <w:tc>
          <w:tcPr>
            <w:tcW w:w="493" w:type="pct"/>
            <w:shd w:val="clear" w:color="auto" w:fill="auto"/>
            <w:vAlign w:val="center"/>
            <w:hideMark/>
          </w:tcPr>
          <w:p w:rsidR="00246927" w:rsidRPr="00246927" w:rsidRDefault="00246927" w:rsidP="00246927">
            <w:pPr>
              <w:rPr>
                <w:color w:val="000000"/>
              </w:rPr>
            </w:pPr>
            <w:r w:rsidRPr="00246927">
              <w:rPr>
                <w:color w:val="000000"/>
              </w:rPr>
              <w:t>Zajistit přípravu podkladů pro provedení případné mimořádné certifikace na konci roku 2014 (po dohodě s PCO).</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w:t>
            </w:r>
          </w:p>
        </w:tc>
        <w:tc>
          <w:tcPr>
            <w:tcW w:w="423" w:type="pct"/>
            <w:shd w:val="clear" w:color="auto" w:fill="auto"/>
            <w:vAlign w:val="center"/>
            <w:hideMark/>
          </w:tcPr>
          <w:p w:rsidR="00246927" w:rsidRPr="00246927" w:rsidRDefault="00246927" w:rsidP="00246927">
            <w:pPr>
              <w:jc w:val="center"/>
              <w:rPr>
                <w:color w:val="000000"/>
              </w:rPr>
            </w:pPr>
            <w:proofErr w:type="gramStart"/>
            <w:r w:rsidRPr="00246927">
              <w:rPr>
                <w:color w:val="000000"/>
              </w:rPr>
              <w:t>31.10.2014</w:t>
            </w:r>
            <w:proofErr w:type="gramEnd"/>
          </w:p>
        </w:tc>
        <w:tc>
          <w:tcPr>
            <w:tcW w:w="479" w:type="pct"/>
            <w:shd w:val="clear" w:color="auto" w:fill="auto"/>
            <w:vAlign w:val="center"/>
            <w:hideMark/>
          </w:tcPr>
          <w:p w:rsidR="00246927" w:rsidRPr="00246927" w:rsidRDefault="00246927" w:rsidP="00246927">
            <w:pPr>
              <w:rPr>
                <w:color w:val="000000"/>
              </w:rPr>
            </w:pPr>
            <w:r w:rsidRPr="00246927">
              <w:rPr>
                <w:color w:val="000000"/>
              </w:rPr>
              <w:t>ŘO nejpozději v termínu souhrnně informuje MMR-NOK o zajištění přípravy podkladů pro mimořádnou certifikaci.</w:t>
            </w:r>
          </w:p>
        </w:tc>
        <w:tc>
          <w:tcPr>
            <w:tcW w:w="516" w:type="pct"/>
            <w:shd w:val="clear" w:color="auto" w:fill="auto"/>
            <w:vAlign w:val="center"/>
            <w:hideMark/>
          </w:tcPr>
          <w:p w:rsidR="00246927" w:rsidRPr="00246927" w:rsidRDefault="00246927" w:rsidP="00246927">
            <w:pPr>
              <w:rPr>
                <w:color w:val="000000"/>
              </w:rPr>
            </w:pPr>
            <w:r w:rsidRPr="00246927">
              <w:rPr>
                <w:color w:val="000000"/>
              </w:rPr>
              <w:t>Průběžně plněno ve spolupráce se ZS a CRR</w:t>
            </w:r>
          </w:p>
        </w:tc>
        <w:tc>
          <w:tcPr>
            <w:tcW w:w="703" w:type="pct"/>
            <w:shd w:val="clear" w:color="auto" w:fill="auto"/>
            <w:vAlign w:val="center"/>
            <w:hideMark/>
          </w:tcPr>
          <w:p w:rsidR="00246927" w:rsidRPr="00246927" w:rsidRDefault="00246927" w:rsidP="00246927">
            <w:pPr>
              <w:rPr>
                <w:color w:val="000000"/>
              </w:rPr>
            </w:pPr>
            <w:r w:rsidRPr="00246927">
              <w:rPr>
                <w:color w:val="000000"/>
              </w:rPr>
              <w:t>Splněno. ŘO IOP dohodl s PCO termín certifikace, aby bylo maximalizováno čerpání finančních prostředků.</w:t>
            </w:r>
          </w:p>
        </w:tc>
        <w:tc>
          <w:tcPr>
            <w:tcW w:w="539" w:type="pct"/>
            <w:shd w:val="clear" w:color="auto" w:fill="auto"/>
            <w:vAlign w:val="center"/>
            <w:hideMark/>
          </w:tcPr>
          <w:p w:rsidR="00246927" w:rsidRPr="00246927" w:rsidRDefault="00246927" w:rsidP="00B2661C">
            <w:pPr>
              <w:rPr>
                <w:color w:val="000000"/>
              </w:rPr>
            </w:pPr>
            <w:r w:rsidRPr="00246927">
              <w:rPr>
                <w:color w:val="000000"/>
              </w:rPr>
              <w:t xml:space="preserve">V cíli Konvergence je </w:t>
            </w:r>
            <w:proofErr w:type="gramStart"/>
            <w:r w:rsidRPr="00246927">
              <w:rPr>
                <w:color w:val="000000"/>
              </w:rPr>
              <w:t>alok</w:t>
            </w:r>
            <w:r w:rsidR="00B2661C">
              <w:rPr>
                <w:color w:val="000000"/>
              </w:rPr>
              <w:t>a</w:t>
            </w:r>
            <w:r w:rsidRPr="00246927">
              <w:rPr>
                <w:color w:val="000000"/>
              </w:rPr>
              <w:t>ce  vyčerpaná</w:t>
            </w:r>
            <w:proofErr w:type="gramEnd"/>
            <w:r w:rsidRPr="00246927">
              <w:rPr>
                <w:color w:val="000000"/>
              </w:rPr>
              <w:t xml:space="preserve">, v cíli </w:t>
            </w:r>
            <w:proofErr w:type="spellStart"/>
            <w:r w:rsidRPr="00246927">
              <w:rPr>
                <w:color w:val="000000"/>
              </w:rPr>
              <w:t>RKaZ</w:t>
            </w:r>
            <w:proofErr w:type="spellEnd"/>
            <w:r w:rsidRPr="00246927">
              <w:rPr>
                <w:color w:val="000000"/>
              </w:rPr>
              <w:t xml:space="preserve"> předpokládá ŘO ztrátu alokace cca 60 mil. Kč.</w:t>
            </w:r>
          </w:p>
        </w:tc>
      </w:tr>
      <w:tr w:rsidR="00246927" w:rsidRPr="005B1D87" w:rsidTr="005B1D87">
        <w:trPr>
          <w:trHeight w:val="4080"/>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Vzhledem ke stanovenému termínu certifikace IOP k 15. 9. 2014 dle Metodiky finančních toků a kontroly existuje riziko nesplnění limitů n+2.</w:t>
            </w:r>
          </w:p>
        </w:tc>
        <w:tc>
          <w:tcPr>
            <w:tcW w:w="33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2.8</w:t>
            </w:r>
          </w:p>
        </w:tc>
        <w:tc>
          <w:tcPr>
            <w:tcW w:w="49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Zrychlení posuzování napadených veřejných zakázek na ÚOHS</w:t>
            </w:r>
          </w:p>
        </w:tc>
        <w:tc>
          <w:tcPr>
            <w:tcW w:w="24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ÚOHS</w:t>
            </w:r>
          </w:p>
        </w:tc>
        <w:tc>
          <w:tcPr>
            <w:tcW w:w="423"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___</w:t>
            </w:r>
          </w:p>
        </w:tc>
        <w:tc>
          <w:tcPr>
            <w:tcW w:w="479"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xml:space="preserve">ŘO bude vždy nejpozději k 15. dni měsíce následujícího po skončení čtvrtletí informovat MMR-NOK o projektech dotčených šetřením ÚOHS (počet a finanční objem dle variant: šetření na základě auditní zprávy, odvolání uchazeče). </w:t>
            </w:r>
          </w:p>
        </w:tc>
        <w:tc>
          <w:tcPr>
            <w:tcW w:w="516"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Průběžně plněno.</w:t>
            </w:r>
          </w:p>
        </w:tc>
        <w:tc>
          <w:tcPr>
            <w:tcW w:w="70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Průběžně plněno.</w:t>
            </w:r>
          </w:p>
        </w:tc>
        <w:tc>
          <w:tcPr>
            <w:tcW w:w="539"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xml:space="preserve">Dne 10. 12. 2014 byla </w:t>
            </w:r>
            <w:proofErr w:type="spellStart"/>
            <w:r w:rsidRPr="005B1D87">
              <w:rPr>
                <w:color w:val="000000"/>
                <w:sz w:val="18"/>
                <w:szCs w:val="18"/>
              </w:rPr>
              <w:t>NOKu</w:t>
            </w:r>
            <w:proofErr w:type="spellEnd"/>
            <w:r w:rsidRPr="005B1D87">
              <w:rPr>
                <w:color w:val="000000"/>
                <w:sz w:val="18"/>
                <w:szCs w:val="18"/>
              </w:rPr>
              <w:t xml:space="preserve"> odevzdána dokumentace k uplatnění čl. 95 za rok 2014, dále probíhá průběžná komunikace s </w:t>
            </w:r>
            <w:proofErr w:type="gramStart"/>
            <w:r w:rsidRPr="005B1D87">
              <w:rPr>
                <w:color w:val="000000"/>
                <w:sz w:val="18"/>
                <w:szCs w:val="18"/>
              </w:rPr>
              <w:t>NOK</w:t>
            </w:r>
            <w:proofErr w:type="gramEnd"/>
            <w:r w:rsidRPr="005B1D87">
              <w:rPr>
                <w:color w:val="000000"/>
                <w:sz w:val="18"/>
                <w:szCs w:val="18"/>
              </w:rPr>
              <w:t>.</w:t>
            </w:r>
          </w:p>
        </w:tc>
      </w:tr>
      <w:tr w:rsidR="00246927" w:rsidRPr="00246927" w:rsidTr="005B1D87">
        <w:trPr>
          <w:trHeight w:val="8190"/>
        </w:trPr>
        <w:tc>
          <w:tcPr>
            <w:tcW w:w="225"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lastRenderedPageBreak/>
              <w:t>3</w:t>
            </w:r>
          </w:p>
        </w:tc>
        <w:tc>
          <w:tcPr>
            <w:tcW w:w="517"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Zastavení proplácení finančních prostředků z EK na základě zjištění z auditů a kontrol a vyměření sankcí a penále</w:t>
            </w:r>
          </w:p>
        </w:tc>
        <w:tc>
          <w:tcPr>
            <w:tcW w:w="535"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Dle ŘO IOP Auditní orgán nezohledňuje stanoviska ŘO IOP u zjevně chybných zjištění a to způsobuje zbytečnou zvýšenou chybovost programu. ŘO IOP nemá možnost obhájit svůj názor a podle připravované novely MFTK bude názor AO nezvratný. Rizikem jsou i nejasná a nepředvídatelná pravidla pro stanovení různých typů korekcí z VKZ.</w:t>
            </w:r>
          </w:p>
        </w:tc>
        <w:tc>
          <w:tcPr>
            <w:tcW w:w="33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3.1</w:t>
            </w:r>
          </w:p>
        </w:tc>
        <w:tc>
          <w:tcPr>
            <w:tcW w:w="493"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ŘO iniciuje jednání s MF k dané problematice.</w:t>
            </w:r>
          </w:p>
        </w:tc>
        <w:tc>
          <w:tcPr>
            <w:tcW w:w="240"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ŘO</w:t>
            </w:r>
          </w:p>
        </w:tc>
        <w:tc>
          <w:tcPr>
            <w:tcW w:w="423" w:type="pct"/>
            <w:shd w:val="clear" w:color="auto" w:fill="auto"/>
            <w:vAlign w:val="center"/>
            <w:hideMark/>
          </w:tcPr>
          <w:p w:rsidR="00246927" w:rsidRPr="005B1D87" w:rsidRDefault="00246927" w:rsidP="00246927">
            <w:pPr>
              <w:jc w:val="center"/>
              <w:rPr>
                <w:color w:val="000000"/>
                <w:sz w:val="18"/>
                <w:szCs w:val="18"/>
              </w:rPr>
            </w:pPr>
            <w:r w:rsidRPr="005B1D87">
              <w:rPr>
                <w:color w:val="000000"/>
                <w:sz w:val="18"/>
                <w:szCs w:val="18"/>
              </w:rPr>
              <w:t>___</w:t>
            </w:r>
          </w:p>
        </w:tc>
        <w:tc>
          <w:tcPr>
            <w:tcW w:w="479"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MMR-NOK ověří v rámci řešení dané problematiky.</w:t>
            </w:r>
          </w:p>
        </w:tc>
        <w:tc>
          <w:tcPr>
            <w:tcW w:w="516"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ŘO IOP připravuje jednání s AO k zefektivnění postupu při řešení závěrů z kontrol a auditu.</w:t>
            </w:r>
          </w:p>
        </w:tc>
        <w:tc>
          <w:tcPr>
            <w:tcW w:w="703" w:type="pct"/>
            <w:shd w:val="clear" w:color="auto" w:fill="auto"/>
            <w:vAlign w:val="center"/>
            <w:hideMark/>
          </w:tcPr>
          <w:p w:rsidR="00246927" w:rsidRPr="005B1D87" w:rsidRDefault="00246927" w:rsidP="00680941">
            <w:pPr>
              <w:rPr>
                <w:color w:val="000000"/>
                <w:sz w:val="18"/>
                <w:szCs w:val="18"/>
              </w:rPr>
            </w:pPr>
            <w:r w:rsidRPr="005B1D87">
              <w:rPr>
                <w:color w:val="000000"/>
                <w:sz w:val="18"/>
                <w:szCs w:val="18"/>
              </w:rPr>
              <w:t>ŘO IOP je v kontaktu s AO a řeší uvedenou problematiku a</w:t>
            </w:r>
            <w:r w:rsidR="00680941" w:rsidRPr="005B1D87">
              <w:rPr>
                <w:color w:val="000000"/>
                <w:sz w:val="18"/>
                <w:szCs w:val="18"/>
              </w:rPr>
              <w:t xml:space="preserve">d </w:t>
            </w:r>
            <w:r w:rsidRPr="005B1D87">
              <w:rPr>
                <w:color w:val="000000"/>
                <w:sz w:val="18"/>
                <w:szCs w:val="18"/>
              </w:rPr>
              <w:t xml:space="preserve">hoc na úrovni dotčených projektů.   </w:t>
            </w:r>
          </w:p>
        </w:tc>
        <w:tc>
          <w:tcPr>
            <w:tcW w:w="539" w:type="pct"/>
            <w:shd w:val="clear" w:color="auto" w:fill="auto"/>
            <w:vAlign w:val="center"/>
            <w:hideMark/>
          </w:tcPr>
          <w:p w:rsidR="00246927" w:rsidRPr="005B1D87" w:rsidRDefault="00246927" w:rsidP="00246927">
            <w:pPr>
              <w:rPr>
                <w:color w:val="000000"/>
                <w:sz w:val="18"/>
                <w:szCs w:val="18"/>
              </w:rPr>
            </w:pPr>
            <w:r w:rsidRPr="005B1D87">
              <w:rPr>
                <w:color w:val="000000"/>
                <w:sz w:val="18"/>
                <w:szCs w:val="18"/>
              </w:rPr>
              <w:t xml:space="preserve">Na základě obdržených zpráv z auditu operací ŘO IOP jedná s AO </w:t>
            </w:r>
            <w:r w:rsidR="00680941" w:rsidRPr="005B1D87">
              <w:rPr>
                <w:color w:val="000000"/>
                <w:sz w:val="18"/>
                <w:szCs w:val="18"/>
              </w:rPr>
              <w:br/>
            </w:r>
            <w:r w:rsidRPr="005B1D87">
              <w:rPr>
                <w:color w:val="000000"/>
                <w:sz w:val="18"/>
                <w:szCs w:val="18"/>
              </w:rPr>
              <w:t>o výdajích, které byly chybně označeny za nezpůsobilé.</w:t>
            </w:r>
          </w:p>
        </w:tc>
      </w:tr>
      <w:tr w:rsidR="00246927" w:rsidRPr="00246927" w:rsidTr="005B1D87">
        <w:trPr>
          <w:trHeight w:val="2295"/>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 xml:space="preserve">Chybovost ve VKZ 2012, 2013 přesáhla 2 %. EK pozastavila platební lhůtu dle čl. 91. </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3.2</w:t>
            </w:r>
          </w:p>
        </w:tc>
        <w:tc>
          <w:tcPr>
            <w:tcW w:w="493" w:type="pct"/>
            <w:shd w:val="clear" w:color="auto" w:fill="auto"/>
            <w:vAlign w:val="center"/>
            <w:hideMark/>
          </w:tcPr>
          <w:p w:rsidR="00246927" w:rsidRPr="00246927" w:rsidRDefault="00246927" w:rsidP="00246927">
            <w:pPr>
              <w:rPr>
                <w:color w:val="000000"/>
              </w:rPr>
            </w:pPr>
            <w:r w:rsidRPr="00246927">
              <w:rPr>
                <w:color w:val="000000"/>
              </w:rPr>
              <w:t>Vyčíslení, rozpočítání a odečtení plošné finanční opravy</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 MF-PCO</w:t>
            </w:r>
          </w:p>
        </w:tc>
        <w:tc>
          <w:tcPr>
            <w:tcW w:w="423" w:type="pct"/>
            <w:shd w:val="clear" w:color="auto" w:fill="auto"/>
            <w:vAlign w:val="center"/>
            <w:hideMark/>
          </w:tcPr>
          <w:p w:rsidR="00246927" w:rsidRPr="00246927" w:rsidRDefault="00246927" w:rsidP="00246927">
            <w:pPr>
              <w:jc w:val="center"/>
              <w:rPr>
                <w:color w:val="000000"/>
              </w:rPr>
            </w:pPr>
            <w:r w:rsidRPr="00246927">
              <w:rPr>
                <w:color w:val="000000"/>
              </w:rPr>
              <w:t>__</w:t>
            </w:r>
          </w:p>
        </w:tc>
        <w:tc>
          <w:tcPr>
            <w:tcW w:w="479" w:type="pct"/>
            <w:shd w:val="clear" w:color="auto" w:fill="auto"/>
            <w:vAlign w:val="center"/>
            <w:hideMark/>
          </w:tcPr>
          <w:p w:rsidR="00246927" w:rsidRPr="00246927" w:rsidRDefault="00246927" w:rsidP="00246927">
            <w:pPr>
              <w:rPr>
                <w:color w:val="000000"/>
              </w:rPr>
            </w:pPr>
            <w:r w:rsidRPr="00246927">
              <w:rPr>
                <w:color w:val="000000"/>
              </w:rPr>
              <w:t>Opatření bylo již přijato – provedena kalkulace kumulativního zbytkového rizika. Vzhledem k tomu, že toto riziko je pod 2 %, aplikace plošné finanční opravy není v roce 2014 nutná.</w:t>
            </w:r>
          </w:p>
        </w:tc>
        <w:tc>
          <w:tcPr>
            <w:tcW w:w="516" w:type="pct"/>
            <w:shd w:val="clear" w:color="auto" w:fill="auto"/>
            <w:vAlign w:val="center"/>
            <w:hideMark/>
          </w:tcPr>
          <w:p w:rsidR="00246927" w:rsidRPr="00246927" w:rsidRDefault="00246927" w:rsidP="00246927">
            <w:pPr>
              <w:rPr>
                <w:color w:val="000000"/>
              </w:rPr>
            </w:pPr>
            <w:r w:rsidRPr="00246927">
              <w:rPr>
                <w:color w:val="000000"/>
              </w:rPr>
              <w:t>Splněno.</w:t>
            </w:r>
          </w:p>
        </w:tc>
        <w:tc>
          <w:tcPr>
            <w:tcW w:w="703" w:type="pct"/>
            <w:shd w:val="clear" w:color="auto" w:fill="auto"/>
            <w:noWrap/>
            <w:vAlign w:val="center"/>
            <w:hideMark/>
          </w:tcPr>
          <w:p w:rsidR="00246927" w:rsidRPr="00246927" w:rsidRDefault="00246927" w:rsidP="00246927">
            <w:pPr>
              <w:rPr>
                <w:color w:val="000000"/>
              </w:rPr>
            </w:pPr>
            <w:r w:rsidRPr="00246927">
              <w:rPr>
                <w:color w:val="000000"/>
              </w:rPr>
              <w:t> </w:t>
            </w:r>
          </w:p>
        </w:tc>
        <w:tc>
          <w:tcPr>
            <w:tcW w:w="539" w:type="pct"/>
            <w:shd w:val="clear" w:color="auto" w:fill="auto"/>
            <w:noWrap/>
            <w:vAlign w:val="center"/>
            <w:hideMark/>
          </w:tcPr>
          <w:p w:rsidR="00246927" w:rsidRPr="00246927" w:rsidRDefault="00246927" w:rsidP="00246927">
            <w:pPr>
              <w:rPr>
                <w:color w:val="000000"/>
              </w:rPr>
            </w:pPr>
            <w:r w:rsidRPr="00246927">
              <w:rPr>
                <w:color w:val="000000"/>
              </w:rPr>
              <w:t> </w:t>
            </w:r>
          </w:p>
        </w:tc>
      </w:tr>
      <w:tr w:rsidR="00246927" w:rsidRPr="00246927" w:rsidTr="005B1D87">
        <w:trPr>
          <w:trHeight w:val="693"/>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t>4</w:t>
            </w:r>
          </w:p>
        </w:tc>
        <w:tc>
          <w:tcPr>
            <w:tcW w:w="517" w:type="pct"/>
            <w:shd w:val="clear" w:color="auto" w:fill="auto"/>
            <w:vAlign w:val="center"/>
            <w:hideMark/>
          </w:tcPr>
          <w:p w:rsidR="00246927" w:rsidRPr="00246927" w:rsidRDefault="00246927" w:rsidP="00246927">
            <w:pPr>
              <w:rPr>
                <w:color w:val="000000"/>
              </w:rPr>
            </w:pPr>
            <w:r w:rsidRPr="00246927">
              <w:rPr>
                <w:color w:val="000000"/>
              </w:rPr>
              <w:t>Nedostatečná administrativní kapacita zprostředkujících subjektů pro dokončení implementace programu.</w:t>
            </w:r>
          </w:p>
        </w:tc>
        <w:tc>
          <w:tcPr>
            <w:tcW w:w="535" w:type="pct"/>
            <w:shd w:val="clear" w:color="auto" w:fill="auto"/>
            <w:vAlign w:val="center"/>
            <w:hideMark/>
          </w:tcPr>
          <w:p w:rsidR="00246927" w:rsidRPr="00246927" w:rsidRDefault="00246927" w:rsidP="00246927">
            <w:pPr>
              <w:rPr>
                <w:color w:val="000000"/>
              </w:rPr>
            </w:pPr>
            <w:r w:rsidRPr="00246927">
              <w:rPr>
                <w:color w:val="000000"/>
              </w:rPr>
              <w:t>Existuje riziko, že na konci současného programového období by mohla být oslabena administrativní kapacita u zprostředkujících subjektů vzhledem k tomu, že tuto roli nebudou vykonávat pro operační programy v programovém období 2014 - 2020.</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4.1</w:t>
            </w:r>
          </w:p>
        </w:tc>
        <w:tc>
          <w:tcPr>
            <w:tcW w:w="493" w:type="pct"/>
            <w:shd w:val="clear" w:color="auto" w:fill="auto"/>
            <w:vAlign w:val="center"/>
            <w:hideMark/>
          </w:tcPr>
          <w:p w:rsidR="00246927" w:rsidRPr="00246927" w:rsidRDefault="00246927" w:rsidP="00246927">
            <w:pPr>
              <w:rPr>
                <w:color w:val="000000"/>
              </w:rPr>
            </w:pPr>
            <w:r w:rsidRPr="00246927">
              <w:rPr>
                <w:color w:val="000000"/>
              </w:rPr>
              <w:t>Průběžně sledovat a vyhodnotit stav administrativní kapacity na ZS.</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w:t>
            </w:r>
          </w:p>
        </w:tc>
        <w:tc>
          <w:tcPr>
            <w:tcW w:w="423" w:type="pct"/>
            <w:shd w:val="clear" w:color="auto" w:fill="auto"/>
            <w:vAlign w:val="center"/>
            <w:hideMark/>
          </w:tcPr>
          <w:p w:rsidR="00246927" w:rsidRPr="00246927" w:rsidRDefault="00246927" w:rsidP="00246927">
            <w:pPr>
              <w:jc w:val="center"/>
              <w:rPr>
                <w:color w:val="000000"/>
              </w:rPr>
            </w:pPr>
            <w:proofErr w:type="gramStart"/>
            <w:r w:rsidRPr="00246927">
              <w:rPr>
                <w:color w:val="000000"/>
              </w:rPr>
              <w:t>21.5.2014</w:t>
            </w:r>
            <w:proofErr w:type="gramEnd"/>
          </w:p>
        </w:tc>
        <w:tc>
          <w:tcPr>
            <w:tcW w:w="479" w:type="pct"/>
            <w:shd w:val="clear" w:color="auto" w:fill="auto"/>
            <w:vAlign w:val="center"/>
            <w:hideMark/>
          </w:tcPr>
          <w:p w:rsidR="00246927" w:rsidRPr="00246927" w:rsidRDefault="00246927" w:rsidP="00246927">
            <w:pPr>
              <w:rPr>
                <w:color w:val="000000"/>
              </w:rPr>
            </w:pPr>
            <w:r w:rsidRPr="00246927">
              <w:rPr>
                <w:color w:val="000000"/>
              </w:rPr>
              <w:t>ŘO informuje do 15. 1. 2015 MMR-NOK o vyhodnocení stavu administrativní kapacity na ZS.</w:t>
            </w:r>
          </w:p>
        </w:tc>
        <w:tc>
          <w:tcPr>
            <w:tcW w:w="516" w:type="pct"/>
            <w:shd w:val="clear" w:color="auto" w:fill="auto"/>
            <w:vAlign w:val="center"/>
            <w:hideMark/>
          </w:tcPr>
          <w:p w:rsidR="00246927" w:rsidRPr="00246927" w:rsidRDefault="00246927" w:rsidP="00246927">
            <w:r w:rsidRPr="00246927">
              <w:t xml:space="preserve">Administrativní kapacita je řešena v rámci řízení implementační struktury a na pravidelných schůzkách ŘO IOP s řediteli ZS IOP. Podklady od ZS byly zaslané ŘO k 30. 4. 2014, do 31. 5. 2014 byly vyhodnoceny ŘO IOP. ŘO IOP svolal jednání s jednotlivými ZS na </w:t>
            </w:r>
            <w:proofErr w:type="gramStart"/>
            <w:r w:rsidRPr="00246927">
              <w:t>12.6.2014</w:t>
            </w:r>
            <w:proofErr w:type="gramEnd"/>
            <w:r w:rsidRPr="00246927">
              <w:t>.</w:t>
            </w:r>
          </w:p>
        </w:tc>
        <w:tc>
          <w:tcPr>
            <w:tcW w:w="703" w:type="pct"/>
            <w:shd w:val="clear" w:color="auto" w:fill="auto"/>
            <w:vAlign w:val="center"/>
            <w:hideMark/>
          </w:tcPr>
          <w:p w:rsidR="00246927" w:rsidRPr="00246927" w:rsidRDefault="00246927" w:rsidP="00246927">
            <w:pPr>
              <w:rPr>
                <w:color w:val="000000"/>
              </w:rPr>
            </w:pPr>
            <w:r w:rsidRPr="00246927">
              <w:rPr>
                <w:color w:val="000000"/>
              </w:rPr>
              <w:t xml:space="preserve"> Administrativní kapacita IOP je řešena v rámci řízení implementační struktury a na pravidelných schůzkách ŘO IOP s řediteli ZS IOP.ZS informovaly o problému se zajištěním  financování tabulkových míst spojených s administrací IOP po roce 2015.  ŘO IOP připravuje ve spolupráci se ZS IOP návrh argumentace pro financování tabulkových míst po roce 2015 na jednotlivých ZS IOP. </w:t>
            </w:r>
          </w:p>
        </w:tc>
        <w:tc>
          <w:tcPr>
            <w:tcW w:w="539" w:type="pct"/>
            <w:shd w:val="clear" w:color="auto" w:fill="auto"/>
            <w:vAlign w:val="center"/>
            <w:hideMark/>
          </w:tcPr>
          <w:p w:rsidR="00246927" w:rsidRPr="00246927" w:rsidRDefault="00246927" w:rsidP="00246927">
            <w:pPr>
              <w:jc w:val="center"/>
              <w:rPr>
                <w:color w:val="000000"/>
              </w:rPr>
            </w:pPr>
            <w:r w:rsidRPr="00246927">
              <w:rPr>
                <w:color w:val="000000"/>
              </w:rPr>
              <w:t xml:space="preserve">ŘO IOP připravil pro NOK ve spolupráci se ZS IOP materiál Administrativní kapacita na konci programového období  IOP, </w:t>
            </w:r>
            <w:proofErr w:type="gramStart"/>
            <w:r w:rsidRPr="00246927">
              <w:rPr>
                <w:color w:val="000000"/>
              </w:rPr>
              <w:t>upravující  zajištění</w:t>
            </w:r>
            <w:proofErr w:type="gramEnd"/>
            <w:r w:rsidRPr="00246927">
              <w:rPr>
                <w:color w:val="000000"/>
              </w:rPr>
              <w:t xml:space="preserve"> administrativních kapacit po roce 2015 na jednotlivých ZS IOP. V průběhu 2015 </w:t>
            </w:r>
            <w:proofErr w:type="gramStart"/>
            <w:r w:rsidRPr="00246927">
              <w:rPr>
                <w:color w:val="000000"/>
              </w:rPr>
              <w:t>bude  sledovat</w:t>
            </w:r>
            <w:proofErr w:type="gramEnd"/>
            <w:r w:rsidRPr="00246927">
              <w:rPr>
                <w:color w:val="000000"/>
              </w:rPr>
              <w:t xml:space="preserve"> a řešit zajištění administrativních kapacit a předávání </w:t>
            </w:r>
            <w:r w:rsidRPr="00246927">
              <w:rPr>
                <w:color w:val="000000"/>
              </w:rPr>
              <w:lastRenderedPageBreak/>
              <w:t xml:space="preserve">agendy v rámci ukončování IOP.  </w:t>
            </w:r>
          </w:p>
        </w:tc>
      </w:tr>
      <w:tr w:rsidR="00246927" w:rsidRPr="00246927" w:rsidTr="005B1D87">
        <w:trPr>
          <w:trHeight w:val="1275"/>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 </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4.2</w:t>
            </w:r>
          </w:p>
        </w:tc>
        <w:tc>
          <w:tcPr>
            <w:tcW w:w="493" w:type="pct"/>
            <w:shd w:val="clear" w:color="auto" w:fill="auto"/>
            <w:vAlign w:val="center"/>
            <w:hideMark/>
          </w:tcPr>
          <w:p w:rsidR="00246927" w:rsidRPr="00246927" w:rsidRDefault="00246927" w:rsidP="00246927">
            <w:pPr>
              <w:rPr>
                <w:color w:val="000000"/>
              </w:rPr>
            </w:pPr>
            <w:r w:rsidRPr="00246927">
              <w:rPr>
                <w:color w:val="000000"/>
              </w:rPr>
              <w:t>V případě, že stav administrativní kapacity na ZS bude dle vyhodnocení nevyhovující, ŘO převezme část agendy ZS.</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 </w:t>
            </w:r>
          </w:p>
        </w:tc>
        <w:tc>
          <w:tcPr>
            <w:tcW w:w="423" w:type="pct"/>
            <w:shd w:val="clear" w:color="auto" w:fill="auto"/>
            <w:vAlign w:val="center"/>
            <w:hideMark/>
          </w:tcPr>
          <w:p w:rsidR="00246927" w:rsidRPr="00246927" w:rsidRDefault="00246927" w:rsidP="00246927">
            <w:pPr>
              <w:jc w:val="center"/>
              <w:rPr>
                <w:color w:val="000000"/>
              </w:rPr>
            </w:pPr>
            <w:proofErr w:type="gramStart"/>
            <w:r w:rsidRPr="00246927">
              <w:rPr>
                <w:color w:val="000000"/>
              </w:rPr>
              <w:t>31.12.2014</w:t>
            </w:r>
            <w:proofErr w:type="gramEnd"/>
          </w:p>
        </w:tc>
        <w:tc>
          <w:tcPr>
            <w:tcW w:w="479" w:type="pct"/>
            <w:shd w:val="clear" w:color="auto" w:fill="auto"/>
            <w:vAlign w:val="center"/>
            <w:hideMark/>
          </w:tcPr>
          <w:p w:rsidR="00246927" w:rsidRPr="00246927" w:rsidRDefault="00246927" w:rsidP="00246927">
            <w:pPr>
              <w:rPr>
                <w:color w:val="000000"/>
              </w:rPr>
            </w:pPr>
            <w:r w:rsidRPr="00246927">
              <w:rPr>
                <w:color w:val="000000"/>
              </w:rPr>
              <w:t>ŘO informuje MMR-NOK, zda byla část agendy převedena ze ZS na ŘO</w:t>
            </w:r>
          </w:p>
        </w:tc>
        <w:tc>
          <w:tcPr>
            <w:tcW w:w="516" w:type="pct"/>
            <w:shd w:val="clear" w:color="auto" w:fill="auto"/>
            <w:noWrap/>
            <w:vAlign w:val="center"/>
            <w:hideMark/>
          </w:tcPr>
          <w:p w:rsidR="00246927" w:rsidRPr="00246927" w:rsidRDefault="00246927" w:rsidP="00246927">
            <w:pPr>
              <w:jc w:val="center"/>
              <w:rPr>
                <w:color w:val="000000"/>
              </w:rPr>
            </w:pPr>
            <w:r w:rsidRPr="00246927">
              <w:rPr>
                <w:color w:val="000000"/>
              </w:rPr>
              <w:t>NR</w:t>
            </w:r>
          </w:p>
        </w:tc>
        <w:tc>
          <w:tcPr>
            <w:tcW w:w="703" w:type="pct"/>
            <w:shd w:val="clear" w:color="auto" w:fill="auto"/>
            <w:noWrap/>
            <w:vAlign w:val="center"/>
            <w:hideMark/>
          </w:tcPr>
          <w:p w:rsidR="00246927" w:rsidRPr="00246927" w:rsidRDefault="00246927" w:rsidP="00246927">
            <w:pPr>
              <w:rPr>
                <w:color w:val="000000"/>
              </w:rPr>
            </w:pPr>
            <w:r w:rsidRPr="00246927">
              <w:rPr>
                <w:color w:val="000000"/>
              </w:rPr>
              <w:t> </w:t>
            </w:r>
          </w:p>
        </w:tc>
        <w:tc>
          <w:tcPr>
            <w:tcW w:w="539" w:type="pct"/>
            <w:shd w:val="clear" w:color="auto" w:fill="auto"/>
            <w:vAlign w:val="center"/>
            <w:hideMark/>
          </w:tcPr>
          <w:p w:rsidR="00246927" w:rsidRPr="00246927" w:rsidRDefault="00246927" w:rsidP="00246927">
            <w:pPr>
              <w:jc w:val="center"/>
              <w:rPr>
                <w:color w:val="000000"/>
              </w:rPr>
            </w:pPr>
            <w:r w:rsidRPr="00246927">
              <w:rPr>
                <w:color w:val="000000"/>
              </w:rPr>
              <w:t>ŘO IOP připravil pro NOK ve spolupráci se ZS IOP materiál Administrativní kapacita na konci programového období IOP</w:t>
            </w:r>
            <w:r w:rsidR="00C26609">
              <w:rPr>
                <w:color w:val="000000"/>
              </w:rPr>
              <w:t xml:space="preserve"> </w:t>
            </w:r>
            <w:r w:rsidR="00C26609" w:rsidRPr="00246927">
              <w:rPr>
                <w:color w:val="000000"/>
              </w:rPr>
              <w:t>upravující zajištění</w:t>
            </w:r>
            <w:r w:rsidRPr="00246927">
              <w:rPr>
                <w:color w:val="000000"/>
              </w:rPr>
              <w:t xml:space="preserve"> administrativních kapacit po roce 2015 na jednotlivých ZS IOP. V průběhu 2015 bude dále řešeno v rámci pracovní skupiny k zajištění administrativních kapacit a předávání agendy v rámci ukončování IOP.  </w:t>
            </w:r>
          </w:p>
        </w:tc>
      </w:tr>
      <w:tr w:rsidR="00246927" w:rsidRPr="00246927" w:rsidTr="005B1D87">
        <w:trPr>
          <w:trHeight w:val="3060"/>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5</w:t>
            </w:r>
          </w:p>
        </w:tc>
        <w:tc>
          <w:tcPr>
            <w:tcW w:w="517" w:type="pct"/>
            <w:shd w:val="clear" w:color="auto" w:fill="auto"/>
            <w:vAlign w:val="center"/>
            <w:hideMark/>
          </w:tcPr>
          <w:p w:rsidR="00246927" w:rsidRPr="00246927" w:rsidRDefault="00246927" w:rsidP="00246927">
            <w:pPr>
              <w:rPr>
                <w:color w:val="000000"/>
              </w:rPr>
            </w:pPr>
            <w:r w:rsidRPr="00246927">
              <w:rPr>
                <w:color w:val="000000"/>
              </w:rPr>
              <w:t>Nedokončení velkých projektů v oblasti podpory 3.4</w:t>
            </w:r>
          </w:p>
        </w:tc>
        <w:tc>
          <w:tcPr>
            <w:tcW w:w="535" w:type="pct"/>
            <w:shd w:val="clear" w:color="auto" w:fill="auto"/>
            <w:vAlign w:val="center"/>
            <w:hideMark/>
          </w:tcPr>
          <w:p w:rsidR="00246927" w:rsidRPr="00246927" w:rsidRDefault="00246927" w:rsidP="00246927">
            <w:pPr>
              <w:rPr>
                <w:color w:val="000000"/>
              </w:rPr>
            </w:pPr>
            <w:r w:rsidRPr="00246927">
              <w:rPr>
                <w:color w:val="000000"/>
              </w:rPr>
              <w:t>V roce 2013 ŘO zaslal ke schválení EK 2 velké projekty v oblasti podpory 3.4. Prodlužování schvalovacího procesu, příp. odvolání uchazečů z výběrových řízení k ÚOHS může ohrozit termín ukončení realizovaných projektů (06/2015).</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5.1</w:t>
            </w:r>
          </w:p>
        </w:tc>
        <w:tc>
          <w:tcPr>
            <w:tcW w:w="493" w:type="pct"/>
            <w:shd w:val="clear" w:color="auto" w:fill="auto"/>
            <w:vAlign w:val="center"/>
            <w:hideMark/>
          </w:tcPr>
          <w:p w:rsidR="00246927" w:rsidRPr="00246927" w:rsidRDefault="00246927" w:rsidP="00246927">
            <w:pPr>
              <w:rPr>
                <w:color w:val="000000"/>
              </w:rPr>
            </w:pPr>
            <w:r w:rsidRPr="00246927">
              <w:rPr>
                <w:color w:val="000000"/>
              </w:rPr>
              <w:t>Zajistit schválení dvou velkých projektů EK realizovaných v oblasti podpory 3.4 Služby v oblasti bezpečnosti, prevence a řešení rizik.</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w:t>
            </w:r>
          </w:p>
        </w:tc>
        <w:tc>
          <w:tcPr>
            <w:tcW w:w="423" w:type="pct"/>
            <w:shd w:val="clear" w:color="auto" w:fill="auto"/>
            <w:vAlign w:val="center"/>
            <w:hideMark/>
          </w:tcPr>
          <w:p w:rsidR="00246927" w:rsidRPr="00246927" w:rsidRDefault="00246927" w:rsidP="00246927">
            <w:pPr>
              <w:jc w:val="center"/>
              <w:rPr>
                <w:color w:val="000000"/>
              </w:rPr>
            </w:pPr>
            <w:proofErr w:type="gramStart"/>
            <w:r w:rsidRPr="00246927">
              <w:rPr>
                <w:color w:val="000000"/>
              </w:rPr>
              <w:t>31.5.2014</w:t>
            </w:r>
            <w:proofErr w:type="gramEnd"/>
          </w:p>
        </w:tc>
        <w:tc>
          <w:tcPr>
            <w:tcW w:w="479" w:type="pct"/>
            <w:shd w:val="clear" w:color="auto" w:fill="auto"/>
            <w:vAlign w:val="center"/>
            <w:hideMark/>
          </w:tcPr>
          <w:p w:rsidR="00246927" w:rsidRPr="00246927" w:rsidRDefault="00246927" w:rsidP="00246927">
            <w:pPr>
              <w:rPr>
                <w:color w:val="000000"/>
              </w:rPr>
            </w:pPr>
            <w:r w:rsidRPr="00246927">
              <w:rPr>
                <w:color w:val="000000"/>
              </w:rPr>
              <w:t>MMR ověří v informačním systému SFC2007.</w:t>
            </w:r>
          </w:p>
        </w:tc>
        <w:tc>
          <w:tcPr>
            <w:tcW w:w="516" w:type="pct"/>
            <w:shd w:val="clear" w:color="auto" w:fill="auto"/>
            <w:vAlign w:val="center"/>
            <w:hideMark/>
          </w:tcPr>
          <w:p w:rsidR="00246927" w:rsidRPr="00246927" w:rsidRDefault="00246927" w:rsidP="00246927">
            <w:r w:rsidRPr="00246927">
              <w:t>ŘO IOP komunikuje s EK, schválení projektů není v gesci ŘO IOP.</w:t>
            </w:r>
          </w:p>
        </w:tc>
        <w:tc>
          <w:tcPr>
            <w:tcW w:w="703" w:type="pct"/>
            <w:shd w:val="clear" w:color="auto" w:fill="auto"/>
            <w:vAlign w:val="center"/>
            <w:hideMark/>
          </w:tcPr>
          <w:p w:rsidR="00246927" w:rsidRPr="00246927" w:rsidRDefault="00246927" w:rsidP="00246927">
            <w:r w:rsidRPr="00246927">
              <w:t>ŘO IOP komunikuje s EK, schválení projektů není v gesci ŘO IOP. Velký projekt HZS schválen EK dne 14. 8. 2014. Projekt je aktuálně v realizaci a probíhá dle schváleného harmonogramu.</w:t>
            </w:r>
            <w:r w:rsidRPr="00246927">
              <w:br/>
              <w:t xml:space="preserve">U projektu PČR probíhá doplňování požadovaných informací, projekt zatím nebyl schválen. </w:t>
            </w:r>
          </w:p>
        </w:tc>
        <w:tc>
          <w:tcPr>
            <w:tcW w:w="539" w:type="pct"/>
            <w:shd w:val="clear" w:color="auto" w:fill="auto"/>
            <w:vAlign w:val="center"/>
            <w:hideMark/>
          </w:tcPr>
          <w:p w:rsidR="00246927" w:rsidRPr="00246927" w:rsidRDefault="00246927" w:rsidP="00246927">
            <w:pPr>
              <w:jc w:val="center"/>
            </w:pPr>
            <w:r w:rsidRPr="00246927">
              <w:t xml:space="preserve">Velký projekt HZS schválen EK dne 14. 8. 2014. Projekt je aktuálně v realizaci a zatím probíhá dle schváleného harmonogramu. </w:t>
            </w:r>
            <w:r w:rsidRPr="00246927">
              <w:br/>
              <w:t xml:space="preserve">Realizace projektu PČR probíhá mimo režim velkých projektů. </w:t>
            </w:r>
          </w:p>
        </w:tc>
      </w:tr>
      <w:tr w:rsidR="00246927" w:rsidRPr="00246927" w:rsidTr="005B1D87">
        <w:trPr>
          <w:trHeight w:val="1402"/>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 </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5.2</w:t>
            </w:r>
          </w:p>
        </w:tc>
        <w:tc>
          <w:tcPr>
            <w:tcW w:w="493" w:type="pct"/>
            <w:shd w:val="clear" w:color="auto" w:fill="auto"/>
            <w:vAlign w:val="center"/>
            <w:hideMark/>
          </w:tcPr>
          <w:p w:rsidR="00246927" w:rsidRPr="00246927" w:rsidRDefault="00246927" w:rsidP="00246927">
            <w:pPr>
              <w:rPr>
                <w:color w:val="000000"/>
              </w:rPr>
            </w:pPr>
            <w:proofErr w:type="spellStart"/>
            <w:r w:rsidRPr="00246927">
              <w:rPr>
                <w:color w:val="000000"/>
              </w:rPr>
              <w:t>Předkontrola</w:t>
            </w:r>
            <w:proofErr w:type="spellEnd"/>
            <w:r w:rsidRPr="00246927">
              <w:rPr>
                <w:color w:val="000000"/>
              </w:rPr>
              <w:t xml:space="preserve"> zadávací dokumentace</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 CRR</w:t>
            </w:r>
          </w:p>
        </w:tc>
        <w:tc>
          <w:tcPr>
            <w:tcW w:w="423" w:type="pct"/>
            <w:shd w:val="clear" w:color="auto" w:fill="auto"/>
            <w:vAlign w:val="center"/>
            <w:hideMark/>
          </w:tcPr>
          <w:p w:rsidR="00246927" w:rsidRPr="00246927" w:rsidRDefault="00246927" w:rsidP="00246927">
            <w:pPr>
              <w:jc w:val="center"/>
              <w:rPr>
                <w:color w:val="000000"/>
              </w:rPr>
            </w:pPr>
            <w:r w:rsidRPr="00246927">
              <w:rPr>
                <w:color w:val="000000"/>
              </w:rPr>
              <w:t>Po předložení zadávací dokumentace</w:t>
            </w:r>
          </w:p>
        </w:tc>
        <w:tc>
          <w:tcPr>
            <w:tcW w:w="479" w:type="pct"/>
            <w:shd w:val="clear" w:color="auto" w:fill="auto"/>
            <w:vAlign w:val="center"/>
            <w:hideMark/>
          </w:tcPr>
          <w:p w:rsidR="00246927" w:rsidRPr="00246927" w:rsidRDefault="00246927" w:rsidP="00246927">
            <w:pPr>
              <w:rPr>
                <w:color w:val="000000"/>
              </w:rPr>
            </w:pPr>
            <w:r w:rsidRPr="00246927">
              <w:rPr>
                <w:color w:val="000000"/>
              </w:rPr>
              <w:t>ŘO bude vždy nejpozději do 15. dne měsíce následujícího po konci čtvrtletí informovat MMR-NOK  o plnění harmonogramu velkých projektů.</w:t>
            </w:r>
          </w:p>
        </w:tc>
        <w:tc>
          <w:tcPr>
            <w:tcW w:w="516" w:type="pct"/>
            <w:shd w:val="clear" w:color="auto" w:fill="auto"/>
            <w:vAlign w:val="center"/>
            <w:hideMark/>
          </w:tcPr>
          <w:p w:rsidR="00246927" w:rsidRPr="00246927" w:rsidRDefault="00246927" w:rsidP="009C2022">
            <w:r w:rsidRPr="00246927">
              <w:t>O průběžném stavu informuje ŘO vedení MMR každý měsíc prostřednict</w:t>
            </w:r>
            <w:r w:rsidR="009C2022">
              <w:t>v</w:t>
            </w:r>
            <w:r w:rsidRPr="00246927">
              <w:t xml:space="preserve">ím Měsíční monitorovací zprávy IOP. </w:t>
            </w:r>
          </w:p>
        </w:tc>
        <w:tc>
          <w:tcPr>
            <w:tcW w:w="703" w:type="pct"/>
            <w:shd w:val="clear" w:color="auto" w:fill="auto"/>
            <w:vAlign w:val="center"/>
            <w:hideMark/>
          </w:tcPr>
          <w:p w:rsidR="00246927" w:rsidRPr="00246927" w:rsidRDefault="00246927" w:rsidP="009C2022">
            <w:r w:rsidRPr="00246927">
              <w:t>O průběžném stavu velkých projektů informuje ŘO vedení MMR každý měsíc prostřednict</w:t>
            </w:r>
            <w:r w:rsidR="009C2022">
              <w:t>v</w:t>
            </w:r>
            <w:r w:rsidRPr="00246927">
              <w:t xml:space="preserve">ím Měsíční monitorovací zprávy IOP. V případě velkého projektu HZS plánováno celkem 27 VŘ (19 VŘ  </w:t>
            </w:r>
            <w:proofErr w:type="spellStart"/>
            <w:r w:rsidRPr="00246927">
              <w:t>předkontrolováno</w:t>
            </w:r>
            <w:proofErr w:type="spellEnd"/>
            <w:r w:rsidRPr="00246927">
              <w:t xml:space="preserve"> + 1 </w:t>
            </w:r>
            <w:proofErr w:type="spellStart"/>
            <w:r w:rsidRPr="00246927">
              <w:t>předkontrola</w:t>
            </w:r>
            <w:proofErr w:type="spellEnd"/>
            <w:r w:rsidRPr="00246927">
              <w:t xml:space="preserve"> probíhá, 17 VŘ již vyhlášeno), projekt PČR - 21 VŘ (15 předkontrolováno,14 vyhlášeno).     </w:t>
            </w:r>
          </w:p>
        </w:tc>
        <w:tc>
          <w:tcPr>
            <w:tcW w:w="539" w:type="pct"/>
            <w:shd w:val="clear" w:color="auto" w:fill="auto"/>
            <w:vAlign w:val="center"/>
            <w:hideMark/>
          </w:tcPr>
          <w:p w:rsidR="00246927" w:rsidRPr="00246927" w:rsidRDefault="00246927" w:rsidP="00246927">
            <w:pPr>
              <w:jc w:val="center"/>
            </w:pPr>
            <w:r w:rsidRPr="00246927">
              <w:t xml:space="preserve">O průběžném stavu projektu HZS informuje ŘO vedení MMR každý měsíc prostřednictvím Měsíční monitorovací zprávy IOP. V projektu je nyní 36 veřejných zakázek (9 z původních VZ bylo nutné zrušit a vyhlásit znovu, z důvodů nepodání nabídky nebo 1 nabídky k hodnocení), 5 </w:t>
            </w:r>
            <w:r w:rsidRPr="00246927">
              <w:lastRenderedPageBreak/>
              <w:t>VZ je před kontrolou a u 3 probíhá.</w:t>
            </w:r>
            <w:r w:rsidRPr="00246927">
              <w:br/>
              <w:t xml:space="preserve">Realizace projektu PČR probíhá mimo režim velkých projektů. </w:t>
            </w:r>
          </w:p>
        </w:tc>
      </w:tr>
      <w:tr w:rsidR="00246927" w:rsidRPr="00246927" w:rsidTr="005B1D87">
        <w:trPr>
          <w:trHeight w:val="3570"/>
        </w:trPr>
        <w:tc>
          <w:tcPr>
            <w:tcW w:w="225" w:type="pct"/>
            <w:shd w:val="clear" w:color="auto" w:fill="auto"/>
            <w:vAlign w:val="center"/>
            <w:hideMark/>
          </w:tcPr>
          <w:p w:rsidR="00246927" w:rsidRPr="00246927" w:rsidRDefault="00246927" w:rsidP="00246927">
            <w:pPr>
              <w:jc w:val="center"/>
              <w:rPr>
                <w:color w:val="000000"/>
              </w:rPr>
            </w:pPr>
            <w:r w:rsidRPr="00246927">
              <w:rPr>
                <w:color w:val="000000"/>
              </w:rPr>
              <w:lastRenderedPageBreak/>
              <w:t> </w:t>
            </w:r>
          </w:p>
        </w:tc>
        <w:tc>
          <w:tcPr>
            <w:tcW w:w="517" w:type="pct"/>
            <w:shd w:val="clear" w:color="auto" w:fill="auto"/>
            <w:vAlign w:val="center"/>
            <w:hideMark/>
          </w:tcPr>
          <w:p w:rsidR="00246927" w:rsidRPr="00246927" w:rsidRDefault="00246927" w:rsidP="00246927">
            <w:pPr>
              <w:rPr>
                <w:color w:val="000000"/>
              </w:rPr>
            </w:pPr>
            <w:r w:rsidRPr="00246927">
              <w:rPr>
                <w:color w:val="000000"/>
              </w:rPr>
              <w:t> </w:t>
            </w:r>
          </w:p>
        </w:tc>
        <w:tc>
          <w:tcPr>
            <w:tcW w:w="535" w:type="pct"/>
            <w:shd w:val="clear" w:color="auto" w:fill="auto"/>
            <w:vAlign w:val="center"/>
            <w:hideMark/>
          </w:tcPr>
          <w:p w:rsidR="00246927" w:rsidRPr="00246927" w:rsidRDefault="00246927" w:rsidP="00246927">
            <w:pPr>
              <w:rPr>
                <w:color w:val="000000"/>
              </w:rPr>
            </w:pPr>
            <w:r w:rsidRPr="00246927">
              <w:rPr>
                <w:color w:val="000000"/>
              </w:rPr>
              <w:t> </w:t>
            </w:r>
          </w:p>
        </w:tc>
        <w:tc>
          <w:tcPr>
            <w:tcW w:w="330" w:type="pct"/>
            <w:shd w:val="clear" w:color="auto" w:fill="auto"/>
            <w:vAlign w:val="center"/>
            <w:hideMark/>
          </w:tcPr>
          <w:p w:rsidR="00246927" w:rsidRPr="00246927" w:rsidRDefault="00246927" w:rsidP="00246927">
            <w:pPr>
              <w:jc w:val="center"/>
              <w:rPr>
                <w:color w:val="000000"/>
              </w:rPr>
            </w:pPr>
            <w:r w:rsidRPr="00246927">
              <w:rPr>
                <w:color w:val="000000"/>
              </w:rPr>
              <w:t>5.3</w:t>
            </w:r>
          </w:p>
        </w:tc>
        <w:tc>
          <w:tcPr>
            <w:tcW w:w="493" w:type="pct"/>
            <w:shd w:val="clear" w:color="auto" w:fill="auto"/>
            <w:vAlign w:val="center"/>
            <w:hideMark/>
          </w:tcPr>
          <w:p w:rsidR="00246927" w:rsidRPr="00246927" w:rsidRDefault="00246927" w:rsidP="00246927">
            <w:pPr>
              <w:rPr>
                <w:color w:val="000000"/>
              </w:rPr>
            </w:pPr>
            <w:r w:rsidRPr="00246927">
              <w:rPr>
                <w:color w:val="000000"/>
              </w:rPr>
              <w:t>Měsíční jednání s nositeli velkých projektů s detailním sledováním plnění nastavených harmonogramů</w:t>
            </w:r>
          </w:p>
        </w:tc>
        <w:tc>
          <w:tcPr>
            <w:tcW w:w="240" w:type="pct"/>
            <w:shd w:val="clear" w:color="auto" w:fill="auto"/>
            <w:vAlign w:val="center"/>
            <w:hideMark/>
          </w:tcPr>
          <w:p w:rsidR="00246927" w:rsidRPr="00246927" w:rsidRDefault="00246927" w:rsidP="00246927">
            <w:pPr>
              <w:jc w:val="center"/>
              <w:rPr>
                <w:color w:val="000000"/>
              </w:rPr>
            </w:pPr>
            <w:r w:rsidRPr="00246927">
              <w:rPr>
                <w:color w:val="000000"/>
              </w:rPr>
              <w:t>ŘO</w:t>
            </w:r>
          </w:p>
        </w:tc>
        <w:tc>
          <w:tcPr>
            <w:tcW w:w="423" w:type="pct"/>
            <w:shd w:val="clear" w:color="auto" w:fill="auto"/>
            <w:vAlign w:val="center"/>
            <w:hideMark/>
          </w:tcPr>
          <w:p w:rsidR="00246927" w:rsidRPr="00246927" w:rsidRDefault="00246927" w:rsidP="00246927">
            <w:pPr>
              <w:jc w:val="center"/>
              <w:rPr>
                <w:color w:val="000000"/>
              </w:rPr>
            </w:pPr>
            <w:r w:rsidRPr="00246927">
              <w:rPr>
                <w:color w:val="000000"/>
              </w:rPr>
              <w:t>31. 3. 2014 / měsíčně</w:t>
            </w:r>
          </w:p>
        </w:tc>
        <w:tc>
          <w:tcPr>
            <w:tcW w:w="479" w:type="pct"/>
            <w:shd w:val="clear" w:color="auto" w:fill="auto"/>
            <w:vAlign w:val="center"/>
            <w:hideMark/>
          </w:tcPr>
          <w:p w:rsidR="00246927" w:rsidRPr="00246927" w:rsidRDefault="00246927" w:rsidP="00246927">
            <w:pPr>
              <w:rPr>
                <w:color w:val="000000"/>
              </w:rPr>
            </w:pPr>
            <w:r w:rsidRPr="00246927">
              <w:rPr>
                <w:color w:val="000000"/>
              </w:rPr>
              <w:t> </w:t>
            </w:r>
          </w:p>
        </w:tc>
        <w:tc>
          <w:tcPr>
            <w:tcW w:w="516" w:type="pct"/>
            <w:shd w:val="clear" w:color="auto" w:fill="auto"/>
            <w:noWrap/>
            <w:vAlign w:val="center"/>
            <w:hideMark/>
          </w:tcPr>
          <w:p w:rsidR="00246927" w:rsidRPr="00246927" w:rsidRDefault="00246927" w:rsidP="00246927">
            <w:pPr>
              <w:rPr>
                <w:color w:val="000000"/>
              </w:rPr>
            </w:pPr>
            <w:r w:rsidRPr="00246927">
              <w:rPr>
                <w:color w:val="000000"/>
              </w:rPr>
              <w:t>Plněno.</w:t>
            </w:r>
          </w:p>
        </w:tc>
        <w:tc>
          <w:tcPr>
            <w:tcW w:w="703" w:type="pct"/>
            <w:shd w:val="clear" w:color="auto" w:fill="auto"/>
            <w:vAlign w:val="center"/>
            <w:hideMark/>
          </w:tcPr>
          <w:p w:rsidR="00246927" w:rsidRPr="00246927" w:rsidRDefault="00246927" w:rsidP="009C2022">
            <w:pPr>
              <w:rPr>
                <w:color w:val="000000"/>
              </w:rPr>
            </w:pPr>
            <w:r w:rsidRPr="00246927">
              <w:rPr>
                <w:color w:val="000000"/>
              </w:rPr>
              <w:t>Plněno. Velké projekty řešeny v rámci pravidelných jednání s příjemci. Jednání probíhají minimálně jednou měsíčně a kromě zástupců příjemců a</w:t>
            </w:r>
            <w:r w:rsidR="009C2022">
              <w:rPr>
                <w:color w:val="000000"/>
              </w:rPr>
              <w:t xml:space="preserve"> ŘO se jich většinou účastní ta</w:t>
            </w:r>
            <w:r w:rsidRPr="00246927">
              <w:rPr>
                <w:color w:val="000000"/>
              </w:rPr>
              <w:t>k</w:t>
            </w:r>
            <w:r w:rsidR="009C2022">
              <w:rPr>
                <w:color w:val="000000"/>
              </w:rPr>
              <w:t>t</w:t>
            </w:r>
            <w:r w:rsidRPr="00246927">
              <w:rPr>
                <w:color w:val="000000"/>
              </w:rPr>
              <w:t>éž zástupci CRR. Na jednáních jsou podávány informace o aktuálním stavu projektů, diskutovány aktuální problémy, sledovány VŘ, harmonogramy atd. O průběžném stavu informuje ŘO vedení MMR každý měsíc prostřednict</w:t>
            </w:r>
            <w:r w:rsidR="009C2022">
              <w:rPr>
                <w:color w:val="000000"/>
              </w:rPr>
              <w:t>v</w:t>
            </w:r>
            <w:r w:rsidRPr="00246927">
              <w:rPr>
                <w:color w:val="000000"/>
              </w:rPr>
              <w:t xml:space="preserve">ím Měsíční monitorovací zprávy IOP.        </w:t>
            </w:r>
          </w:p>
        </w:tc>
        <w:tc>
          <w:tcPr>
            <w:tcW w:w="539" w:type="pct"/>
            <w:shd w:val="clear" w:color="auto" w:fill="auto"/>
            <w:vAlign w:val="center"/>
            <w:hideMark/>
          </w:tcPr>
          <w:p w:rsidR="00246927" w:rsidRPr="00246927" w:rsidRDefault="00246927" w:rsidP="008F5D3E">
            <w:pPr>
              <w:jc w:val="center"/>
            </w:pPr>
            <w:r w:rsidRPr="00246927">
              <w:t xml:space="preserve">Plněno. Projekt HZS je aktuálně v realizaci a zatím probíhá podle schváleného harmonogramu. K projektu probíhají jednání a </w:t>
            </w:r>
            <w:r w:rsidR="00C26609" w:rsidRPr="00246927">
              <w:t>konzultace průběžně</w:t>
            </w:r>
            <w:r w:rsidRPr="00246927">
              <w:t xml:space="preserve"> dle </w:t>
            </w:r>
            <w:r w:rsidR="00C26609" w:rsidRPr="00246927">
              <w:t>potřeby (zpravidla</w:t>
            </w:r>
            <w:r w:rsidRPr="00246927">
              <w:t xml:space="preserve"> častěji než 1x měsíčně).</w:t>
            </w:r>
            <w:r w:rsidRPr="00246927">
              <w:br/>
              <w:t xml:space="preserve">Realizace projektu PČR probíhá mimo režim velkých projektů. </w:t>
            </w:r>
          </w:p>
        </w:tc>
      </w:tr>
    </w:tbl>
    <w:p w:rsidR="00246927" w:rsidRDefault="00246927">
      <w:pPr>
        <w:rPr>
          <w:rStyle w:val="Siln"/>
          <w:b w:val="0"/>
        </w:rPr>
        <w:sectPr w:rsidR="00246927" w:rsidSect="003A2352">
          <w:pgSz w:w="16838" w:h="11906" w:orient="landscape"/>
          <w:pgMar w:top="1418" w:right="1418" w:bottom="1418" w:left="1418" w:header="709" w:footer="709" w:gutter="0"/>
          <w:cols w:space="708"/>
          <w:docGrid w:linePitch="360"/>
        </w:sectPr>
      </w:pPr>
    </w:p>
    <w:p w:rsidR="00CC5EFD" w:rsidRPr="000C38DC" w:rsidRDefault="00CC5EFD" w:rsidP="00CC5EFD">
      <w:pPr>
        <w:spacing w:after="200" w:line="276" w:lineRule="auto"/>
        <w:rPr>
          <w:rFonts w:eastAsiaTheme="minorHAnsi"/>
          <w:b/>
          <w:lang w:eastAsia="en-US"/>
        </w:rPr>
      </w:pPr>
      <w:r w:rsidRPr="000C38DC">
        <w:rPr>
          <w:rFonts w:eastAsiaTheme="minorHAnsi"/>
          <w:b/>
          <w:lang w:eastAsia="en-US"/>
        </w:rPr>
        <w:lastRenderedPageBreak/>
        <w:t>Informace k plnění nápravných opatření vzešlých z evaluace FN JESSICA v IOP</w:t>
      </w:r>
    </w:p>
    <w:tbl>
      <w:tblPr>
        <w:tblW w:w="0" w:type="auto"/>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ook w:val="04A0" w:firstRow="1" w:lastRow="0" w:firstColumn="1" w:lastColumn="0" w:noHBand="0" w:noVBand="1"/>
      </w:tblPr>
      <w:tblGrid>
        <w:gridCol w:w="2433"/>
        <w:gridCol w:w="2067"/>
        <w:gridCol w:w="994"/>
        <w:gridCol w:w="3792"/>
      </w:tblGrid>
      <w:tr w:rsidR="00CC5EFD" w:rsidRPr="000C38DC" w:rsidTr="00CA399B">
        <w:tc>
          <w:tcPr>
            <w:tcW w:w="2434" w:type="dxa"/>
            <w:shd w:val="clear" w:color="auto" w:fill="D6E3BC" w:themeFill="accent3" w:themeFillTint="66"/>
            <w:vAlign w:val="center"/>
          </w:tcPr>
          <w:p w:rsidR="00CC5EFD" w:rsidRPr="000C38DC" w:rsidRDefault="00CC5EFD" w:rsidP="009D2783">
            <w:pPr>
              <w:jc w:val="center"/>
              <w:rPr>
                <w:b/>
                <w:lang w:eastAsia="en-US" w:bidi="en-US"/>
              </w:rPr>
            </w:pPr>
            <w:r w:rsidRPr="000C38DC">
              <w:rPr>
                <w:b/>
                <w:lang w:eastAsia="en-US" w:bidi="en-US"/>
              </w:rPr>
              <w:t>Riziko</w:t>
            </w:r>
          </w:p>
        </w:tc>
        <w:tc>
          <w:tcPr>
            <w:tcW w:w="2067" w:type="dxa"/>
            <w:shd w:val="clear" w:color="auto" w:fill="D6E3BC" w:themeFill="accent3" w:themeFillTint="66"/>
            <w:vAlign w:val="center"/>
          </w:tcPr>
          <w:p w:rsidR="00CC5EFD" w:rsidRPr="000C38DC" w:rsidRDefault="00CC5EFD" w:rsidP="009D2783">
            <w:pPr>
              <w:jc w:val="center"/>
              <w:rPr>
                <w:rFonts w:eastAsiaTheme="minorHAnsi"/>
                <w:b/>
                <w:lang w:eastAsia="en-US"/>
              </w:rPr>
            </w:pPr>
            <w:r w:rsidRPr="000C38DC">
              <w:rPr>
                <w:rFonts w:eastAsiaTheme="minorHAnsi"/>
                <w:b/>
                <w:lang w:eastAsia="en-US"/>
              </w:rPr>
              <w:t>Plánovaný termín plnění nápravného opatření</w:t>
            </w:r>
          </w:p>
        </w:tc>
        <w:tc>
          <w:tcPr>
            <w:tcW w:w="994" w:type="dxa"/>
            <w:shd w:val="clear" w:color="auto" w:fill="D6E3BC" w:themeFill="accent3" w:themeFillTint="66"/>
            <w:vAlign w:val="center"/>
          </w:tcPr>
          <w:p w:rsidR="00CC5EFD" w:rsidRPr="000C38DC" w:rsidRDefault="00CC5EFD" w:rsidP="009D2783">
            <w:pPr>
              <w:jc w:val="center"/>
              <w:rPr>
                <w:rFonts w:eastAsiaTheme="minorHAnsi"/>
                <w:b/>
                <w:lang w:eastAsia="en-US"/>
              </w:rPr>
            </w:pPr>
            <w:r w:rsidRPr="000C38DC">
              <w:rPr>
                <w:b/>
                <w:lang w:eastAsia="en-US" w:bidi="en-US"/>
              </w:rPr>
              <w:t>Provádí</w:t>
            </w:r>
          </w:p>
        </w:tc>
        <w:tc>
          <w:tcPr>
            <w:tcW w:w="3793" w:type="dxa"/>
            <w:shd w:val="clear" w:color="auto" w:fill="D6E3BC" w:themeFill="accent3" w:themeFillTint="66"/>
            <w:vAlign w:val="center"/>
          </w:tcPr>
          <w:p w:rsidR="00CC5EFD" w:rsidRPr="000C38DC" w:rsidRDefault="00CC5EFD" w:rsidP="009D2783">
            <w:pPr>
              <w:jc w:val="center"/>
              <w:rPr>
                <w:rFonts w:eastAsiaTheme="minorHAnsi"/>
                <w:b/>
                <w:lang w:eastAsia="en-US"/>
              </w:rPr>
            </w:pPr>
            <w:r w:rsidRPr="000C38DC">
              <w:rPr>
                <w:rFonts w:eastAsiaTheme="minorHAnsi"/>
                <w:b/>
                <w:lang w:eastAsia="en-US"/>
              </w:rPr>
              <w:t>Informace o zpracování nápravného opatření</w:t>
            </w:r>
          </w:p>
        </w:tc>
      </w:tr>
      <w:tr w:rsidR="00CC5EFD" w:rsidRPr="000C38DC" w:rsidTr="00CA399B">
        <w:tc>
          <w:tcPr>
            <w:tcW w:w="2434" w:type="dxa"/>
            <w:vAlign w:val="center"/>
          </w:tcPr>
          <w:p w:rsidR="00CC5EFD" w:rsidRPr="000C38DC" w:rsidRDefault="00CC5EFD" w:rsidP="009D2783">
            <w:pPr>
              <w:rPr>
                <w:rFonts w:eastAsiaTheme="minorHAnsi"/>
                <w:lang w:eastAsia="en-US"/>
              </w:rPr>
            </w:pPr>
            <w:r w:rsidRPr="000C38DC">
              <w:rPr>
                <w:rFonts w:eastAsiaTheme="minorHAnsi"/>
                <w:b/>
                <w:color w:val="000000"/>
                <w:lang w:eastAsia="en-US"/>
              </w:rPr>
              <w:t>Nesdílení informací</w:t>
            </w:r>
          </w:p>
        </w:tc>
        <w:tc>
          <w:tcPr>
            <w:tcW w:w="2067" w:type="dxa"/>
            <w:vAlign w:val="center"/>
          </w:tcPr>
          <w:p w:rsidR="00CC5EFD" w:rsidRPr="000C38DC" w:rsidRDefault="00CC5EFD" w:rsidP="009D2783">
            <w:pPr>
              <w:rPr>
                <w:rFonts w:eastAsiaTheme="minorHAnsi"/>
                <w:lang w:eastAsia="en-US"/>
              </w:rPr>
            </w:pPr>
            <w:r w:rsidRPr="000C38DC">
              <w:rPr>
                <w:rFonts w:eastAsiaTheme="minorHAnsi"/>
                <w:color w:val="000000"/>
                <w:lang w:eastAsia="en-US"/>
              </w:rPr>
              <w:t>do 30. 11. 2014 zaslat na ŘO informaci, jak je nápravné opatření zpracováno</w:t>
            </w:r>
          </w:p>
        </w:tc>
        <w:tc>
          <w:tcPr>
            <w:tcW w:w="994" w:type="dxa"/>
            <w:vAlign w:val="center"/>
          </w:tcPr>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ŘO</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HF</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SFRM</w:t>
            </w:r>
          </w:p>
        </w:tc>
        <w:tc>
          <w:tcPr>
            <w:tcW w:w="3793" w:type="dxa"/>
            <w:vAlign w:val="center"/>
          </w:tcPr>
          <w:p w:rsidR="00CC5EFD" w:rsidRPr="000C38DC" w:rsidRDefault="00CC5EFD" w:rsidP="009D2783">
            <w:pPr>
              <w:rPr>
                <w:rFonts w:eastAsiaTheme="minorHAnsi"/>
                <w:color w:val="000000"/>
                <w:lang w:eastAsia="en-US"/>
              </w:rPr>
            </w:pPr>
            <w:r w:rsidRPr="000C38DC">
              <w:rPr>
                <w:rFonts w:eastAsiaTheme="minorHAnsi"/>
                <w:color w:val="000000"/>
                <w:lang w:eastAsia="en-US"/>
              </w:rPr>
              <w:t>ŘO: Ze strany ŘO je dodržování včasného informování o důležitých skutečnostech aplikováno. Pracovní jednání ad hoc se konají.</w:t>
            </w:r>
          </w:p>
          <w:p w:rsidR="00CC5EFD" w:rsidRPr="000C38DC" w:rsidRDefault="00CC5EFD" w:rsidP="009D2783">
            <w:pPr>
              <w:rPr>
                <w:rFonts w:eastAsiaTheme="minorHAnsi"/>
                <w:color w:val="000000"/>
                <w:lang w:eastAsia="en-US"/>
              </w:rPr>
            </w:pPr>
          </w:p>
          <w:p w:rsidR="00CC5EFD" w:rsidRPr="000C38DC" w:rsidRDefault="00CC5EFD" w:rsidP="009D2783">
            <w:pPr>
              <w:rPr>
                <w:rFonts w:eastAsiaTheme="minorHAnsi"/>
                <w:lang w:eastAsia="en-US"/>
              </w:rPr>
            </w:pPr>
            <w:r w:rsidRPr="000C38DC">
              <w:rPr>
                <w:rFonts w:eastAsiaTheme="minorHAnsi"/>
                <w:color w:val="000000"/>
                <w:lang w:eastAsia="en-US"/>
              </w:rPr>
              <w:t>HF:</w:t>
            </w:r>
            <w:r w:rsidRPr="000C38DC">
              <w:rPr>
                <w:rFonts w:eastAsiaTheme="minorHAnsi"/>
                <w:lang w:eastAsia="en-US"/>
              </w:rPr>
              <w:t xml:space="preserve"> Zástupci HF SFRB se pravidelně účastní půlročních pracovních setkání zástupců implementační struktury.</w:t>
            </w:r>
          </w:p>
          <w:p w:rsidR="00CC5EFD" w:rsidRPr="000C38DC" w:rsidRDefault="00CC5EFD" w:rsidP="009D2783">
            <w:pPr>
              <w:rPr>
                <w:rFonts w:eastAsiaTheme="minorHAnsi"/>
                <w:lang w:eastAsia="en-US"/>
              </w:rPr>
            </w:pPr>
            <w:r w:rsidRPr="000C38DC">
              <w:rPr>
                <w:rFonts w:eastAsiaTheme="minorHAnsi"/>
                <w:lang w:eastAsia="en-US"/>
              </w:rPr>
              <w:t xml:space="preserve">Dále aktuální otázky v oblasti implementace řeší HF formou „ad hoc“ jednání, </w:t>
            </w:r>
            <w:proofErr w:type="gramStart"/>
            <w:r w:rsidRPr="000C38DC">
              <w:rPr>
                <w:rFonts w:eastAsiaTheme="minorHAnsi"/>
                <w:lang w:eastAsia="en-US"/>
              </w:rPr>
              <w:t>tzn.</w:t>
            </w:r>
            <w:proofErr w:type="gramEnd"/>
            <w:r w:rsidRPr="000C38DC">
              <w:rPr>
                <w:rFonts w:eastAsiaTheme="minorHAnsi"/>
                <w:lang w:eastAsia="en-US"/>
              </w:rPr>
              <w:t xml:space="preserve"> HF </w:t>
            </w:r>
            <w:proofErr w:type="gramStart"/>
            <w:r w:rsidRPr="000C38DC">
              <w:rPr>
                <w:rFonts w:eastAsiaTheme="minorHAnsi"/>
                <w:lang w:eastAsia="en-US"/>
              </w:rPr>
              <w:t>vede</w:t>
            </w:r>
            <w:proofErr w:type="gramEnd"/>
            <w:r w:rsidRPr="000C38DC">
              <w:rPr>
                <w:rFonts w:eastAsiaTheme="minorHAnsi"/>
                <w:lang w:eastAsia="en-US"/>
              </w:rPr>
              <w:t xml:space="preserve"> průběžnou aktivní komunikaci s ŘO IOP a SFRM o průběhu celé implementace FN JESSICA zejména prostřednictvím emailu, telefonicky či osobně.</w:t>
            </w:r>
          </w:p>
          <w:p w:rsidR="00CC5EFD" w:rsidRPr="000C38DC" w:rsidRDefault="00CC5EFD" w:rsidP="009D2783">
            <w:pPr>
              <w:rPr>
                <w:rFonts w:eastAsiaTheme="minorHAnsi"/>
                <w:lang w:eastAsia="en-US"/>
              </w:rPr>
            </w:pPr>
          </w:p>
          <w:p w:rsidR="00CC5EFD" w:rsidRPr="000C38DC" w:rsidRDefault="00CC5EFD" w:rsidP="009D2783">
            <w:pPr>
              <w:rPr>
                <w:rFonts w:eastAsiaTheme="minorHAnsi"/>
                <w:color w:val="1F497D"/>
                <w:lang w:eastAsia="en-US"/>
              </w:rPr>
            </w:pPr>
            <w:r w:rsidRPr="000C38DC">
              <w:rPr>
                <w:rFonts w:eastAsiaTheme="minorHAnsi"/>
                <w:lang w:eastAsia="en-US"/>
              </w:rPr>
              <w:t>SFRM: Plněno pravidelným setkáním mezi zástupci SFRM, HF SFRB.</w:t>
            </w:r>
          </w:p>
          <w:p w:rsidR="00CC5EFD" w:rsidRPr="000C38DC" w:rsidRDefault="00CC5EFD" w:rsidP="009D2783">
            <w:pPr>
              <w:rPr>
                <w:rFonts w:eastAsiaTheme="minorHAnsi"/>
                <w:lang w:eastAsia="en-US"/>
              </w:rPr>
            </w:pPr>
          </w:p>
        </w:tc>
      </w:tr>
      <w:tr w:rsidR="00CC5EFD" w:rsidRPr="000C38DC" w:rsidTr="00CA399B">
        <w:tc>
          <w:tcPr>
            <w:tcW w:w="2434" w:type="dxa"/>
            <w:vAlign w:val="center"/>
          </w:tcPr>
          <w:p w:rsidR="00CC5EFD" w:rsidRPr="000C38DC" w:rsidRDefault="00CC5EFD" w:rsidP="009D2783">
            <w:pPr>
              <w:rPr>
                <w:rFonts w:eastAsiaTheme="minorHAnsi"/>
                <w:lang w:eastAsia="en-US"/>
              </w:rPr>
            </w:pPr>
            <w:r w:rsidRPr="000C38DC">
              <w:rPr>
                <w:rFonts w:eastAsiaTheme="minorHAnsi"/>
                <w:b/>
                <w:color w:val="000000"/>
                <w:lang w:eastAsia="en-US"/>
              </w:rPr>
              <w:t>Nedostatečné nastavení kontrolních mechanismů</w:t>
            </w:r>
          </w:p>
        </w:tc>
        <w:tc>
          <w:tcPr>
            <w:tcW w:w="2067" w:type="dxa"/>
            <w:vAlign w:val="center"/>
          </w:tcPr>
          <w:p w:rsidR="00CC5EFD" w:rsidRPr="000C38DC" w:rsidRDefault="00CC5EFD" w:rsidP="009D2783">
            <w:pPr>
              <w:rPr>
                <w:rFonts w:eastAsiaTheme="minorHAnsi"/>
                <w:lang w:eastAsia="en-US"/>
              </w:rPr>
            </w:pPr>
            <w:r w:rsidRPr="000C38DC">
              <w:rPr>
                <w:rFonts w:eastAsiaTheme="minorHAnsi"/>
                <w:color w:val="000000"/>
                <w:lang w:eastAsia="en-US"/>
              </w:rPr>
              <w:t>do 30. 11. 2014 zaslat na ŘO informaci, jak je nápravné opatření zpracováno</w:t>
            </w:r>
          </w:p>
        </w:tc>
        <w:tc>
          <w:tcPr>
            <w:tcW w:w="994" w:type="dxa"/>
            <w:vAlign w:val="center"/>
          </w:tcPr>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ŘO</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HF</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SFRM</w:t>
            </w:r>
          </w:p>
        </w:tc>
        <w:tc>
          <w:tcPr>
            <w:tcW w:w="3793" w:type="dxa"/>
            <w:vAlign w:val="center"/>
          </w:tcPr>
          <w:p w:rsidR="00CC5EFD" w:rsidRPr="000C38DC" w:rsidRDefault="00CC5EFD" w:rsidP="009D2783">
            <w:pPr>
              <w:rPr>
                <w:rFonts w:eastAsiaTheme="minorHAnsi"/>
                <w:color w:val="000000"/>
                <w:lang w:eastAsia="en-US"/>
              </w:rPr>
            </w:pPr>
            <w:r w:rsidRPr="000C38DC">
              <w:rPr>
                <w:rFonts w:eastAsiaTheme="minorHAnsi"/>
                <w:color w:val="000000"/>
                <w:lang w:eastAsia="en-US"/>
              </w:rPr>
              <w:t>ŘO: Riziko bude promítnuto v analýze rizik k 9. monitorovací zprávě HF.</w:t>
            </w:r>
          </w:p>
          <w:p w:rsidR="00CC5EFD" w:rsidRPr="000C38DC" w:rsidRDefault="00CC5EFD" w:rsidP="009D2783">
            <w:pPr>
              <w:rPr>
                <w:rFonts w:eastAsiaTheme="minorHAnsi"/>
                <w:color w:val="000000"/>
                <w:lang w:eastAsia="en-US"/>
              </w:rPr>
            </w:pPr>
          </w:p>
          <w:p w:rsidR="00CC5EFD" w:rsidRPr="000C38DC" w:rsidRDefault="00CC5EFD" w:rsidP="009D2783">
            <w:pPr>
              <w:rPr>
                <w:rFonts w:eastAsiaTheme="minorHAnsi"/>
                <w:lang w:eastAsia="en-US"/>
              </w:rPr>
            </w:pPr>
            <w:r w:rsidRPr="000C38DC">
              <w:rPr>
                <w:rFonts w:eastAsiaTheme="minorHAnsi"/>
                <w:color w:val="000000"/>
                <w:lang w:eastAsia="en-US"/>
              </w:rPr>
              <w:t xml:space="preserve">HF: </w:t>
            </w:r>
            <w:r w:rsidRPr="000C38DC">
              <w:rPr>
                <w:rFonts w:eastAsiaTheme="minorHAnsi"/>
                <w:lang w:eastAsia="en-US"/>
              </w:rPr>
              <w:t xml:space="preserve">Zaměstnanci HF se pravidelně účastní odborných školení. </w:t>
            </w:r>
          </w:p>
          <w:p w:rsidR="00CC5EFD" w:rsidRPr="000C38DC" w:rsidRDefault="00CC5EFD" w:rsidP="009D2783">
            <w:pPr>
              <w:rPr>
                <w:rFonts w:eastAsiaTheme="minorHAnsi"/>
                <w:lang w:eastAsia="en-US"/>
              </w:rPr>
            </w:pPr>
            <w:r w:rsidRPr="000C38DC">
              <w:rPr>
                <w:rFonts w:eastAsiaTheme="minorHAnsi"/>
                <w:lang w:eastAsia="en-US"/>
              </w:rPr>
              <w:t xml:space="preserve">Jednotné postupy a administrativní kontroly jsou zajištěny ŘKS, Smlouvou o správě finančních prostředků, Obchodním plánem </w:t>
            </w:r>
            <w:r w:rsidR="005B1D87">
              <w:rPr>
                <w:rFonts w:eastAsiaTheme="minorHAnsi"/>
                <w:lang w:eastAsia="en-US"/>
              </w:rPr>
              <w:br/>
            </w:r>
            <w:r w:rsidRPr="000C38DC">
              <w:rPr>
                <w:rFonts w:eastAsiaTheme="minorHAnsi"/>
                <w:lang w:eastAsia="en-US"/>
              </w:rPr>
              <w:t>a Manuálem kontrolních činností včetně kontrolních listů.</w:t>
            </w:r>
          </w:p>
          <w:p w:rsidR="00CC5EFD" w:rsidRPr="000C38DC" w:rsidRDefault="00CC5EFD" w:rsidP="009D2783">
            <w:pPr>
              <w:rPr>
                <w:rFonts w:eastAsiaTheme="minorHAnsi"/>
                <w:lang w:eastAsia="en-US"/>
              </w:rPr>
            </w:pPr>
            <w:r w:rsidRPr="000C38DC">
              <w:rPr>
                <w:rFonts w:eastAsiaTheme="minorHAnsi"/>
                <w:lang w:eastAsia="en-US"/>
              </w:rPr>
              <w:t>Popisy pracovních míst zajišťují jasné rozdělení pracovních činností mezi zaměstnance HF. Pravomoci zaměstnanců vyplývají z ŘKS. V případě nepřítomnosti (nemoc, dovolená, služební cesta) je agenda vždy předána, zajištěn zástup a zajištěna následná kontinuita nastavených postupů.</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 xml:space="preserve">SFRM: SFRM aktualizoval interní Pokyn k Programu, který reagoval na aktuální řešení jednotlivých úvěrů. Zároveň ve spolupráci s HF aktualizoval obchodní plán v této oblasti. </w:t>
            </w:r>
          </w:p>
          <w:p w:rsidR="00CC5EFD" w:rsidRPr="000C38DC" w:rsidRDefault="00CC5EFD" w:rsidP="009D2783">
            <w:pPr>
              <w:rPr>
                <w:rFonts w:eastAsiaTheme="minorHAnsi"/>
                <w:lang w:eastAsia="en-US"/>
              </w:rPr>
            </w:pPr>
            <w:r w:rsidRPr="000C38DC">
              <w:rPr>
                <w:rFonts w:eastAsiaTheme="minorHAnsi"/>
                <w:lang w:eastAsia="en-US"/>
              </w:rPr>
              <w:t>SFRM provedl interní audit, který rovněž identifikoval různá nápravná opatření a zároveň provedl kontrolu určitého počtu obchodních případů. Chybovost v předkládaných projektech se snížila na minimum.</w:t>
            </w:r>
          </w:p>
        </w:tc>
      </w:tr>
      <w:tr w:rsidR="00CC5EFD" w:rsidRPr="000C38DC" w:rsidTr="00CA399B">
        <w:tc>
          <w:tcPr>
            <w:tcW w:w="2434" w:type="dxa"/>
            <w:vAlign w:val="center"/>
          </w:tcPr>
          <w:p w:rsidR="00CC5EFD" w:rsidRPr="000C38DC" w:rsidRDefault="00CC5EFD" w:rsidP="009D2783">
            <w:pPr>
              <w:rPr>
                <w:rFonts w:eastAsiaTheme="minorHAnsi"/>
                <w:lang w:eastAsia="en-US"/>
              </w:rPr>
            </w:pPr>
            <w:r w:rsidRPr="000C38DC">
              <w:rPr>
                <w:rFonts w:eastAsiaTheme="minorHAnsi"/>
                <w:b/>
                <w:color w:val="000000"/>
                <w:lang w:eastAsia="en-US"/>
              </w:rPr>
              <w:t>Fluktuace</w:t>
            </w:r>
          </w:p>
        </w:tc>
        <w:tc>
          <w:tcPr>
            <w:tcW w:w="2067" w:type="dxa"/>
            <w:vAlign w:val="center"/>
          </w:tcPr>
          <w:p w:rsidR="00CC5EFD" w:rsidRPr="000C38DC" w:rsidRDefault="00CC5EFD" w:rsidP="009D2783">
            <w:pPr>
              <w:rPr>
                <w:rFonts w:eastAsiaTheme="minorHAnsi"/>
                <w:lang w:eastAsia="en-US"/>
              </w:rPr>
            </w:pPr>
            <w:r w:rsidRPr="000C38DC">
              <w:rPr>
                <w:rFonts w:eastAsiaTheme="minorHAnsi"/>
                <w:color w:val="000000"/>
                <w:lang w:eastAsia="en-US"/>
              </w:rPr>
              <w:t>do 30. 11. 2014 zaslat na ŘO informaci, jak je nápravné opatření zpracováno</w:t>
            </w:r>
          </w:p>
        </w:tc>
        <w:tc>
          <w:tcPr>
            <w:tcW w:w="994" w:type="dxa"/>
            <w:vAlign w:val="center"/>
          </w:tcPr>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ŘO</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 xml:space="preserve">HF </w:t>
            </w:r>
          </w:p>
          <w:p w:rsidR="00CC5EFD" w:rsidRPr="000C38DC" w:rsidRDefault="00CC5EFD" w:rsidP="009D2783">
            <w:pPr>
              <w:jc w:val="center"/>
              <w:rPr>
                <w:rFonts w:eastAsiaTheme="minorHAnsi"/>
                <w:lang w:eastAsia="en-US"/>
              </w:rPr>
            </w:pPr>
            <w:r w:rsidRPr="000C38DC">
              <w:rPr>
                <w:rFonts w:eastAsiaTheme="minorHAnsi"/>
                <w:color w:val="000000"/>
                <w:lang w:eastAsia="en-US"/>
              </w:rPr>
              <w:t>SFRM</w:t>
            </w:r>
          </w:p>
        </w:tc>
        <w:tc>
          <w:tcPr>
            <w:tcW w:w="3793" w:type="dxa"/>
            <w:vAlign w:val="center"/>
          </w:tcPr>
          <w:p w:rsidR="00CC5EFD" w:rsidRPr="000C38DC" w:rsidRDefault="00CC5EFD" w:rsidP="009D2783">
            <w:pPr>
              <w:rPr>
                <w:rFonts w:eastAsiaTheme="minorHAnsi"/>
                <w:lang w:eastAsia="en-US"/>
              </w:rPr>
            </w:pPr>
            <w:r w:rsidRPr="000C38DC">
              <w:rPr>
                <w:rFonts w:eastAsiaTheme="minorHAnsi"/>
                <w:lang w:eastAsia="en-US"/>
              </w:rPr>
              <w:t xml:space="preserve">ŘO má zajištěnou stabilní personální situaci a zastupitelnost – garant pro FN a vedoucí oddělení metodiky. ŘO využívá systém vzdělávání a finanční motivace pro zajištění administrativně stabilního prostředí. </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 xml:space="preserve">HF: HF vytváří pracovní podmínky </w:t>
            </w:r>
            <w:r w:rsidR="005B1D87">
              <w:rPr>
                <w:rFonts w:eastAsiaTheme="minorHAnsi"/>
                <w:lang w:eastAsia="en-US"/>
              </w:rPr>
              <w:br/>
            </w:r>
            <w:r w:rsidRPr="000C38DC">
              <w:rPr>
                <w:rFonts w:eastAsiaTheme="minorHAnsi"/>
                <w:lang w:eastAsia="en-US"/>
              </w:rPr>
              <w:t>a systém finanční motivace v</w:t>
            </w:r>
            <w:r w:rsidR="005B1D87">
              <w:rPr>
                <w:rFonts w:eastAsiaTheme="minorHAnsi"/>
                <w:lang w:eastAsia="en-US"/>
              </w:rPr>
              <w:t> </w:t>
            </w:r>
            <w:r w:rsidRPr="000C38DC">
              <w:rPr>
                <w:rFonts w:eastAsiaTheme="minorHAnsi"/>
                <w:lang w:eastAsia="en-US"/>
              </w:rPr>
              <w:t>souladu</w:t>
            </w:r>
            <w:r w:rsidR="005B1D87">
              <w:rPr>
                <w:rFonts w:eastAsiaTheme="minorHAnsi"/>
                <w:lang w:eastAsia="en-US"/>
              </w:rPr>
              <w:br/>
            </w:r>
            <w:r w:rsidRPr="000C38DC">
              <w:rPr>
                <w:rFonts w:eastAsiaTheme="minorHAnsi"/>
                <w:lang w:eastAsia="en-US"/>
              </w:rPr>
              <w:lastRenderedPageBreak/>
              <w:t xml:space="preserve">s rozpočtem HF a zároveň vytváří podmínky nefinanční motivace zaměstnanců. </w:t>
            </w:r>
          </w:p>
          <w:p w:rsidR="00CC5EFD" w:rsidRPr="000C38DC" w:rsidRDefault="00CC5EFD" w:rsidP="009D2783">
            <w:pPr>
              <w:rPr>
                <w:rFonts w:eastAsiaTheme="minorHAnsi"/>
                <w:lang w:eastAsia="en-US"/>
              </w:rPr>
            </w:pPr>
            <w:r w:rsidRPr="000C38DC">
              <w:rPr>
                <w:rFonts w:eastAsiaTheme="minorHAnsi"/>
                <w:lang w:eastAsia="en-US"/>
              </w:rPr>
              <w:t>V případě rizika odchodu zaměstnanců reaguje HF včasným vypsáním výběrového řízení se stanovenými kvalifikačními požadavky, které vytváří předpoklad pro rychlé zapracování do problematiky FN JESSICA a eliminace výpadku pracovních činností.</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SFRM: SFRM nezaznamenal takovou fluktuaci, která by ovlivňovala chod Programu. V obchodní síti je plná zastupitelnost v každé fázi vyhodnocování žádosti.</w:t>
            </w:r>
          </w:p>
        </w:tc>
      </w:tr>
      <w:tr w:rsidR="00CC5EFD" w:rsidRPr="000C38DC" w:rsidTr="00CA399B">
        <w:tc>
          <w:tcPr>
            <w:tcW w:w="2434" w:type="dxa"/>
            <w:vAlign w:val="center"/>
          </w:tcPr>
          <w:p w:rsidR="00CC5EFD" w:rsidRPr="000C38DC" w:rsidRDefault="00CC5EFD" w:rsidP="009D2783">
            <w:pPr>
              <w:rPr>
                <w:rFonts w:eastAsiaTheme="minorHAnsi"/>
                <w:lang w:eastAsia="en-US"/>
              </w:rPr>
            </w:pPr>
            <w:r w:rsidRPr="000C38DC">
              <w:rPr>
                <w:rFonts w:eastAsiaTheme="minorHAnsi"/>
                <w:b/>
                <w:color w:val="000000"/>
                <w:lang w:eastAsia="en-US"/>
              </w:rPr>
              <w:lastRenderedPageBreak/>
              <w:t>Neodbornost pracovníků</w:t>
            </w:r>
          </w:p>
        </w:tc>
        <w:tc>
          <w:tcPr>
            <w:tcW w:w="2067" w:type="dxa"/>
            <w:vAlign w:val="center"/>
          </w:tcPr>
          <w:p w:rsidR="00CC5EFD" w:rsidRPr="000C38DC" w:rsidRDefault="00CC5EFD" w:rsidP="009D2783">
            <w:pPr>
              <w:rPr>
                <w:rFonts w:eastAsiaTheme="minorHAnsi"/>
                <w:lang w:eastAsia="en-US"/>
              </w:rPr>
            </w:pPr>
            <w:r w:rsidRPr="000C38DC">
              <w:rPr>
                <w:rFonts w:eastAsiaTheme="minorHAnsi"/>
                <w:color w:val="000000"/>
                <w:lang w:eastAsia="en-US"/>
              </w:rPr>
              <w:t>do 30. 11. 2014 zaslat na ŘO informaci, jak je nápravné opatření zpracováno</w:t>
            </w:r>
          </w:p>
        </w:tc>
        <w:tc>
          <w:tcPr>
            <w:tcW w:w="994" w:type="dxa"/>
            <w:vAlign w:val="center"/>
          </w:tcPr>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ŘO</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 xml:space="preserve">HF </w:t>
            </w:r>
          </w:p>
          <w:p w:rsidR="00CC5EFD" w:rsidRPr="000C38DC" w:rsidRDefault="00CC5EFD" w:rsidP="009D2783">
            <w:pPr>
              <w:jc w:val="center"/>
              <w:rPr>
                <w:rFonts w:eastAsiaTheme="minorHAnsi"/>
                <w:lang w:eastAsia="en-US"/>
              </w:rPr>
            </w:pPr>
            <w:r w:rsidRPr="000C38DC">
              <w:rPr>
                <w:rFonts w:eastAsiaTheme="minorHAnsi"/>
                <w:color w:val="000000"/>
                <w:lang w:eastAsia="en-US"/>
              </w:rPr>
              <w:t>SFRM</w:t>
            </w:r>
          </w:p>
        </w:tc>
        <w:tc>
          <w:tcPr>
            <w:tcW w:w="3793" w:type="dxa"/>
            <w:vAlign w:val="center"/>
          </w:tcPr>
          <w:p w:rsidR="00CC5EFD" w:rsidRPr="000C38DC" w:rsidRDefault="00CC5EFD" w:rsidP="009D2783">
            <w:pPr>
              <w:rPr>
                <w:rFonts w:eastAsiaTheme="minorHAnsi"/>
                <w:lang w:eastAsia="en-US"/>
              </w:rPr>
            </w:pPr>
            <w:r w:rsidRPr="000C38DC">
              <w:rPr>
                <w:rFonts w:eastAsiaTheme="minorHAnsi"/>
                <w:lang w:eastAsia="en-US"/>
              </w:rPr>
              <w:t>ŘO: pracovníci, kteří se zabývají realizací FN JESSICA, mají na každý rok vypracovaný vzdělávací plán a zúčastňují se relevantních vzdělávacích akcí.</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HF: Všichni zaměstnanci HF mají VŠ vzdělání, tým je složen z oborníků pohybujících se ve VS, SF/ESIF a bankovnictví.</w:t>
            </w:r>
          </w:p>
          <w:p w:rsidR="00CC5EFD" w:rsidRPr="000C38DC" w:rsidRDefault="00CC5EFD" w:rsidP="009D2783">
            <w:pPr>
              <w:rPr>
                <w:rFonts w:eastAsiaTheme="minorHAnsi"/>
                <w:lang w:eastAsia="en-US"/>
              </w:rPr>
            </w:pPr>
            <w:r w:rsidRPr="000C38DC">
              <w:rPr>
                <w:rFonts w:eastAsiaTheme="minorHAnsi"/>
                <w:lang w:eastAsia="en-US"/>
              </w:rPr>
              <w:t>Všichni zaměstnanci HF jsou přihlášeni do vzdělávacího systému NSRR, kdy se pravidelně účastní odborných školení souvisejících s problematikou a činností SF/ESIF.</w:t>
            </w:r>
          </w:p>
          <w:p w:rsidR="00CC5EFD" w:rsidRPr="000C38DC" w:rsidRDefault="00CC5EFD" w:rsidP="009D2783">
            <w:pPr>
              <w:rPr>
                <w:rFonts w:eastAsiaTheme="minorHAnsi"/>
                <w:lang w:eastAsia="en-US"/>
              </w:rPr>
            </w:pPr>
            <w:r w:rsidRPr="000C38DC">
              <w:rPr>
                <w:rFonts w:eastAsiaTheme="minorHAnsi"/>
                <w:lang w:eastAsia="en-US"/>
              </w:rPr>
              <w:t xml:space="preserve">V rámci HF SFRB probíhá důkladná řídící kontrola v souladu s vnitřními předpisy SFRB. </w:t>
            </w:r>
          </w:p>
          <w:p w:rsidR="00CC5EFD" w:rsidRPr="000C38DC" w:rsidRDefault="00CC5EFD" w:rsidP="009D2783">
            <w:pPr>
              <w:ind w:left="720"/>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SFRM: Plněno specifickým proškolováním pracovníků, kteří se podílejí na realizaci.</w:t>
            </w:r>
          </w:p>
        </w:tc>
      </w:tr>
      <w:tr w:rsidR="00CC5EFD" w:rsidRPr="000C38DC" w:rsidTr="00CA399B">
        <w:tc>
          <w:tcPr>
            <w:tcW w:w="2434" w:type="dxa"/>
            <w:vAlign w:val="center"/>
          </w:tcPr>
          <w:p w:rsidR="00CC5EFD" w:rsidRPr="000C38DC" w:rsidRDefault="00CC5EFD" w:rsidP="009D2783">
            <w:pPr>
              <w:rPr>
                <w:rFonts w:eastAsiaTheme="minorHAnsi"/>
                <w:lang w:eastAsia="en-US"/>
              </w:rPr>
            </w:pPr>
            <w:r w:rsidRPr="000C38DC">
              <w:rPr>
                <w:rFonts w:eastAsiaTheme="minorHAnsi"/>
                <w:b/>
                <w:color w:val="000000"/>
                <w:lang w:eastAsia="en-US"/>
              </w:rPr>
              <w:t>Selhání lidského faktoru</w:t>
            </w:r>
          </w:p>
        </w:tc>
        <w:tc>
          <w:tcPr>
            <w:tcW w:w="2067" w:type="dxa"/>
            <w:vAlign w:val="center"/>
          </w:tcPr>
          <w:p w:rsidR="00CC5EFD" w:rsidRPr="000C38DC" w:rsidRDefault="00CC5EFD" w:rsidP="009D2783">
            <w:pPr>
              <w:rPr>
                <w:rFonts w:eastAsiaTheme="minorHAnsi"/>
                <w:lang w:eastAsia="en-US"/>
              </w:rPr>
            </w:pPr>
            <w:r w:rsidRPr="000C38DC">
              <w:rPr>
                <w:rFonts w:eastAsiaTheme="minorHAnsi"/>
                <w:color w:val="000000"/>
                <w:lang w:eastAsia="en-US"/>
              </w:rPr>
              <w:t>do 30. 11. 2014 zaslat na ŘO informaci, jak je nápravné opatření zpracováno</w:t>
            </w:r>
          </w:p>
        </w:tc>
        <w:tc>
          <w:tcPr>
            <w:tcW w:w="994" w:type="dxa"/>
            <w:vAlign w:val="center"/>
          </w:tcPr>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ŘO</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HF</w:t>
            </w:r>
          </w:p>
          <w:p w:rsidR="00CC5EFD" w:rsidRPr="000C38DC" w:rsidRDefault="00CC5EFD" w:rsidP="009D2783">
            <w:pPr>
              <w:jc w:val="center"/>
              <w:rPr>
                <w:rFonts w:eastAsiaTheme="minorHAnsi"/>
                <w:lang w:eastAsia="en-US"/>
              </w:rPr>
            </w:pPr>
            <w:r w:rsidRPr="000C38DC">
              <w:rPr>
                <w:rFonts w:eastAsiaTheme="minorHAnsi"/>
                <w:color w:val="000000"/>
                <w:lang w:eastAsia="en-US"/>
              </w:rPr>
              <w:t>SFRM</w:t>
            </w:r>
          </w:p>
        </w:tc>
        <w:tc>
          <w:tcPr>
            <w:tcW w:w="3793" w:type="dxa"/>
            <w:vAlign w:val="center"/>
          </w:tcPr>
          <w:p w:rsidR="00CC5EFD" w:rsidRPr="000C38DC" w:rsidRDefault="00CC5EFD" w:rsidP="009D2783">
            <w:pPr>
              <w:rPr>
                <w:rFonts w:eastAsiaTheme="minorHAnsi"/>
                <w:lang w:eastAsia="en-US"/>
              </w:rPr>
            </w:pPr>
            <w:r w:rsidRPr="000C38DC">
              <w:rPr>
                <w:rFonts w:eastAsiaTheme="minorHAnsi"/>
                <w:lang w:eastAsia="en-US"/>
              </w:rPr>
              <w:t xml:space="preserve">ŘO: postupuje v souladu s Manuálem pro realizaci FN JESSICA. Má nastavený kontrolní systém, podle kterého kontroluje všechny monitorovací zprávy holdingového fondu, všechny jeho výdaje a zadávací řízení. </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 xml:space="preserve">ŘO v průběhu roku 2014 provedl evaluaci FN JESSICA, na kterou naváže kontrola účinnosti kontrolního systému FN, zakončená v roce 2015. </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 xml:space="preserve">Ve druhém pololetí roku 2015 provede ŘO kontrolu na místě. </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HF: HF zajišťuje výkon kontrol v souladu s Manuálem kontrolních činností HF zahrnující kontroly v souladu se zákonem č. 320/2001 Sb., o finanční kontrole a zákonem č. 255/2012 Sb., Kontrolní řád.</w:t>
            </w:r>
          </w:p>
          <w:p w:rsidR="00CC5EFD" w:rsidRPr="000C38DC" w:rsidRDefault="00CC5EFD" w:rsidP="009D2783">
            <w:pPr>
              <w:rPr>
                <w:rFonts w:eastAsiaTheme="minorHAnsi"/>
                <w:lang w:eastAsia="en-US"/>
              </w:rPr>
            </w:pPr>
            <w:r w:rsidRPr="000C38DC">
              <w:rPr>
                <w:rFonts w:eastAsiaTheme="minorHAnsi"/>
                <w:lang w:eastAsia="en-US"/>
              </w:rPr>
              <w:t xml:space="preserve">V rámci HF SFRB probíhá důkladná řídící kontrola v souladu s vnitřními předpisy SFRB. </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lastRenderedPageBreak/>
              <w:t>SFRM: SFRM zajišťuje výkon dle svých interních předpisů a veškerá činnost podléhá přesně daným schvalovacím pravomocím.</w:t>
            </w:r>
          </w:p>
        </w:tc>
      </w:tr>
      <w:tr w:rsidR="00CC5EFD" w:rsidRPr="000C38DC" w:rsidTr="00CA399B">
        <w:trPr>
          <w:trHeight w:val="3454"/>
        </w:trPr>
        <w:tc>
          <w:tcPr>
            <w:tcW w:w="2434" w:type="dxa"/>
            <w:vAlign w:val="center"/>
          </w:tcPr>
          <w:p w:rsidR="00CC5EFD" w:rsidRPr="000C38DC" w:rsidRDefault="00CC5EFD" w:rsidP="009D2783">
            <w:pPr>
              <w:rPr>
                <w:rFonts w:eastAsiaTheme="minorHAnsi"/>
                <w:lang w:eastAsia="en-US"/>
              </w:rPr>
            </w:pPr>
            <w:r w:rsidRPr="000C38DC">
              <w:rPr>
                <w:rFonts w:eastAsiaTheme="minorHAnsi"/>
                <w:b/>
                <w:color w:val="000000"/>
                <w:lang w:eastAsia="en-US"/>
              </w:rPr>
              <w:lastRenderedPageBreak/>
              <w:t xml:space="preserve">Nedodržování termínů </w:t>
            </w:r>
            <w:r w:rsidR="005B1D87">
              <w:rPr>
                <w:rFonts w:eastAsiaTheme="minorHAnsi"/>
                <w:b/>
                <w:color w:val="000000"/>
                <w:lang w:eastAsia="en-US"/>
              </w:rPr>
              <w:br/>
            </w:r>
            <w:r w:rsidRPr="000C38DC">
              <w:rPr>
                <w:rFonts w:eastAsiaTheme="minorHAnsi"/>
                <w:b/>
                <w:color w:val="000000"/>
                <w:lang w:eastAsia="en-US"/>
              </w:rPr>
              <w:t>a lhůt</w:t>
            </w:r>
          </w:p>
        </w:tc>
        <w:tc>
          <w:tcPr>
            <w:tcW w:w="2067" w:type="dxa"/>
            <w:vAlign w:val="center"/>
          </w:tcPr>
          <w:p w:rsidR="00CC5EFD" w:rsidRPr="000C38DC" w:rsidRDefault="00CC5EFD" w:rsidP="009D2783">
            <w:pPr>
              <w:rPr>
                <w:rFonts w:eastAsiaTheme="minorHAnsi"/>
                <w:lang w:eastAsia="en-US"/>
              </w:rPr>
            </w:pPr>
            <w:r w:rsidRPr="000C38DC">
              <w:rPr>
                <w:rFonts w:eastAsiaTheme="minorHAnsi"/>
                <w:color w:val="000000"/>
                <w:lang w:eastAsia="en-US"/>
              </w:rPr>
              <w:t>do 30. 11. 2014 zaslat na ŘO informaci, jak je nápravné opatření zpracováno</w:t>
            </w:r>
          </w:p>
        </w:tc>
        <w:tc>
          <w:tcPr>
            <w:tcW w:w="994" w:type="dxa"/>
            <w:vAlign w:val="center"/>
          </w:tcPr>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ŘO</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HF</w:t>
            </w:r>
          </w:p>
          <w:p w:rsidR="00CC5EFD" w:rsidRPr="000C38DC" w:rsidRDefault="00CC5EFD" w:rsidP="009D2783">
            <w:pPr>
              <w:jc w:val="center"/>
              <w:rPr>
                <w:rFonts w:eastAsiaTheme="minorHAnsi"/>
                <w:color w:val="000000"/>
                <w:lang w:eastAsia="en-US"/>
              </w:rPr>
            </w:pPr>
            <w:r w:rsidRPr="000C38DC">
              <w:rPr>
                <w:rFonts w:eastAsiaTheme="minorHAnsi"/>
                <w:color w:val="000000"/>
                <w:lang w:eastAsia="en-US"/>
              </w:rPr>
              <w:t>SFRM</w:t>
            </w:r>
          </w:p>
        </w:tc>
        <w:tc>
          <w:tcPr>
            <w:tcW w:w="3793" w:type="dxa"/>
            <w:vAlign w:val="center"/>
          </w:tcPr>
          <w:p w:rsidR="00CC5EFD" w:rsidRPr="000C38DC" w:rsidRDefault="00CC5EFD" w:rsidP="009D2783">
            <w:pPr>
              <w:rPr>
                <w:rFonts w:eastAsiaTheme="minorHAnsi"/>
                <w:lang w:eastAsia="en-US"/>
              </w:rPr>
            </w:pPr>
            <w:r w:rsidRPr="000C38DC">
              <w:rPr>
                <w:rFonts w:eastAsiaTheme="minorHAnsi"/>
                <w:color w:val="000000"/>
                <w:lang w:eastAsia="en-US"/>
              </w:rPr>
              <w:t>ŘO: Ze strany ŘO je zvýšená pozornost na dodržování termínů a lhůt. Od vydání závěrečné zprávy evaluace FNJ nedošlo ze strany ŘO k porušení závazných lhůt. ŘO v rámci možností na interní rovině urychlil vyřízení MZ či OOZP.</w:t>
            </w:r>
            <w:r w:rsidRPr="000C38DC">
              <w:rPr>
                <w:rFonts w:eastAsiaTheme="minorHAnsi"/>
                <w:lang w:eastAsia="en-US"/>
              </w:rPr>
              <w:t xml:space="preserve"> </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HF: HF dodržuje stanovené lhůty vůči všem subjektům implementační struktury dle Smlouvy o správě finančních prostředků, Obchodního plánu, Manuálu kontrolních činností HF, Rozhodnutí o poskytnutí dotace a dle Manuálu pro realizaci FN JESSICA v IOP.</w:t>
            </w:r>
          </w:p>
          <w:p w:rsidR="00CC5EFD" w:rsidRPr="000C38DC" w:rsidRDefault="00CC5EFD" w:rsidP="009D2783">
            <w:pPr>
              <w:rPr>
                <w:rFonts w:eastAsiaTheme="minorHAnsi"/>
                <w:lang w:eastAsia="en-US"/>
              </w:rPr>
            </w:pPr>
          </w:p>
          <w:p w:rsidR="00CC5EFD" w:rsidRPr="000C38DC" w:rsidRDefault="00CC5EFD" w:rsidP="009D2783">
            <w:pPr>
              <w:rPr>
                <w:rFonts w:eastAsiaTheme="minorHAnsi"/>
                <w:lang w:eastAsia="en-US"/>
              </w:rPr>
            </w:pPr>
            <w:r w:rsidRPr="000C38DC">
              <w:rPr>
                <w:rFonts w:eastAsiaTheme="minorHAnsi"/>
                <w:lang w:eastAsia="en-US"/>
              </w:rPr>
              <w:t>SFRM: SFRM plně dodržuje veškeré nastavené lhůty dané úvěrovou smlouvou, dodatky, obchodním plánem, apod.</w:t>
            </w:r>
          </w:p>
        </w:tc>
      </w:tr>
    </w:tbl>
    <w:p w:rsidR="00CC5EFD" w:rsidRDefault="00CC5EFD">
      <w:pPr>
        <w:rPr>
          <w:rStyle w:val="Siln"/>
          <w:b w:val="0"/>
        </w:rPr>
        <w:sectPr w:rsidR="00CC5EFD" w:rsidSect="00CC5EFD">
          <w:pgSz w:w="11906" w:h="16838"/>
          <w:pgMar w:top="1418" w:right="1418" w:bottom="1418" w:left="1418" w:header="709" w:footer="709" w:gutter="0"/>
          <w:cols w:space="708"/>
          <w:docGrid w:linePitch="360"/>
        </w:sectPr>
      </w:pPr>
    </w:p>
    <w:p w:rsidR="00CC5EFD" w:rsidRDefault="00CC5EFD" w:rsidP="00CC5EFD">
      <w:pPr>
        <w:rPr>
          <w:b/>
          <w:bCs/>
          <w:iCs/>
        </w:rPr>
      </w:pPr>
      <w:r>
        <w:rPr>
          <w:b/>
          <w:bCs/>
          <w:iCs/>
        </w:rPr>
        <w:lastRenderedPageBreak/>
        <w:t>Akční plán Analýza administrativních kapacit a outsourcingu v implementační struktuře IOP 2014</w:t>
      </w:r>
    </w:p>
    <w:tbl>
      <w:tblPr>
        <w:tblW w:w="1410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432"/>
        <w:gridCol w:w="2051"/>
        <w:gridCol w:w="1098"/>
        <w:gridCol w:w="1232"/>
        <w:gridCol w:w="2048"/>
        <w:gridCol w:w="1098"/>
        <w:gridCol w:w="1094"/>
        <w:gridCol w:w="2048"/>
      </w:tblGrid>
      <w:tr w:rsidR="00CC5EFD" w:rsidTr="00222F78">
        <w:trPr>
          <w:trHeight w:val="395"/>
          <w:tblHeader/>
        </w:trPr>
        <w:tc>
          <w:tcPr>
            <w:tcW w:w="3432" w:type="dxa"/>
            <w:vMerge w:val="restart"/>
            <w:shd w:val="clear" w:color="auto" w:fill="C2D69B" w:themeFill="accent3" w:themeFillTint="99"/>
            <w:noWrap/>
            <w:vAlign w:val="center"/>
            <w:hideMark/>
          </w:tcPr>
          <w:p w:rsidR="00CC5EFD" w:rsidRPr="00CC5EFD" w:rsidRDefault="00CC5EFD" w:rsidP="00CC5EFD">
            <w:pPr>
              <w:jc w:val="center"/>
              <w:rPr>
                <w:b/>
                <w:bCs/>
                <w:sz w:val="22"/>
                <w:szCs w:val="22"/>
              </w:rPr>
            </w:pPr>
            <w:r w:rsidRPr="00CC5EFD">
              <w:rPr>
                <w:b/>
                <w:bCs/>
                <w:sz w:val="22"/>
                <w:szCs w:val="22"/>
              </w:rPr>
              <w:t>Závěry a doporučení</w:t>
            </w:r>
          </w:p>
          <w:p w:rsidR="00CC5EFD" w:rsidRDefault="00CC5EFD" w:rsidP="00CC5EFD">
            <w:pPr>
              <w:jc w:val="center"/>
              <w:rPr>
                <w:b/>
                <w:bCs/>
              </w:rPr>
            </w:pPr>
          </w:p>
        </w:tc>
        <w:tc>
          <w:tcPr>
            <w:tcW w:w="4381" w:type="dxa"/>
            <w:gridSpan w:val="3"/>
            <w:shd w:val="clear" w:color="auto" w:fill="C2D69B" w:themeFill="accent3" w:themeFillTint="99"/>
            <w:noWrap/>
            <w:vAlign w:val="center"/>
            <w:hideMark/>
          </w:tcPr>
          <w:p w:rsidR="00CC5EFD" w:rsidRDefault="00CC5EFD" w:rsidP="00CC5EFD">
            <w:pPr>
              <w:jc w:val="center"/>
              <w:rPr>
                <w:b/>
                <w:bCs/>
              </w:rPr>
            </w:pPr>
            <w:r>
              <w:rPr>
                <w:b/>
                <w:bCs/>
              </w:rPr>
              <w:t>Řídící orgán IOP</w:t>
            </w:r>
          </w:p>
        </w:tc>
        <w:tc>
          <w:tcPr>
            <w:tcW w:w="6288" w:type="dxa"/>
            <w:gridSpan w:val="4"/>
            <w:shd w:val="clear" w:color="auto" w:fill="C2D69B" w:themeFill="accent3" w:themeFillTint="99"/>
            <w:noWrap/>
            <w:vAlign w:val="center"/>
            <w:hideMark/>
          </w:tcPr>
          <w:p w:rsidR="00CC5EFD" w:rsidRDefault="00CC5EFD" w:rsidP="00CC5EFD">
            <w:pPr>
              <w:jc w:val="center"/>
              <w:rPr>
                <w:b/>
                <w:bCs/>
              </w:rPr>
            </w:pPr>
            <w:r>
              <w:rPr>
                <w:b/>
                <w:bCs/>
              </w:rPr>
              <w:t>Zprostředkující subjekty IOP</w:t>
            </w:r>
          </w:p>
        </w:tc>
      </w:tr>
      <w:tr w:rsidR="00CC5EFD" w:rsidTr="00222F78">
        <w:trPr>
          <w:trHeight w:val="334"/>
          <w:tblHeader/>
        </w:trPr>
        <w:tc>
          <w:tcPr>
            <w:tcW w:w="3432" w:type="dxa"/>
            <w:vMerge/>
            <w:shd w:val="clear" w:color="auto" w:fill="C2D69B" w:themeFill="accent3" w:themeFillTint="99"/>
            <w:noWrap/>
            <w:hideMark/>
          </w:tcPr>
          <w:p w:rsidR="00CC5EFD" w:rsidRDefault="00CC5EFD" w:rsidP="009D2783">
            <w:pPr>
              <w:rPr>
                <w:b/>
                <w:bCs/>
              </w:rPr>
            </w:pPr>
          </w:p>
        </w:tc>
        <w:tc>
          <w:tcPr>
            <w:tcW w:w="2051" w:type="dxa"/>
            <w:shd w:val="clear" w:color="auto" w:fill="C2D69B" w:themeFill="accent3" w:themeFillTint="99"/>
            <w:vAlign w:val="center"/>
            <w:hideMark/>
          </w:tcPr>
          <w:p w:rsidR="00CC5EFD" w:rsidRDefault="00CC5EFD" w:rsidP="009D2783">
            <w:pPr>
              <w:jc w:val="center"/>
              <w:rPr>
                <w:b/>
                <w:bCs/>
                <w:color w:val="000000"/>
              </w:rPr>
            </w:pPr>
            <w:r>
              <w:rPr>
                <w:b/>
                <w:bCs/>
                <w:color w:val="000000"/>
              </w:rPr>
              <w:t>NÁPRAVNÉ OPATŘENÍ</w:t>
            </w:r>
          </w:p>
        </w:tc>
        <w:tc>
          <w:tcPr>
            <w:tcW w:w="1098" w:type="dxa"/>
            <w:shd w:val="clear" w:color="auto" w:fill="C2D69B" w:themeFill="accent3" w:themeFillTint="99"/>
            <w:vAlign w:val="center"/>
            <w:hideMark/>
          </w:tcPr>
          <w:p w:rsidR="00CC5EFD" w:rsidRDefault="00CC5EFD" w:rsidP="009D2783">
            <w:pPr>
              <w:jc w:val="center"/>
              <w:rPr>
                <w:b/>
                <w:bCs/>
                <w:color w:val="000000"/>
              </w:rPr>
            </w:pPr>
            <w:r>
              <w:rPr>
                <w:b/>
                <w:bCs/>
                <w:color w:val="000000"/>
              </w:rPr>
              <w:t>TERMÍN</w:t>
            </w:r>
          </w:p>
        </w:tc>
        <w:tc>
          <w:tcPr>
            <w:tcW w:w="1231" w:type="dxa"/>
            <w:shd w:val="clear" w:color="auto" w:fill="C2D69B" w:themeFill="accent3" w:themeFillTint="99"/>
            <w:vAlign w:val="center"/>
            <w:hideMark/>
          </w:tcPr>
          <w:p w:rsidR="00CC5EFD" w:rsidRDefault="00CC5EFD" w:rsidP="009D2783">
            <w:pPr>
              <w:jc w:val="center"/>
              <w:rPr>
                <w:b/>
                <w:bCs/>
                <w:color w:val="000000"/>
              </w:rPr>
            </w:pPr>
            <w:r>
              <w:rPr>
                <w:b/>
                <w:bCs/>
                <w:color w:val="000000"/>
              </w:rPr>
              <w:t>SPLNĚNO</w:t>
            </w:r>
          </w:p>
        </w:tc>
        <w:tc>
          <w:tcPr>
            <w:tcW w:w="2048" w:type="dxa"/>
            <w:shd w:val="clear" w:color="auto" w:fill="C2D69B" w:themeFill="accent3" w:themeFillTint="99"/>
            <w:vAlign w:val="center"/>
            <w:hideMark/>
          </w:tcPr>
          <w:p w:rsidR="00CC5EFD" w:rsidRDefault="00CC5EFD" w:rsidP="009D2783">
            <w:pPr>
              <w:jc w:val="center"/>
              <w:rPr>
                <w:b/>
                <w:bCs/>
                <w:color w:val="000000"/>
              </w:rPr>
            </w:pPr>
            <w:r>
              <w:rPr>
                <w:b/>
                <w:bCs/>
                <w:color w:val="000000"/>
              </w:rPr>
              <w:t>NÁPRAVNÉ OPATŘENÍ</w:t>
            </w:r>
          </w:p>
        </w:tc>
        <w:tc>
          <w:tcPr>
            <w:tcW w:w="1098" w:type="dxa"/>
            <w:shd w:val="clear" w:color="auto" w:fill="C2D69B" w:themeFill="accent3" w:themeFillTint="99"/>
            <w:vAlign w:val="center"/>
            <w:hideMark/>
          </w:tcPr>
          <w:p w:rsidR="00CC5EFD" w:rsidRDefault="00CC5EFD" w:rsidP="009D2783">
            <w:pPr>
              <w:jc w:val="center"/>
              <w:rPr>
                <w:b/>
                <w:bCs/>
                <w:color w:val="000000"/>
              </w:rPr>
            </w:pPr>
            <w:r>
              <w:rPr>
                <w:b/>
                <w:bCs/>
                <w:color w:val="000000"/>
              </w:rPr>
              <w:t>TERMÍN</w:t>
            </w:r>
          </w:p>
        </w:tc>
        <w:tc>
          <w:tcPr>
            <w:tcW w:w="1094" w:type="dxa"/>
            <w:shd w:val="clear" w:color="auto" w:fill="C2D69B" w:themeFill="accent3" w:themeFillTint="99"/>
            <w:vAlign w:val="center"/>
            <w:hideMark/>
          </w:tcPr>
          <w:p w:rsidR="00CC5EFD" w:rsidRDefault="00CC5EFD" w:rsidP="009D2783">
            <w:pPr>
              <w:jc w:val="center"/>
              <w:rPr>
                <w:b/>
                <w:bCs/>
                <w:color w:val="000000"/>
              </w:rPr>
            </w:pPr>
            <w:r>
              <w:rPr>
                <w:b/>
                <w:bCs/>
                <w:color w:val="000000"/>
              </w:rPr>
              <w:t>PROVEDE</w:t>
            </w:r>
          </w:p>
        </w:tc>
        <w:tc>
          <w:tcPr>
            <w:tcW w:w="2047" w:type="dxa"/>
            <w:shd w:val="clear" w:color="auto" w:fill="C2D69B" w:themeFill="accent3" w:themeFillTint="99"/>
            <w:vAlign w:val="center"/>
            <w:hideMark/>
          </w:tcPr>
          <w:p w:rsidR="00CC5EFD" w:rsidRDefault="00CC5EFD" w:rsidP="009D2783">
            <w:pPr>
              <w:jc w:val="center"/>
              <w:rPr>
                <w:b/>
                <w:bCs/>
                <w:color w:val="000000"/>
              </w:rPr>
            </w:pPr>
            <w:r>
              <w:rPr>
                <w:b/>
                <w:bCs/>
                <w:color w:val="000000"/>
              </w:rPr>
              <w:t>SPLNĚNO</w:t>
            </w:r>
          </w:p>
        </w:tc>
      </w:tr>
      <w:tr w:rsidR="00CC5EFD" w:rsidRPr="007C6D1A" w:rsidTr="00222F78">
        <w:trPr>
          <w:trHeight w:val="2352"/>
        </w:trPr>
        <w:tc>
          <w:tcPr>
            <w:tcW w:w="3432" w:type="dxa"/>
            <w:noWrap/>
          </w:tcPr>
          <w:p w:rsidR="00CC5EFD" w:rsidRDefault="00CC5EFD" w:rsidP="009D2783">
            <w:pPr>
              <w:jc w:val="both"/>
            </w:pPr>
            <w:r>
              <w:t xml:space="preserve">Celkové výdaje </w:t>
            </w:r>
            <w:r w:rsidRPr="000F62BE">
              <w:t xml:space="preserve">na vzdělávání </w:t>
            </w:r>
            <w:r>
              <w:t>během 1. pololetí 2014</w:t>
            </w:r>
            <w:r w:rsidRPr="000F62BE">
              <w:t xml:space="preserve"> stouply </w:t>
            </w:r>
            <w:r>
              <w:t xml:space="preserve">(z 1 % na 2 %), především se výdaje na vzdělání zvýšili na </w:t>
            </w:r>
            <w:r w:rsidRPr="000F62BE">
              <w:t>ŘO</w:t>
            </w:r>
            <w:r>
              <w:t xml:space="preserve"> (z 0,7 % na 2,8 %). Na MPSV</w:t>
            </w:r>
            <w:r w:rsidRPr="000F62BE">
              <w:t xml:space="preserve"> sice </w:t>
            </w:r>
            <w:r>
              <w:t>část výdajů od 2. pololetí 2013</w:t>
            </w:r>
            <w:r w:rsidRPr="000F62BE">
              <w:t xml:space="preserve"> klesla z 6,</w:t>
            </w:r>
            <w:r>
              <w:t>3</w:t>
            </w:r>
            <w:r w:rsidRPr="000F62BE">
              <w:t xml:space="preserve"> % na </w:t>
            </w:r>
            <w:r>
              <w:t>4,9 %</w:t>
            </w:r>
            <w:r w:rsidRPr="000F62BE">
              <w:t xml:space="preserve"> celkových výdajů, přesto </w:t>
            </w:r>
            <w:r>
              <w:t>MPSV</w:t>
            </w:r>
            <w:r w:rsidRPr="000F62BE">
              <w:t xml:space="preserve"> vynakládá na vzdělávání svých zaměstnanců v rámci implementační struktury nejvyšší část prostředků</w:t>
            </w:r>
            <w:r w:rsidRPr="00BD3C26">
              <w:t xml:space="preserve">. </w:t>
            </w:r>
            <w:r>
              <w:t>Nejnižší výdaje na vzdělávání z prostředků technické pomoci vynakládá za sledované období CRR.</w:t>
            </w:r>
          </w:p>
          <w:p w:rsidR="00CC5EFD" w:rsidRPr="00C05267" w:rsidRDefault="00CC5EFD" w:rsidP="009D2783">
            <w:pPr>
              <w:jc w:val="both"/>
            </w:pPr>
            <w:r w:rsidRPr="00C05267">
              <w:rPr>
                <w:u w:val="single"/>
              </w:rPr>
              <w:t>Doporučení č. 1</w:t>
            </w:r>
            <w:r w:rsidRPr="00C05267">
              <w:t>:</w:t>
            </w:r>
          </w:p>
          <w:p w:rsidR="00CC5EFD" w:rsidRDefault="00CC5EFD" w:rsidP="002E608B">
            <w:pPr>
              <w:numPr>
                <w:ilvl w:val="0"/>
                <w:numId w:val="35"/>
              </w:numPr>
              <w:spacing w:after="120"/>
              <w:contextualSpacing/>
              <w:jc w:val="both"/>
            </w:pPr>
            <w:r w:rsidRPr="00C05267">
              <w:t xml:space="preserve">Pokračovat v trendu zvyšování výdajů na vzdělávání pracovníků implementační struktury IOP při respektování nutnosti realizovat opatření k zajištění maximální výše výdajů do certifikace v roce 2014. </w:t>
            </w:r>
          </w:p>
        </w:tc>
        <w:tc>
          <w:tcPr>
            <w:tcW w:w="2051" w:type="dxa"/>
          </w:tcPr>
          <w:p w:rsidR="00CC5EFD" w:rsidRPr="007C6D1A" w:rsidRDefault="00CC5EFD" w:rsidP="009D2783">
            <w:pPr>
              <w:jc w:val="both"/>
              <w:rPr>
                <w:bCs/>
                <w:color w:val="000000"/>
              </w:rPr>
            </w:pPr>
            <w:r>
              <w:rPr>
                <w:bCs/>
                <w:color w:val="000000"/>
              </w:rPr>
              <w:t xml:space="preserve">Zajistit a podporovat vzdělávací aktivity </w:t>
            </w:r>
            <w:r w:rsidRPr="00E36734">
              <w:rPr>
                <w:bCs/>
                <w:color w:val="000000"/>
              </w:rPr>
              <w:t xml:space="preserve">s cílem zvýšit </w:t>
            </w:r>
            <w:r>
              <w:rPr>
                <w:bCs/>
                <w:color w:val="000000"/>
              </w:rPr>
              <w:t xml:space="preserve">především </w:t>
            </w:r>
            <w:r w:rsidRPr="00E36734">
              <w:rPr>
                <w:bCs/>
                <w:color w:val="000000"/>
              </w:rPr>
              <w:t>odborné kompetence pracovníků</w:t>
            </w:r>
            <w:r>
              <w:rPr>
                <w:bCs/>
                <w:color w:val="000000"/>
              </w:rPr>
              <w:t xml:space="preserve"> implementační struktury IOP.</w:t>
            </w:r>
          </w:p>
        </w:tc>
        <w:tc>
          <w:tcPr>
            <w:tcW w:w="1098" w:type="dxa"/>
          </w:tcPr>
          <w:p w:rsidR="00CC5EFD" w:rsidRPr="007C6D1A" w:rsidRDefault="00CC5EFD" w:rsidP="009D2783">
            <w:pPr>
              <w:rPr>
                <w:bCs/>
                <w:color w:val="000000"/>
              </w:rPr>
            </w:pPr>
            <w:r>
              <w:rPr>
                <w:bCs/>
                <w:color w:val="000000"/>
              </w:rPr>
              <w:t>do 3/2015</w:t>
            </w:r>
          </w:p>
        </w:tc>
        <w:tc>
          <w:tcPr>
            <w:tcW w:w="1231" w:type="dxa"/>
          </w:tcPr>
          <w:p w:rsidR="00CC5EFD" w:rsidRPr="007C6D1A" w:rsidRDefault="00CC5EFD" w:rsidP="009D2783">
            <w:pPr>
              <w:rPr>
                <w:bCs/>
                <w:color w:val="000000"/>
              </w:rPr>
            </w:pPr>
          </w:p>
        </w:tc>
        <w:tc>
          <w:tcPr>
            <w:tcW w:w="2048" w:type="dxa"/>
          </w:tcPr>
          <w:p w:rsidR="00CC5EFD" w:rsidRDefault="00CC5EFD" w:rsidP="009D2783">
            <w:pPr>
              <w:jc w:val="both"/>
            </w:pPr>
            <w:r>
              <w:rPr>
                <w:bCs/>
                <w:color w:val="000000"/>
              </w:rPr>
              <w:t xml:space="preserve">Zajistit a podporovat prohlubující vzdělávací aktivity </w:t>
            </w:r>
            <w:r w:rsidRPr="00E36734">
              <w:rPr>
                <w:bCs/>
                <w:color w:val="000000"/>
              </w:rPr>
              <w:t xml:space="preserve">s cílem zvýšit </w:t>
            </w:r>
            <w:r>
              <w:rPr>
                <w:bCs/>
                <w:color w:val="000000"/>
              </w:rPr>
              <w:t xml:space="preserve">především </w:t>
            </w:r>
            <w:r w:rsidRPr="00E36734">
              <w:rPr>
                <w:bCs/>
                <w:color w:val="000000"/>
              </w:rPr>
              <w:t>odborné kompetence pracovníků</w:t>
            </w:r>
            <w:r>
              <w:rPr>
                <w:bCs/>
                <w:color w:val="000000"/>
              </w:rPr>
              <w:t xml:space="preserve"> implementační struktury IOP.</w:t>
            </w:r>
          </w:p>
        </w:tc>
        <w:tc>
          <w:tcPr>
            <w:tcW w:w="1098" w:type="dxa"/>
          </w:tcPr>
          <w:p w:rsidR="00CC5EFD" w:rsidRDefault="00CC5EFD" w:rsidP="009D2783">
            <w:pPr>
              <w:rPr>
                <w:bCs/>
                <w:color w:val="000000"/>
              </w:rPr>
            </w:pPr>
            <w:r>
              <w:rPr>
                <w:bCs/>
                <w:color w:val="000000"/>
              </w:rPr>
              <w:t xml:space="preserve">do 3/2015 </w:t>
            </w:r>
          </w:p>
        </w:tc>
        <w:tc>
          <w:tcPr>
            <w:tcW w:w="1094" w:type="dxa"/>
          </w:tcPr>
          <w:p w:rsidR="00CC5EFD" w:rsidRDefault="00CC5EFD" w:rsidP="009D2783">
            <w:pPr>
              <w:rPr>
                <w:bCs/>
                <w:color w:val="000000"/>
              </w:rPr>
            </w:pPr>
            <w:r>
              <w:rPr>
                <w:bCs/>
                <w:color w:val="000000"/>
              </w:rPr>
              <w:t>CRR</w:t>
            </w:r>
          </w:p>
          <w:p w:rsidR="00CC5EFD" w:rsidRDefault="00CC5EFD" w:rsidP="009D2783">
            <w:pPr>
              <w:rPr>
                <w:bCs/>
                <w:color w:val="000000"/>
              </w:rPr>
            </w:pPr>
            <w:r>
              <w:rPr>
                <w:bCs/>
                <w:color w:val="000000"/>
              </w:rPr>
              <w:t>MPSV</w:t>
            </w:r>
          </w:p>
          <w:p w:rsidR="00CC5EFD" w:rsidRDefault="00CC5EFD" w:rsidP="009D2783">
            <w:pPr>
              <w:rPr>
                <w:bCs/>
                <w:color w:val="000000"/>
              </w:rPr>
            </w:pPr>
            <w:r>
              <w:rPr>
                <w:bCs/>
                <w:color w:val="000000"/>
              </w:rPr>
              <w:t>MV</w:t>
            </w:r>
          </w:p>
          <w:p w:rsidR="00CC5EFD" w:rsidRPr="007C6D1A" w:rsidRDefault="00CC5EFD" w:rsidP="009D2783">
            <w:pPr>
              <w:rPr>
                <w:bCs/>
                <w:color w:val="000000"/>
              </w:rPr>
            </w:pPr>
            <w:proofErr w:type="spellStart"/>
            <w:r>
              <w:rPr>
                <w:bCs/>
                <w:color w:val="000000"/>
              </w:rPr>
              <w:t>MZd</w:t>
            </w:r>
            <w:proofErr w:type="spellEnd"/>
          </w:p>
        </w:tc>
        <w:tc>
          <w:tcPr>
            <w:tcW w:w="2047" w:type="dxa"/>
          </w:tcPr>
          <w:p w:rsidR="00CC5EFD" w:rsidRPr="007C6D1A" w:rsidRDefault="00CC5EFD" w:rsidP="009D2783">
            <w:pPr>
              <w:rPr>
                <w:bCs/>
                <w:color w:val="000000"/>
              </w:rPr>
            </w:pPr>
          </w:p>
        </w:tc>
      </w:tr>
      <w:tr w:rsidR="00CC5EFD" w:rsidRPr="007C6D1A" w:rsidTr="00222F78">
        <w:trPr>
          <w:trHeight w:val="668"/>
        </w:trPr>
        <w:tc>
          <w:tcPr>
            <w:tcW w:w="3432" w:type="dxa"/>
            <w:noWrap/>
          </w:tcPr>
          <w:p w:rsidR="00CC5EFD" w:rsidRPr="00C05267" w:rsidRDefault="00CC5EFD" w:rsidP="009D2783">
            <w:pPr>
              <w:jc w:val="both"/>
              <w:rPr>
                <w:u w:val="single"/>
              </w:rPr>
            </w:pPr>
            <w:r w:rsidRPr="00C05267">
              <w:t>Celková míra fluktuace se během sledovaného období snížila o téměř 4 procentní body (z 14,81 % na 10,99 %). Nejvyšší míru fluktuace vykazuje ZS MV (24 %), druhou nejvyšší MPSV (více než 14 %)</w:t>
            </w:r>
            <w:r>
              <w:t>, následuje ŘO (přibližně 13 %).</w:t>
            </w:r>
            <w:r w:rsidRPr="00C05267">
              <w:t xml:space="preserve"> Nejnižší fluktuace byla k 30. 6. 2014 na CRR (přibližně 4,6 %) a na </w:t>
            </w:r>
            <w:proofErr w:type="spellStart"/>
            <w:r w:rsidRPr="00C05267">
              <w:t>MZd</w:t>
            </w:r>
            <w:proofErr w:type="spellEnd"/>
            <w:r w:rsidRPr="00C05267">
              <w:t xml:space="preserve"> (přibližně 8,3 %).</w:t>
            </w:r>
            <w:r>
              <w:t xml:space="preserve"> </w:t>
            </w:r>
            <w:r w:rsidRPr="00C05267">
              <w:rPr>
                <w:u w:val="single"/>
              </w:rPr>
              <w:t>Doporučení č. 2:</w:t>
            </w:r>
          </w:p>
          <w:p w:rsidR="00CC5EFD" w:rsidRDefault="00CC5EFD" w:rsidP="002E608B">
            <w:pPr>
              <w:numPr>
                <w:ilvl w:val="0"/>
                <w:numId w:val="36"/>
              </w:numPr>
              <w:spacing w:after="120"/>
              <w:contextualSpacing/>
              <w:jc w:val="both"/>
            </w:pPr>
            <w:r w:rsidRPr="00C05267">
              <w:t xml:space="preserve">Vytvořit na ŘO IOP a ZS takové pracovní podmínky včetně nastavení finanční a </w:t>
            </w:r>
            <w:r w:rsidRPr="00C05267">
              <w:lastRenderedPageBreak/>
              <w:t xml:space="preserve">nefinanční motivace, které zamezí zvyšování fluktuace zaměstnanců. Využít v efektivní míře všechna opatření z UV 444/2014. </w:t>
            </w:r>
          </w:p>
        </w:tc>
        <w:tc>
          <w:tcPr>
            <w:tcW w:w="2051" w:type="dxa"/>
          </w:tcPr>
          <w:p w:rsidR="00CC5EFD" w:rsidRDefault="00CC5EFD" w:rsidP="009D2783">
            <w:pPr>
              <w:jc w:val="both"/>
              <w:rPr>
                <w:bCs/>
                <w:color w:val="000000"/>
              </w:rPr>
            </w:pPr>
            <w:r>
              <w:rPr>
                <w:bCs/>
                <w:color w:val="000000"/>
              </w:rPr>
              <w:lastRenderedPageBreak/>
              <w:t>a)</w:t>
            </w:r>
            <w:r w:rsidRPr="00BA2074">
              <w:rPr>
                <w:bCs/>
                <w:color w:val="000000"/>
              </w:rPr>
              <w:t>Vytvořit pracovní podmínky a systém finan</w:t>
            </w:r>
            <w:r>
              <w:rPr>
                <w:bCs/>
                <w:color w:val="000000"/>
              </w:rPr>
              <w:t>ční a nefinanční motivace, který</w:t>
            </w:r>
            <w:r w:rsidRPr="00BA2074">
              <w:rPr>
                <w:bCs/>
                <w:color w:val="000000"/>
              </w:rPr>
              <w:t xml:space="preserve"> omezí odchod zkušených</w:t>
            </w:r>
            <w:r>
              <w:rPr>
                <w:bCs/>
                <w:color w:val="000000"/>
              </w:rPr>
              <w:t xml:space="preserve"> a kvalitních </w:t>
            </w:r>
            <w:r w:rsidRPr="00BA2074">
              <w:rPr>
                <w:bCs/>
                <w:color w:val="000000"/>
              </w:rPr>
              <w:t>zaměstnanců.</w:t>
            </w:r>
          </w:p>
          <w:p w:rsidR="00CC5EFD" w:rsidRDefault="00CC5EFD" w:rsidP="009D2783">
            <w:pPr>
              <w:jc w:val="both"/>
              <w:rPr>
                <w:bCs/>
                <w:color w:val="000000"/>
              </w:rPr>
            </w:pPr>
          </w:p>
          <w:p w:rsidR="00CC5EFD" w:rsidRPr="007C6D1A" w:rsidRDefault="00CC5EFD" w:rsidP="009D2783">
            <w:pPr>
              <w:jc w:val="both"/>
              <w:rPr>
                <w:bCs/>
                <w:color w:val="000000"/>
              </w:rPr>
            </w:pPr>
            <w:r>
              <w:rPr>
                <w:bCs/>
                <w:color w:val="000000"/>
              </w:rPr>
              <w:t>b)</w:t>
            </w:r>
            <w:r w:rsidRPr="00C05267">
              <w:t>Využít v efektivní míře všechna opatření z UV 444/2014.</w:t>
            </w:r>
          </w:p>
        </w:tc>
        <w:tc>
          <w:tcPr>
            <w:tcW w:w="1098" w:type="dxa"/>
          </w:tcPr>
          <w:p w:rsidR="00CC5EFD" w:rsidRDefault="00CC5EFD" w:rsidP="009D2783">
            <w:pPr>
              <w:rPr>
                <w:bCs/>
                <w:color w:val="000000"/>
              </w:rPr>
            </w:pPr>
            <w:r>
              <w:rPr>
                <w:bCs/>
                <w:color w:val="000000"/>
              </w:rPr>
              <w:t>a) neprodleně</w:t>
            </w:r>
          </w:p>
          <w:p w:rsidR="00CC5EFD" w:rsidRDefault="00CC5EFD" w:rsidP="009D2783">
            <w:pPr>
              <w:rPr>
                <w:bCs/>
                <w:color w:val="000000"/>
              </w:rPr>
            </w:pPr>
          </w:p>
          <w:p w:rsidR="00CC5EFD" w:rsidRDefault="00CC5EFD" w:rsidP="009D2783">
            <w:pPr>
              <w:rPr>
                <w:bCs/>
                <w:color w:val="000000"/>
              </w:rPr>
            </w:pPr>
          </w:p>
          <w:p w:rsidR="00CC5EFD" w:rsidRDefault="00CC5EFD" w:rsidP="009D2783">
            <w:pPr>
              <w:rPr>
                <w:bCs/>
                <w:color w:val="000000"/>
              </w:rPr>
            </w:pPr>
          </w:p>
          <w:p w:rsidR="00CC5EFD" w:rsidRDefault="00CC5EFD" w:rsidP="009D2783">
            <w:pPr>
              <w:rPr>
                <w:bCs/>
                <w:color w:val="000000"/>
              </w:rPr>
            </w:pPr>
          </w:p>
          <w:p w:rsidR="00CC5EFD" w:rsidRDefault="00CC5EFD" w:rsidP="009D2783">
            <w:pPr>
              <w:rPr>
                <w:bCs/>
                <w:color w:val="000000"/>
              </w:rPr>
            </w:pPr>
          </w:p>
          <w:p w:rsidR="00CC5EFD" w:rsidRPr="007C6D1A" w:rsidRDefault="00CC5EFD" w:rsidP="009D2783">
            <w:pPr>
              <w:rPr>
                <w:bCs/>
                <w:color w:val="000000"/>
              </w:rPr>
            </w:pPr>
            <w:r>
              <w:rPr>
                <w:bCs/>
                <w:color w:val="000000"/>
              </w:rPr>
              <w:t xml:space="preserve">b) do 3/2015 </w:t>
            </w:r>
          </w:p>
        </w:tc>
        <w:tc>
          <w:tcPr>
            <w:tcW w:w="1231" w:type="dxa"/>
          </w:tcPr>
          <w:p w:rsidR="00CC5EFD" w:rsidRPr="007C6D1A" w:rsidRDefault="00CC5EFD" w:rsidP="009D2783">
            <w:pPr>
              <w:rPr>
                <w:bCs/>
                <w:color w:val="000000"/>
              </w:rPr>
            </w:pPr>
          </w:p>
        </w:tc>
        <w:tc>
          <w:tcPr>
            <w:tcW w:w="2048" w:type="dxa"/>
          </w:tcPr>
          <w:p w:rsidR="00CC5EFD" w:rsidRDefault="00CC5EFD" w:rsidP="009D2783">
            <w:pPr>
              <w:jc w:val="both"/>
              <w:rPr>
                <w:bCs/>
                <w:color w:val="000000"/>
              </w:rPr>
            </w:pPr>
            <w:r>
              <w:rPr>
                <w:bCs/>
                <w:color w:val="000000"/>
              </w:rPr>
              <w:t>a)</w:t>
            </w:r>
            <w:r w:rsidRPr="008D617D">
              <w:rPr>
                <w:bCs/>
                <w:color w:val="000000"/>
              </w:rPr>
              <w:t>Vytvořit pracovní podmínky a systém finanční a nefinanční motivace, který omezí odchod zkušených a kvalitních zaměstnanců.</w:t>
            </w:r>
          </w:p>
          <w:p w:rsidR="00CC5EFD" w:rsidRDefault="00CC5EFD" w:rsidP="009D2783">
            <w:pPr>
              <w:jc w:val="both"/>
              <w:rPr>
                <w:bCs/>
                <w:color w:val="000000"/>
              </w:rPr>
            </w:pPr>
          </w:p>
          <w:p w:rsidR="00CC5EFD" w:rsidRDefault="00CC5EFD" w:rsidP="009D2783">
            <w:pPr>
              <w:jc w:val="both"/>
            </w:pPr>
            <w:r>
              <w:rPr>
                <w:bCs/>
                <w:color w:val="000000"/>
              </w:rPr>
              <w:t>b)</w:t>
            </w:r>
            <w:r w:rsidRPr="00C05267">
              <w:t>Využít v efektivní míře všechna opatření z UV 444/2014.</w:t>
            </w:r>
          </w:p>
        </w:tc>
        <w:tc>
          <w:tcPr>
            <w:tcW w:w="1098" w:type="dxa"/>
          </w:tcPr>
          <w:p w:rsidR="00CC5EFD" w:rsidRDefault="00CC5EFD" w:rsidP="009D2783">
            <w:pPr>
              <w:rPr>
                <w:bCs/>
                <w:color w:val="000000"/>
              </w:rPr>
            </w:pPr>
            <w:r>
              <w:rPr>
                <w:bCs/>
                <w:color w:val="000000"/>
              </w:rPr>
              <w:t>a) neprodleně</w:t>
            </w:r>
          </w:p>
          <w:p w:rsidR="00CC5EFD" w:rsidRDefault="00CC5EFD" w:rsidP="009D2783">
            <w:pPr>
              <w:rPr>
                <w:bCs/>
                <w:color w:val="000000"/>
              </w:rPr>
            </w:pPr>
          </w:p>
          <w:p w:rsidR="00CC5EFD" w:rsidRDefault="00CC5EFD" w:rsidP="009D2783">
            <w:pPr>
              <w:rPr>
                <w:bCs/>
                <w:color w:val="000000"/>
              </w:rPr>
            </w:pPr>
          </w:p>
          <w:p w:rsidR="00CC5EFD" w:rsidRDefault="00CC5EFD" w:rsidP="009D2783">
            <w:pPr>
              <w:rPr>
                <w:bCs/>
                <w:color w:val="000000"/>
              </w:rPr>
            </w:pPr>
          </w:p>
          <w:p w:rsidR="00CC5EFD" w:rsidRDefault="00CC5EFD" w:rsidP="009D2783">
            <w:pPr>
              <w:rPr>
                <w:bCs/>
                <w:color w:val="000000"/>
              </w:rPr>
            </w:pPr>
          </w:p>
          <w:p w:rsidR="00CC5EFD" w:rsidRDefault="00CC5EFD" w:rsidP="009D2783">
            <w:pPr>
              <w:rPr>
                <w:bCs/>
                <w:color w:val="000000"/>
              </w:rPr>
            </w:pPr>
          </w:p>
          <w:p w:rsidR="00CC5EFD" w:rsidRDefault="00CC5EFD" w:rsidP="009D2783">
            <w:pPr>
              <w:rPr>
                <w:bCs/>
                <w:color w:val="000000"/>
              </w:rPr>
            </w:pPr>
            <w:r>
              <w:rPr>
                <w:bCs/>
                <w:color w:val="000000"/>
              </w:rPr>
              <w:t>b) do 3/2015</w:t>
            </w:r>
          </w:p>
        </w:tc>
        <w:tc>
          <w:tcPr>
            <w:tcW w:w="1094" w:type="dxa"/>
          </w:tcPr>
          <w:p w:rsidR="00CC5EFD" w:rsidRDefault="00CC5EFD" w:rsidP="009D2783">
            <w:pPr>
              <w:rPr>
                <w:bCs/>
                <w:color w:val="000000"/>
              </w:rPr>
            </w:pPr>
            <w:r>
              <w:rPr>
                <w:bCs/>
                <w:color w:val="000000"/>
              </w:rPr>
              <w:t>CRR</w:t>
            </w:r>
          </w:p>
          <w:p w:rsidR="00CC5EFD" w:rsidRDefault="00CC5EFD" w:rsidP="009D2783">
            <w:pPr>
              <w:rPr>
                <w:bCs/>
                <w:color w:val="000000"/>
              </w:rPr>
            </w:pPr>
            <w:r>
              <w:rPr>
                <w:bCs/>
                <w:color w:val="000000"/>
              </w:rPr>
              <w:t>MPSV</w:t>
            </w:r>
          </w:p>
          <w:p w:rsidR="00CC5EFD" w:rsidRDefault="00CC5EFD" w:rsidP="009D2783">
            <w:pPr>
              <w:rPr>
                <w:bCs/>
                <w:color w:val="000000"/>
              </w:rPr>
            </w:pPr>
            <w:r>
              <w:rPr>
                <w:bCs/>
                <w:color w:val="000000"/>
              </w:rPr>
              <w:t>MV</w:t>
            </w:r>
          </w:p>
          <w:p w:rsidR="00CC5EFD" w:rsidRPr="007C6D1A" w:rsidRDefault="00CC5EFD" w:rsidP="009D2783">
            <w:pPr>
              <w:rPr>
                <w:bCs/>
                <w:color w:val="000000"/>
              </w:rPr>
            </w:pPr>
            <w:proofErr w:type="spellStart"/>
            <w:r>
              <w:rPr>
                <w:bCs/>
                <w:color w:val="000000"/>
              </w:rPr>
              <w:t>MZd</w:t>
            </w:r>
            <w:proofErr w:type="spellEnd"/>
          </w:p>
        </w:tc>
        <w:tc>
          <w:tcPr>
            <w:tcW w:w="2047" w:type="dxa"/>
          </w:tcPr>
          <w:p w:rsidR="00CC5EFD" w:rsidRPr="007C6D1A" w:rsidRDefault="00CC5EFD" w:rsidP="009D2783">
            <w:pPr>
              <w:rPr>
                <w:bCs/>
                <w:color w:val="000000"/>
              </w:rPr>
            </w:pPr>
          </w:p>
        </w:tc>
      </w:tr>
      <w:tr w:rsidR="00CC5EFD" w:rsidRPr="007C6D1A" w:rsidTr="00222F78">
        <w:trPr>
          <w:trHeight w:val="954"/>
        </w:trPr>
        <w:tc>
          <w:tcPr>
            <w:tcW w:w="3432" w:type="dxa"/>
            <w:noWrap/>
          </w:tcPr>
          <w:p w:rsidR="00CC5EFD" w:rsidRDefault="00CC5EFD" w:rsidP="009D2783">
            <w:pPr>
              <w:jc w:val="both"/>
            </w:pPr>
            <w:r w:rsidRPr="0051559F">
              <w:lastRenderedPageBreak/>
              <w:t>Mezi ZS jsou velké rozdíly v nákladech na výkony administrace. Ve sledovaném období se finanční náklady na 1 předložený projekt pohybují od 101,4 tis. Kč (CRR) do 5,2 mil. Kč (MPSV), náklady na 1 schválený projekt se pohybují od 109,7 tis. Kč (CRR) do 3,4 mil. Kč (MV), náklady na 1 schválenou žádost o platbu činí minimálně 66,3 tis. Kč (CRR) a maximálně 292,3 tis. Kč (</w:t>
            </w:r>
            <w:proofErr w:type="spellStart"/>
            <w:r w:rsidRPr="0051559F">
              <w:t>MZd</w:t>
            </w:r>
            <w:proofErr w:type="spellEnd"/>
            <w:r w:rsidRPr="0051559F">
              <w:t xml:space="preserve">). </w:t>
            </w:r>
          </w:p>
          <w:p w:rsidR="00CC5EFD" w:rsidRPr="0051559F" w:rsidRDefault="00CC5EFD" w:rsidP="009D2783">
            <w:pPr>
              <w:jc w:val="both"/>
              <w:rPr>
                <w:u w:val="single"/>
              </w:rPr>
            </w:pPr>
            <w:r>
              <w:rPr>
                <w:u w:val="single"/>
              </w:rPr>
              <w:t>Doporučení č. 3</w:t>
            </w:r>
            <w:r w:rsidRPr="0051559F">
              <w:rPr>
                <w:u w:val="single"/>
              </w:rPr>
              <w:t>:</w:t>
            </w:r>
          </w:p>
          <w:p w:rsidR="00CC5EFD" w:rsidRPr="00C05267" w:rsidRDefault="00CC5EFD" w:rsidP="002E608B">
            <w:pPr>
              <w:numPr>
                <w:ilvl w:val="0"/>
                <w:numId w:val="37"/>
              </w:numPr>
              <w:spacing w:after="120"/>
              <w:contextualSpacing/>
              <w:jc w:val="both"/>
            </w:pPr>
            <w:r w:rsidRPr="0051559F">
              <w:t xml:space="preserve">V rámci celé implementační struktury IOP doporučujeme i nadále provazovat systém odměňování </w:t>
            </w:r>
            <w:r>
              <w:t xml:space="preserve">a zahrnování pracovních úvazků do financování z TP IOP </w:t>
            </w:r>
            <w:r w:rsidRPr="0051559F">
              <w:t>svázaný s reálným výkonem v administraci.</w:t>
            </w:r>
            <w:r w:rsidRPr="00C05267">
              <w:t xml:space="preserve"> </w:t>
            </w:r>
          </w:p>
        </w:tc>
        <w:tc>
          <w:tcPr>
            <w:tcW w:w="2051" w:type="dxa"/>
          </w:tcPr>
          <w:p w:rsidR="00CC5EFD" w:rsidRPr="007C6D1A" w:rsidRDefault="00CC5EFD" w:rsidP="009D2783">
            <w:pPr>
              <w:jc w:val="both"/>
              <w:rPr>
                <w:bCs/>
                <w:color w:val="000000"/>
              </w:rPr>
            </w:pPr>
            <w:r>
              <w:rPr>
                <w:bCs/>
                <w:color w:val="000000"/>
              </w:rPr>
              <w:t>V rámci ročního hodnocení zaměstnanců ŘO prověří, zda počet zapojených osob na všech úrovních administrace (včetně obslužných útvarů) financovaných z TP IOP a systém odměňování reflektuje skutečný výkon a nezbytnost zapojení jednotlivých pracovníků.</w:t>
            </w:r>
          </w:p>
        </w:tc>
        <w:tc>
          <w:tcPr>
            <w:tcW w:w="1098" w:type="dxa"/>
          </w:tcPr>
          <w:p w:rsidR="00CC5EFD" w:rsidRPr="007C6D1A" w:rsidRDefault="00CC5EFD" w:rsidP="009D2783">
            <w:pPr>
              <w:rPr>
                <w:bCs/>
                <w:color w:val="000000"/>
              </w:rPr>
            </w:pPr>
            <w:r>
              <w:rPr>
                <w:bCs/>
                <w:color w:val="000000"/>
              </w:rPr>
              <w:t>do 3/2015</w:t>
            </w:r>
          </w:p>
        </w:tc>
        <w:tc>
          <w:tcPr>
            <w:tcW w:w="1231" w:type="dxa"/>
          </w:tcPr>
          <w:p w:rsidR="00CC5EFD" w:rsidRPr="007C6D1A" w:rsidRDefault="00CC5EFD" w:rsidP="009D2783">
            <w:pPr>
              <w:rPr>
                <w:bCs/>
                <w:color w:val="000000"/>
              </w:rPr>
            </w:pPr>
          </w:p>
        </w:tc>
        <w:tc>
          <w:tcPr>
            <w:tcW w:w="2048" w:type="dxa"/>
          </w:tcPr>
          <w:p w:rsidR="00CC5EFD" w:rsidRDefault="00CC5EFD" w:rsidP="009D2783">
            <w:pPr>
              <w:jc w:val="both"/>
            </w:pPr>
            <w:r>
              <w:rPr>
                <w:bCs/>
                <w:color w:val="000000"/>
              </w:rPr>
              <w:t>V rámci ročního hodnocení zaměstnanců ŘO prověří, zda počet zapojených osob na všech úrovních administrace (včetně obslužných útvarů) financovaných z TP IOP a systém odměňování reflektuje skutečný výkon a nezbytnost zapojení jednotlivých pracovníků.</w:t>
            </w:r>
          </w:p>
        </w:tc>
        <w:tc>
          <w:tcPr>
            <w:tcW w:w="1098" w:type="dxa"/>
          </w:tcPr>
          <w:p w:rsidR="00CC5EFD" w:rsidRDefault="00CC5EFD" w:rsidP="009D2783">
            <w:pPr>
              <w:rPr>
                <w:bCs/>
                <w:color w:val="000000"/>
              </w:rPr>
            </w:pPr>
            <w:r>
              <w:rPr>
                <w:bCs/>
                <w:color w:val="000000"/>
              </w:rPr>
              <w:t>do 3/2015</w:t>
            </w:r>
          </w:p>
        </w:tc>
        <w:tc>
          <w:tcPr>
            <w:tcW w:w="1094" w:type="dxa"/>
          </w:tcPr>
          <w:p w:rsidR="00CC5EFD" w:rsidRDefault="00CC5EFD" w:rsidP="009D2783">
            <w:pPr>
              <w:rPr>
                <w:bCs/>
                <w:color w:val="000000"/>
              </w:rPr>
            </w:pPr>
            <w:r>
              <w:rPr>
                <w:bCs/>
                <w:color w:val="000000"/>
              </w:rPr>
              <w:t>CRR</w:t>
            </w:r>
          </w:p>
          <w:p w:rsidR="00CC5EFD" w:rsidRDefault="00CC5EFD" w:rsidP="009D2783">
            <w:pPr>
              <w:rPr>
                <w:bCs/>
                <w:color w:val="000000"/>
              </w:rPr>
            </w:pPr>
            <w:r>
              <w:rPr>
                <w:bCs/>
                <w:color w:val="000000"/>
              </w:rPr>
              <w:t>MPSV</w:t>
            </w:r>
          </w:p>
          <w:p w:rsidR="00CC5EFD" w:rsidRDefault="00CC5EFD" w:rsidP="009D2783">
            <w:pPr>
              <w:rPr>
                <w:bCs/>
                <w:color w:val="000000"/>
              </w:rPr>
            </w:pPr>
            <w:r>
              <w:rPr>
                <w:bCs/>
                <w:color w:val="000000"/>
              </w:rPr>
              <w:t>MV</w:t>
            </w:r>
          </w:p>
          <w:p w:rsidR="00CC5EFD" w:rsidRPr="007C6D1A" w:rsidRDefault="00CC5EFD" w:rsidP="009D2783">
            <w:pPr>
              <w:rPr>
                <w:bCs/>
                <w:color w:val="000000"/>
              </w:rPr>
            </w:pPr>
            <w:proofErr w:type="spellStart"/>
            <w:r>
              <w:rPr>
                <w:bCs/>
                <w:color w:val="000000"/>
              </w:rPr>
              <w:t>MZd</w:t>
            </w:r>
            <w:proofErr w:type="spellEnd"/>
          </w:p>
        </w:tc>
        <w:tc>
          <w:tcPr>
            <w:tcW w:w="2047" w:type="dxa"/>
          </w:tcPr>
          <w:p w:rsidR="00CC5EFD" w:rsidRPr="007C6D1A" w:rsidRDefault="00CC5EFD" w:rsidP="009D2783">
            <w:pPr>
              <w:rPr>
                <w:bCs/>
                <w:color w:val="000000"/>
              </w:rPr>
            </w:pPr>
          </w:p>
        </w:tc>
      </w:tr>
      <w:tr w:rsidR="00CC5EFD" w:rsidRPr="007C6D1A" w:rsidTr="00222F78">
        <w:trPr>
          <w:trHeight w:val="954"/>
        </w:trPr>
        <w:tc>
          <w:tcPr>
            <w:tcW w:w="3432" w:type="dxa"/>
            <w:noWrap/>
          </w:tcPr>
          <w:p w:rsidR="00CC5EFD" w:rsidRPr="0051559F" w:rsidRDefault="00CC5EFD" w:rsidP="009D2783">
            <w:pPr>
              <w:jc w:val="both"/>
            </w:pPr>
            <w:r w:rsidRPr="0051559F">
              <w:t>Půlroční náklady vztažené k alokaci jsou za sledované období nevyšší na ZS MPSV. Celkové roční náklady vztažené k alokaci jsou na MPSV ve sledovaném období téměř čtyřnásobné oproti nákladům MV, které jsou v rámci IOP nejnižší.</w:t>
            </w:r>
          </w:p>
          <w:p w:rsidR="00CC5EFD" w:rsidRPr="0051559F" w:rsidRDefault="00CC5EFD" w:rsidP="009D2783">
            <w:pPr>
              <w:jc w:val="both"/>
              <w:rPr>
                <w:u w:val="single"/>
              </w:rPr>
            </w:pPr>
            <w:r>
              <w:rPr>
                <w:u w:val="single"/>
              </w:rPr>
              <w:t>Doporučení č. 4</w:t>
            </w:r>
            <w:r w:rsidRPr="0051559F">
              <w:rPr>
                <w:u w:val="single"/>
              </w:rPr>
              <w:t>:</w:t>
            </w:r>
          </w:p>
          <w:p w:rsidR="00CC5EFD" w:rsidRPr="00C05267" w:rsidRDefault="00CC5EFD" w:rsidP="002E608B">
            <w:pPr>
              <w:numPr>
                <w:ilvl w:val="0"/>
                <w:numId w:val="37"/>
              </w:numPr>
              <w:spacing w:after="120"/>
              <w:contextualSpacing/>
              <w:jc w:val="both"/>
            </w:pPr>
            <w:r w:rsidRPr="0051559F">
              <w:t xml:space="preserve">MPSV prověří podíly jednotlivých položek výdajů na </w:t>
            </w:r>
            <w:r w:rsidRPr="0051559F">
              <w:lastRenderedPageBreak/>
              <w:t>celkových finančních nákladech MPSV</w:t>
            </w:r>
            <w:r>
              <w:t xml:space="preserve"> a navrhne optimalizaci</w:t>
            </w:r>
            <w:r w:rsidRPr="0051559F">
              <w:t>.</w:t>
            </w:r>
            <w:r w:rsidRPr="00C05267">
              <w:t xml:space="preserve"> </w:t>
            </w:r>
          </w:p>
        </w:tc>
        <w:tc>
          <w:tcPr>
            <w:tcW w:w="2051" w:type="dxa"/>
          </w:tcPr>
          <w:p w:rsidR="00CC5EFD" w:rsidRPr="007C6D1A" w:rsidRDefault="00CC5EFD" w:rsidP="009D2783">
            <w:pPr>
              <w:rPr>
                <w:bCs/>
                <w:color w:val="000000"/>
              </w:rPr>
            </w:pPr>
          </w:p>
        </w:tc>
        <w:tc>
          <w:tcPr>
            <w:tcW w:w="1098" w:type="dxa"/>
          </w:tcPr>
          <w:p w:rsidR="00CC5EFD" w:rsidRPr="007C6D1A" w:rsidRDefault="00CC5EFD" w:rsidP="009D2783">
            <w:pPr>
              <w:rPr>
                <w:bCs/>
                <w:color w:val="000000"/>
              </w:rPr>
            </w:pPr>
          </w:p>
        </w:tc>
        <w:tc>
          <w:tcPr>
            <w:tcW w:w="1231" w:type="dxa"/>
          </w:tcPr>
          <w:p w:rsidR="00CC5EFD" w:rsidRPr="007C6D1A" w:rsidRDefault="00CC5EFD" w:rsidP="009D2783">
            <w:pPr>
              <w:rPr>
                <w:bCs/>
                <w:color w:val="000000"/>
              </w:rPr>
            </w:pPr>
          </w:p>
        </w:tc>
        <w:tc>
          <w:tcPr>
            <w:tcW w:w="2048" w:type="dxa"/>
          </w:tcPr>
          <w:p w:rsidR="00CC5EFD" w:rsidRPr="007C6D1A" w:rsidRDefault="00CC5EFD" w:rsidP="009D2783">
            <w:pPr>
              <w:rPr>
                <w:b/>
                <w:bCs/>
              </w:rPr>
            </w:pPr>
            <w:r w:rsidRPr="007C6D1A">
              <w:t>MPSV prověří jednotlivé složky finančních nákladů, zda jsou efektivní</w:t>
            </w:r>
            <w:r>
              <w:t xml:space="preserve"> a navrhne optimalizaci výdajů.</w:t>
            </w:r>
          </w:p>
          <w:p w:rsidR="00CC5EFD" w:rsidRDefault="00CC5EFD" w:rsidP="009D2783">
            <w:pPr>
              <w:spacing w:after="120"/>
              <w:ind w:left="720"/>
              <w:contextualSpacing/>
              <w:jc w:val="both"/>
            </w:pPr>
          </w:p>
        </w:tc>
        <w:tc>
          <w:tcPr>
            <w:tcW w:w="1098" w:type="dxa"/>
          </w:tcPr>
          <w:p w:rsidR="00CC5EFD" w:rsidRDefault="00CC5EFD" w:rsidP="009D2783">
            <w:pPr>
              <w:rPr>
                <w:bCs/>
                <w:color w:val="000000"/>
              </w:rPr>
            </w:pPr>
            <w:r>
              <w:rPr>
                <w:bCs/>
                <w:color w:val="000000"/>
              </w:rPr>
              <w:t>do 3/2015</w:t>
            </w:r>
          </w:p>
        </w:tc>
        <w:tc>
          <w:tcPr>
            <w:tcW w:w="1094" w:type="dxa"/>
          </w:tcPr>
          <w:p w:rsidR="00CC5EFD" w:rsidRPr="007C6D1A" w:rsidRDefault="00CC5EFD" w:rsidP="009D2783">
            <w:pPr>
              <w:rPr>
                <w:bCs/>
                <w:color w:val="000000"/>
              </w:rPr>
            </w:pPr>
            <w:r>
              <w:rPr>
                <w:bCs/>
                <w:color w:val="000000"/>
              </w:rPr>
              <w:t>MPSV</w:t>
            </w:r>
          </w:p>
        </w:tc>
        <w:tc>
          <w:tcPr>
            <w:tcW w:w="2047" w:type="dxa"/>
          </w:tcPr>
          <w:p w:rsidR="00CC5EFD" w:rsidRPr="007C6D1A" w:rsidRDefault="00CC5EFD" w:rsidP="009D2783">
            <w:pPr>
              <w:rPr>
                <w:bCs/>
                <w:color w:val="000000"/>
              </w:rPr>
            </w:pPr>
          </w:p>
        </w:tc>
      </w:tr>
    </w:tbl>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3315DA">
      <w:pPr>
        <w:spacing w:line="264" w:lineRule="auto"/>
        <w:rPr>
          <w:b/>
          <w:sz w:val="28"/>
          <w:szCs w:val="28"/>
        </w:rPr>
      </w:pPr>
    </w:p>
    <w:p w:rsidR="00A75862" w:rsidRDefault="00A75862" w:rsidP="003315DA">
      <w:pPr>
        <w:spacing w:line="264" w:lineRule="auto"/>
        <w:rPr>
          <w:b/>
          <w:sz w:val="28"/>
          <w:szCs w:val="28"/>
        </w:rPr>
      </w:pPr>
    </w:p>
    <w:p w:rsidR="00A75862" w:rsidRPr="0026265F" w:rsidRDefault="00A75862" w:rsidP="003315DA"/>
    <w:p w:rsidR="00A75862" w:rsidRDefault="00A75862" w:rsidP="003315DA"/>
    <w:p w:rsidR="00A75862" w:rsidRPr="006D78A7" w:rsidRDefault="00A75862" w:rsidP="006D78A7">
      <w:pPr>
        <w:rPr>
          <w:rStyle w:val="Siln"/>
          <w:b w:val="0"/>
        </w:rPr>
      </w:pPr>
    </w:p>
    <w:sectPr w:rsidR="00A75862" w:rsidRPr="006D78A7" w:rsidSect="00CC5EFD">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B46" w:rsidRDefault="004B7B46">
      <w:r>
        <w:separator/>
      </w:r>
    </w:p>
  </w:endnote>
  <w:endnote w:type="continuationSeparator" w:id="0">
    <w:p w:rsidR="004B7B46" w:rsidRDefault="004B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Pr="00632A72" w:rsidRDefault="004B7B46" w:rsidP="005545E2">
    <w:pPr>
      <w:pStyle w:val="Zpat"/>
      <w:jc w:val="center"/>
      <w:rPr>
        <w:rStyle w:val="slostrnky"/>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Pr="00DC381E" w:rsidRDefault="004B7B46" w:rsidP="005545E2">
    <w:pPr>
      <w:pStyle w:val="Zpat"/>
      <w:rPr>
        <w:rStyle w:val="slostrnky"/>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Pr="00604E60" w:rsidRDefault="004B7B46" w:rsidP="00E01073">
    <w:pPr>
      <w:pStyle w:val="Zpat"/>
      <w:rPr>
        <w:rFonts w:ascii="Calibri" w:hAnsi="Calibri"/>
        <w:b/>
        <w:color w:val="0070C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Default="004B7B46" w:rsidP="009D55B2">
    <w:pPr>
      <w:pStyle w:val="Zpat"/>
      <w:spacing w:after="60"/>
      <w:jc w:val="center"/>
      <w:rPr>
        <w:rStyle w:val="slostrnky"/>
      </w:rPr>
    </w:pPr>
    <w:r>
      <w:rPr>
        <w:rStyle w:val="slostrnky"/>
      </w:rPr>
      <w:t>Výroční zpráva Integrovaného operačního programu za rok 2014</w:t>
    </w:r>
  </w:p>
  <w:p w:rsidR="004B7B46" w:rsidRPr="00632A72" w:rsidRDefault="004B7B46" w:rsidP="001B4F1C">
    <w:pPr>
      <w:pStyle w:val="Zpat"/>
      <w:jc w:val="center"/>
      <w:rPr>
        <w:rStyle w:val="slostrnky"/>
        <w:i/>
      </w:rPr>
    </w:pPr>
    <w:r w:rsidRPr="00632A72">
      <w:rPr>
        <w:rStyle w:val="slostrnky"/>
        <w:i/>
      </w:rPr>
      <w:fldChar w:fldCharType="begin"/>
    </w:r>
    <w:r w:rsidRPr="00632A72">
      <w:rPr>
        <w:rStyle w:val="slostrnky"/>
        <w:i/>
      </w:rPr>
      <w:instrText xml:space="preserve"> PAGE </w:instrText>
    </w:r>
    <w:r w:rsidRPr="00632A72">
      <w:rPr>
        <w:rStyle w:val="slostrnky"/>
        <w:i/>
      </w:rPr>
      <w:fldChar w:fldCharType="separate"/>
    </w:r>
    <w:r w:rsidR="0095318B">
      <w:rPr>
        <w:rStyle w:val="slostrnky"/>
        <w:i/>
        <w:noProof/>
      </w:rPr>
      <w:t>103</w:t>
    </w:r>
    <w:r w:rsidRPr="00632A72">
      <w:rPr>
        <w:rStyle w:val="slostrnky"/>
        <w:i/>
      </w:rPr>
      <w:fldChar w:fldCharType="end"/>
    </w:r>
    <w:r w:rsidRPr="00632A72">
      <w:rPr>
        <w:rStyle w:val="slostrnky"/>
        <w:i/>
      </w:rPr>
      <w:t>/</w:t>
    </w:r>
    <w:r w:rsidRPr="00632A72">
      <w:rPr>
        <w:rStyle w:val="slostrnky"/>
        <w:i/>
      </w:rPr>
      <w:fldChar w:fldCharType="begin"/>
    </w:r>
    <w:r w:rsidRPr="00632A72">
      <w:rPr>
        <w:rStyle w:val="slostrnky"/>
        <w:i/>
      </w:rPr>
      <w:instrText xml:space="preserve"> NUMPAGES </w:instrText>
    </w:r>
    <w:r w:rsidRPr="00632A72">
      <w:rPr>
        <w:rStyle w:val="slostrnky"/>
        <w:i/>
      </w:rPr>
      <w:fldChar w:fldCharType="separate"/>
    </w:r>
    <w:r w:rsidR="0095318B">
      <w:rPr>
        <w:rStyle w:val="slostrnky"/>
        <w:i/>
        <w:noProof/>
      </w:rPr>
      <w:t>196</w:t>
    </w:r>
    <w:r w:rsidRPr="00632A72">
      <w:rPr>
        <w:rStyle w:val="slostrnky"/>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Default="004B7B46" w:rsidP="008831AA">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4B7B46" w:rsidRDefault="004B7B4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B46" w:rsidRDefault="004B7B46">
      <w:r>
        <w:separator/>
      </w:r>
    </w:p>
  </w:footnote>
  <w:footnote w:type="continuationSeparator" w:id="0">
    <w:p w:rsidR="004B7B46" w:rsidRDefault="004B7B46">
      <w:r>
        <w:continuationSeparator/>
      </w:r>
    </w:p>
  </w:footnote>
  <w:footnote w:id="1">
    <w:p w:rsidR="004B7B46" w:rsidRDefault="004B7B46" w:rsidP="000F4DBC">
      <w:pPr>
        <w:pStyle w:val="Textpoznpodarou"/>
      </w:pPr>
      <w:r>
        <w:rPr>
          <w:rStyle w:val="Znakapoznpodarou"/>
        </w:rPr>
        <w:footnoteRef/>
      </w:r>
      <w:r>
        <w:t xml:space="preserve"> </w:t>
      </w:r>
      <w:r w:rsidRPr="000A0A25">
        <w:rPr>
          <w:sz w:val="18"/>
          <w:szCs w:val="18"/>
        </w:rPr>
        <w:t xml:space="preserve">Další koncepční </w:t>
      </w:r>
      <w:r>
        <w:rPr>
          <w:sz w:val="18"/>
          <w:szCs w:val="18"/>
        </w:rPr>
        <w:t>dokumenty,</w:t>
      </w:r>
      <w:r w:rsidRPr="000A0A25">
        <w:rPr>
          <w:sz w:val="18"/>
          <w:szCs w:val="18"/>
        </w:rPr>
        <w:t xml:space="preserve"> vymezující</w:t>
      </w:r>
      <w:r>
        <w:rPr>
          <w:sz w:val="18"/>
          <w:szCs w:val="18"/>
        </w:rPr>
        <w:t xml:space="preserve"> strategie a prioritní osy IOP, jsou</w:t>
      </w:r>
      <w:r w:rsidRPr="000A0A25">
        <w:rPr>
          <w:sz w:val="18"/>
          <w:szCs w:val="18"/>
        </w:rPr>
        <w:t xml:space="preserve"> uvedeny v příloze 1 Programového dokumentu</w:t>
      </w:r>
      <w:r>
        <w:rPr>
          <w:sz w:val="18"/>
          <w:szCs w:val="18"/>
        </w:rPr>
        <w:t>.</w:t>
      </w:r>
    </w:p>
  </w:footnote>
  <w:footnote w:id="2">
    <w:p w:rsidR="004B7B46" w:rsidRDefault="004B7B46" w:rsidP="00D029EB">
      <w:pPr>
        <w:pStyle w:val="Textpoznpodarou"/>
        <w:jc w:val="both"/>
      </w:pPr>
      <w:r w:rsidRPr="00F22C92">
        <w:rPr>
          <w:rStyle w:val="Znakapoznpodarou"/>
          <w:sz w:val="18"/>
          <w:szCs w:val="18"/>
        </w:rPr>
        <w:footnoteRef/>
      </w:r>
      <w:r>
        <w:rPr>
          <w:sz w:val="18"/>
          <w:szCs w:val="18"/>
        </w:rPr>
        <w:t xml:space="preserve"> U indikátorů vyjadřujících počet podpořených projektů je dosažená hodnota monitorována od ukončení realizace projektu. V letech 2007 a 2008 byly z důvodu nutnosti vykázání věcného pokroku tyto projekty počítány již od stavu, kdy byl projekt </w:t>
      </w:r>
      <w:r>
        <w:rPr>
          <w:sz w:val="18"/>
          <w:szCs w:val="18"/>
        </w:rPr>
        <w:br/>
        <w:t>v realizaci</w:t>
      </w:r>
      <w:r w:rsidRPr="00F22C92">
        <w:rPr>
          <w:sz w:val="18"/>
          <w:szCs w:val="18"/>
        </w:rPr>
        <w:t xml:space="preserve">. </w:t>
      </w:r>
      <w:r>
        <w:rPr>
          <w:sz w:val="18"/>
          <w:szCs w:val="18"/>
        </w:rPr>
        <w:t>Tato skutečnost byla od roku 2009 změněna a historická data byla přepočítána.</w:t>
      </w:r>
    </w:p>
  </w:footnote>
  <w:footnote w:id="3">
    <w:p w:rsidR="004B7B46" w:rsidRPr="00F555E6" w:rsidRDefault="004B7B46" w:rsidP="00F555E6">
      <w:pPr>
        <w:pStyle w:val="Textpoznpodarou"/>
        <w:jc w:val="both"/>
        <w:rPr>
          <w:sz w:val="18"/>
          <w:szCs w:val="18"/>
        </w:rPr>
      </w:pPr>
      <w:r w:rsidRPr="00F555E6">
        <w:rPr>
          <w:rStyle w:val="Znakapoznpodarou"/>
          <w:sz w:val="18"/>
          <w:szCs w:val="18"/>
        </w:rPr>
        <w:footnoteRef/>
      </w:r>
      <w:r w:rsidRPr="00F555E6">
        <w:rPr>
          <w:sz w:val="18"/>
          <w:szCs w:val="18"/>
        </w:rPr>
        <w:t xml:space="preserve"> </w:t>
      </w:r>
      <w:r>
        <w:rPr>
          <w:sz w:val="18"/>
          <w:szCs w:val="18"/>
        </w:rPr>
        <w:t>Indikátor</w:t>
      </w:r>
      <w:r w:rsidRPr="00F555E6">
        <w:rPr>
          <w:sz w:val="18"/>
          <w:szCs w:val="18"/>
        </w:rPr>
        <w:t xml:space="preserve"> 011406 - výchozí hodnota byla zjištěna na základě dotazníkového šetření ENERGO 2004, v následujících letech toto šetření neprobíhalo, proto není v letech 2007-201</w:t>
      </w:r>
      <w:r>
        <w:rPr>
          <w:sz w:val="18"/>
          <w:szCs w:val="18"/>
        </w:rPr>
        <w:t>4</w:t>
      </w:r>
      <w:r w:rsidRPr="00F555E6">
        <w:rPr>
          <w:sz w:val="18"/>
          <w:szCs w:val="18"/>
        </w:rPr>
        <w:t xml:space="preserve"> vyplněna hodnota indikátoru. ŘO řeší alternativní způsob sledování tohoto indikátoru.</w:t>
      </w:r>
    </w:p>
  </w:footnote>
  <w:footnote w:id="4">
    <w:p w:rsidR="004B7B46" w:rsidRPr="00E22AA2" w:rsidRDefault="004B7B46" w:rsidP="00F555E6">
      <w:pPr>
        <w:pStyle w:val="Textpoznpodarou"/>
        <w:jc w:val="both"/>
        <w:rPr>
          <w:sz w:val="18"/>
          <w:szCs w:val="18"/>
        </w:rPr>
      </w:pPr>
      <w:r w:rsidRPr="00F555E6">
        <w:rPr>
          <w:rStyle w:val="Znakapoznpodarou"/>
          <w:sz w:val="18"/>
          <w:szCs w:val="18"/>
        </w:rPr>
        <w:footnoteRef/>
      </w:r>
      <w:r w:rsidRPr="00F555E6">
        <w:rPr>
          <w:sz w:val="18"/>
          <w:szCs w:val="18"/>
        </w:rPr>
        <w:t xml:space="preserve"> </w:t>
      </w:r>
      <w:r>
        <w:rPr>
          <w:sz w:val="18"/>
          <w:szCs w:val="18"/>
        </w:rPr>
        <w:t>Indikátor</w:t>
      </w:r>
      <w:r w:rsidRPr="00F555E6">
        <w:rPr>
          <w:sz w:val="18"/>
          <w:szCs w:val="18"/>
        </w:rPr>
        <w:t xml:space="preserve"> 153501 - za jedn</w:t>
      </w:r>
      <w:r>
        <w:rPr>
          <w:sz w:val="18"/>
          <w:szCs w:val="18"/>
        </w:rPr>
        <w:t>otlivé</w:t>
      </w:r>
      <w:r w:rsidRPr="00F555E6">
        <w:rPr>
          <w:sz w:val="18"/>
          <w:szCs w:val="18"/>
        </w:rPr>
        <w:t xml:space="preserve"> roky sledováno v % ze zdroje: </w:t>
      </w:r>
      <w:bookmarkStart w:id="20" w:name="_Hlk383603442"/>
      <w:r>
        <w:rPr>
          <w:sz w:val="18"/>
          <w:szCs w:val="18"/>
        </w:rPr>
        <w:fldChar w:fldCharType="begin"/>
      </w:r>
      <w:r>
        <w:rPr>
          <w:sz w:val="18"/>
          <w:szCs w:val="18"/>
        </w:rPr>
        <w:instrText xml:space="preserve"> HYPERLINK "</w:instrText>
      </w:r>
      <w:r w:rsidRPr="00F555E6">
        <w:rPr>
          <w:sz w:val="18"/>
          <w:szCs w:val="18"/>
        </w:rPr>
        <w:instrText>http://info.worldbank.org/governance/wgi/sc_chart.asp</w:instrText>
      </w:r>
      <w:r>
        <w:rPr>
          <w:sz w:val="18"/>
          <w:szCs w:val="18"/>
        </w:rPr>
        <w:instrText xml:space="preserve">" </w:instrText>
      </w:r>
      <w:r>
        <w:rPr>
          <w:sz w:val="18"/>
          <w:szCs w:val="18"/>
        </w:rPr>
        <w:fldChar w:fldCharType="separate"/>
      </w:r>
      <w:r w:rsidRPr="008D1600">
        <w:rPr>
          <w:rStyle w:val="Hypertextovodkaz"/>
          <w:sz w:val="18"/>
          <w:szCs w:val="18"/>
        </w:rPr>
        <w:t>http://info.worldbank.org/governance/wgi/sc_chart.asp</w:t>
      </w:r>
      <w:bookmarkEnd w:id="20"/>
      <w:r>
        <w:rPr>
          <w:sz w:val="18"/>
          <w:szCs w:val="18"/>
        </w:rPr>
        <w:fldChar w:fldCharType="end"/>
      </w:r>
    </w:p>
  </w:footnote>
  <w:footnote w:id="5">
    <w:p w:rsidR="004B7B46" w:rsidRDefault="004B7B46">
      <w:pPr>
        <w:pStyle w:val="Textpoznpodarou"/>
      </w:pPr>
      <w:r>
        <w:rPr>
          <w:rStyle w:val="Znakapoznpodarou"/>
        </w:rPr>
        <w:footnoteRef/>
      </w:r>
      <w:r>
        <w:t xml:space="preserve"> </w:t>
      </w:r>
      <w:r w:rsidRPr="00B66CD4">
        <w:rPr>
          <w:sz w:val="18"/>
          <w:szCs w:val="18"/>
        </w:rPr>
        <w:t>Cílové hodnoty nejsou stanoveny</w:t>
      </w:r>
      <w:r>
        <w:rPr>
          <w:sz w:val="18"/>
          <w:szCs w:val="18"/>
        </w:rPr>
        <w:t>, sloupec „cílová hodnota 2015“ proto není uveden.</w:t>
      </w:r>
    </w:p>
  </w:footnote>
  <w:footnote w:id="6">
    <w:p w:rsidR="004B7B46" w:rsidRDefault="004B7B46">
      <w:pPr>
        <w:pStyle w:val="Textpoznpodarou"/>
      </w:pPr>
      <w:r>
        <w:rPr>
          <w:rStyle w:val="Znakapoznpodarou"/>
        </w:rPr>
        <w:footnoteRef/>
      </w:r>
      <w:r>
        <w:t xml:space="preserve"> </w:t>
      </w:r>
      <w:r w:rsidRPr="00106702">
        <w:rPr>
          <w:sz w:val="18"/>
          <w:szCs w:val="18"/>
        </w:rPr>
        <w:t xml:space="preserve">V průběhu realizace OI identifikoval ŘO IOP rozdíly mezi skutečnou absorpční kapacitou a původně plánovanými poměru alokace mezi prioritními tématy 55 a 57. Prioritní téma 55 bylo přeplněno právě z důvodu větší absorpční kapacity podporovaných témat, než bylo předpokládáno, a zároveň byla identifikována nižší absorpční kapacita u prioritního tématu 57. Z tohoto důvodu směřoval do tohoto tématu nižší podíl původně plánovaných finančních prostředků. </w:t>
      </w:r>
    </w:p>
  </w:footnote>
  <w:footnote w:id="7">
    <w:p w:rsidR="004B7B46" w:rsidRDefault="004B7B46" w:rsidP="00147730">
      <w:pPr>
        <w:pStyle w:val="Textpoznpodarou"/>
      </w:pPr>
      <w:r>
        <w:rPr>
          <w:rStyle w:val="Znakapoznpodarou"/>
          <w:sz w:val="18"/>
          <w:szCs w:val="18"/>
        </w:rPr>
        <w:footnoteRef/>
      </w:r>
      <w:r>
        <w:rPr>
          <w:sz w:val="18"/>
          <w:szCs w:val="18"/>
        </w:rPr>
        <w:t xml:space="preserve"> V celé této zprávě, pokud jde o sledování vlivu projektů na rovné příležitosti nebo na udržitelný rozvoj, se jedná pouze </w:t>
      </w:r>
      <w:r>
        <w:rPr>
          <w:sz w:val="18"/>
          <w:szCs w:val="18"/>
        </w:rPr>
        <w:br/>
        <w:t>o schválené projekty v pozitivních stavech (tedy bez vyřazených projektů).</w:t>
      </w:r>
    </w:p>
  </w:footnote>
  <w:footnote w:id="8">
    <w:p w:rsidR="004B7B46" w:rsidRPr="00373A13" w:rsidRDefault="004B7B46" w:rsidP="00C23D9C">
      <w:pPr>
        <w:pStyle w:val="Textpoznpodarou"/>
        <w:jc w:val="both"/>
        <w:rPr>
          <w:sz w:val="18"/>
          <w:szCs w:val="18"/>
        </w:rPr>
      </w:pPr>
      <w:r w:rsidRPr="008B57EB">
        <w:rPr>
          <w:rStyle w:val="Znakapoznpodarou"/>
        </w:rPr>
        <w:footnoteRef/>
      </w:r>
      <w:r w:rsidRPr="008B57EB">
        <w:t xml:space="preserve"> </w:t>
      </w:r>
      <w:r w:rsidRPr="00373A13">
        <w:rPr>
          <w:sz w:val="18"/>
          <w:szCs w:val="18"/>
        </w:rPr>
        <w:t xml:space="preserve">Ve Výroční zprávě IOP za rok 2011 byla uvedena hodnota 90 % schválených projektů. Hodnota ve Výroční zprávě IOP </w:t>
      </w:r>
      <w:r>
        <w:rPr>
          <w:sz w:val="18"/>
          <w:szCs w:val="18"/>
        </w:rPr>
        <w:br/>
      </w:r>
      <w:r w:rsidRPr="00373A13">
        <w:rPr>
          <w:sz w:val="18"/>
          <w:szCs w:val="18"/>
        </w:rPr>
        <w:t>za rok 2013 28,52 % představuje vyčerpané prostředky vzhledem k celkové alokaci prioritního tématu.</w:t>
      </w:r>
    </w:p>
  </w:footnote>
  <w:footnote w:id="9">
    <w:p w:rsidR="004B7B46" w:rsidRDefault="004B7B46" w:rsidP="00C83CFA">
      <w:pPr>
        <w:pStyle w:val="Textpoznpodarou"/>
      </w:pPr>
      <w:r>
        <w:rPr>
          <w:rStyle w:val="Znakapoznpodarou"/>
        </w:rPr>
        <w:footnoteRef/>
      </w:r>
      <w:r w:rsidRPr="00972806">
        <w:rPr>
          <w:sz w:val="16"/>
          <w:szCs w:val="16"/>
        </w:rPr>
        <w:t xml:space="preserve"> Podpora de </w:t>
      </w:r>
      <w:proofErr w:type="spellStart"/>
      <w:r w:rsidRPr="00972806">
        <w:rPr>
          <w:sz w:val="16"/>
          <w:szCs w:val="16"/>
        </w:rPr>
        <w:t>minimis</w:t>
      </w:r>
      <w:proofErr w:type="spellEnd"/>
      <w:r w:rsidRPr="00972806">
        <w:rPr>
          <w:sz w:val="16"/>
          <w:szCs w:val="16"/>
        </w:rPr>
        <w:t xml:space="preserve"> (nebo také podpora malého rozsahu) není považována za „veřejnou podporu“, protože vzhledem k její nízké částce má Evropská komise za to, že nenaplňuje poslední dva znaky definice veřejné podpory – neměla by ovlivnit obchod a narušit hospodářskou soutěž mezi členskými státy.</w:t>
      </w:r>
    </w:p>
  </w:footnote>
  <w:footnote w:id="10">
    <w:p w:rsidR="004B7B46" w:rsidRPr="003816A0" w:rsidRDefault="004B7B46" w:rsidP="0088001E">
      <w:pPr>
        <w:pStyle w:val="Textpoznpodarou"/>
        <w:jc w:val="both"/>
        <w:rPr>
          <w:rFonts w:asciiTheme="minorHAnsi" w:hAnsiTheme="minorHAnsi" w:cs="Arial"/>
          <w:sz w:val="16"/>
          <w:szCs w:val="16"/>
        </w:rPr>
      </w:pPr>
      <w:r w:rsidRPr="003816A0">
        <w:rPr>
          <w:rStyle w:val="Znakapoznpodarou"/>
          <w:rFonts w:asciiTheme="minorHAnsi" w:hAnsiTheme="minorHAnsi" w:cs="Arial"/>
          <w:sz w:val="16"/>
          <w:szCs w:val="16"/>
        </w:rPr>
        <w:footnoteRef/>
      </w:r>
      <w:r w:rsidRPr="003816A0">
        <w:rPr>
          <w:rFonts w:asciiTheme="minorHAnsi" w:hAnsiTheme="minorHAnsi" w:cs="Arial"/>
          <w:sz w:val="16"/>
          <w:szCs w:val="16"/>
        </w:rPr>
        <w:t xml:space="preserve"> Ve smyslu čl. 39 nařízení Rady (ES) č. 1083/2006 o obecných ustanoveních o Evropském fondu pro regionální rozvoj, Evropském sociálním fondu a Fondu soudržnosti a o zrušení nařízení (ES) č. 1260/1999.</w:t>
      </w:r>
    </w:p>
  </w:footnote>
  <w:footnote w:id="11">
    <w:p w:rsidR="004B7B46" w:rsidRDefault="004B7B46" w:rsidP="006433F4">
      <w:pPr>
        <w:pStyle w:val="Textpoznpodarou"/>
      </w:pPr>
      <w:r>
        <w:rPr>
          <w:rStyle w:val="Znakapoznpodarou"/>
        </w:rPr>
        <w:footnoteRef/>
      </w:r>
      <w:r>
        <w:t xml:space="preserve"> </w:t>
      </w:r>
      <w:r w:rsidRPr="00A179C2">
        <w:rPr>
          <w:sz w:val="18"/>
          <w:szCs w:val="18"/>
        </w:rPr>
        <w:t>Z těchto 13 měst získalo 8 bodové ohodnocení za kritérium 2. e – „IPRM obsahuje řešení v sociálně vyloučené romské lokalitě“.</w:t>
      </w:r>
    </w:p>
  </w:footnote>
  <w:footnote w:id="12">
    <w:p w:rsidR="004B7B46" w:rsidRPr="00CB112E" w:rsidRDefault="004B7B46" w:rsidP="00374B20">
      <w:pPr>
        <w:rPr>
          <w:b/>
          <w:i/>
          <w:sz w:val="18"/>
          <w:szCs w:val="18"/>
        </w:rPr>
      </w:pPr>
      <w:r>
        <w:rPr>
          <w:rStyle w:val="Znakapoznpodarou"/>
        </w:rPr>
        <w:footnoteRef/>
      </w:r>
      <w:r>
        <w:t xml:space="preserve"> </w:t>
      </w:r>
      <w:r w:rsidRPr="00A179C2">
        <w:rPr>
          <w:sz w:val="18"/>
          <w:szCs w:val="18"/>
        </w:rPr>
        <w:t>MK – převod agendy na MMR ČR – CRR ČR k </w:t>
      </w:r>
      <w:proofErr w:type="gramStart"/>
      <w:r w:rsidRPr="00A179C2">
        <w:rPr>
          <w:sz w:val="18"/>
          <w:szCs w:val="18"/>
        </w:rPr>
        <w:t>31.10.2013</w:t>
      </w:r>
      <w:proofErr w:type="gramEnd"/>
      <w:r w:rsidRPr="00A179C2">
        <w:rPr>
          <w:sz w:val="18"/>
          <w:szCs w:val="18"/>
        </w:rPr>
        <w:t>.</w:t>
      </w:r>
    </w:p>
    <w:p w:rsidR="004B7B46" w:rsidRDefault="004B7B46" w:rsidP="00374B20">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Default="004B7B46" w:rsidP="005545E2">
    <w:pPr>
      <w:pStyle w:val="Zhlav"/>
    </w:pPr>
    <w:r>
      <w:rPr>
        <w:noProof/>
      </w:rPr>
      <w:drawing>
        <wp:inline distT="0" distB="0" distL="0" distR="0" wp14:anchorId="189A6A7B" wp14:editId="76F3A5CE">
          <wp:extent cx="5743575" cy="400050"/>
          <wp:effectExtent l="19050" t="0" r="9525" b="0"/>
          <wp:docPr id="30"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43575" cy="4000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Default="004B7B46" w:rsidP="005545E2">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Default="004B7B46">
    <w:pPr>
      <w:pStyle w:val="Zhlav"/>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46" w:rsidRDefault="004B7B46" w:rsidP="00037FCD">
    <w:pPr>
      <w:pStyle w:val="Zhlav"/>
      <w:jc w:val="center"/>
    </w:pPr>
    <w:r>
      <w:rPr>
        <w:noProof/>
      </w:rPr>
      <w:drawing>
        <wp:inline distT="0" distB="0" distL="0" distR="0" wp14:anchorId="0C4805CA" wp14:editId="4212C969">
          <wp:extent cx="5743575" cy="400050"/>
          <wp:effectExtent l="19050" t="0" r="9525" b="0"/>
          <wp:docPr id="27"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4357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singleLevel"/>
    <w:tmpl w:val="00000029"/>
    <w:name w:val="WW8Num75"/>
    <w:lvl w:ilvl="0">
      <w:start w:val="1"/>
      <w:numFmt w:val="bullet"/>
      <w:lvlText w:val=""/>
      <w:lvlJc w:val="left"/>
      <w:pPr>
        <w:tabs>
          <w:tab w:val="num" w:pos="720"/>
        </w:tabs>
        <w:ind w:left="720" w:hanging="360"/>
      </w:pPr>
      <w:rPr>
        <w:rFonts w:ascii="Symbol" w:hAnsi="Symbol"/>
      </w:rPr>
    </w:lvl>
  </w:abstractNum>
  <w:abstractNum w:abstractNumId="1">
    <w:nsid w:val="05872D50"/>
    <w:multiLevelType w:val="hybridMultilevel"/>
    <w:tmpl w:val="1BDE728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6214A96"/>
    <w:multiLevelType w:val="hybridMultilevel"/>
    <w:tmpl w:val="6302C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8A427AA"/>
    <w:multiLevelType w:val="hybridMultilevel"/>
    <w:tmpl w:val="9B0A68E0"/>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
    <w:nsid w:val="09F121CD"/>
    <w:multiLevelType w:val="hybridMultilevel"/>
    <w:tmpl w:val="A0C064CE"/>
    <w:lvl w:ilvl="0" w:tplc="3F282B4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A254F0D"/>
    <w:multiLevelType w:val="hybridMultilevel"/>
    <w:tmpl w:val="310051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5C849C6C">
      <w:numFmt w:val="bullet"/>
      <w:lvlText w:val="•"/>
      <w:lvlJc w:val="left"/>
      <w:pPr>
        <w:ind w:left="2160" w:hanging="360"/>
      </w:pPr>
      <w:rPr>
        <w:rFonts w:ascii="Arial" w:eastAsia="Times New Roman" w:hAnsi="Arial"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AC14A75"/>
    <w:multiLevelType w:val="hybridMultilevel"/>
    <w:tmpl w:val="47781750"/>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7">
    <w:nsid w:val="0B7B1358"/>
    <w:multiLevelType w:val="hybridMultilevel"/>
    <w:tmpl w:val="8C1EF36A"/>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8">
    <w:nsid w:val="0BDE6702"/>
    <w:multiLevelType w:val="hybridMultilevel"/>
    <w:tmpl w:val="C128AFFE"/>
    <w:lvl w:ilvl="0" w:tplc="892A8978">
      <w:start w:val="1"/>
      <w:numFmt w:val="decimal"/>
      <w:lvlText w:val="Tabulka č. %1 -"/>
      <w:lvlJc w:val="left"/>
      <w:pPr>
        <w:ind w:left="6030" w:hanging="360"/>
      </w:pPr>
      <w:rPr>
        <w:rFonts w:ascii="Times New Roman" w:hAnsi="Times New Roman" w:cs="Times New Roman" w:hint="default"/>
        <w:b/>
        <w:bCs w:val="0"/>
        <w:i w:val="0"/>
        <w:iCs w:val="0"/>
        <w:caps w:val="0"/>
        <w:strike w:val="0"/>
        <w:dstrike w:val="0"/>
        <w:vanish w:val="0"/>
        <w:color w:val="auto"/>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ind w:left="5056" w:hanging="360"/>
      </w:pPr>
      <w:rPr>
        <w:rFonts w:cs="Times New Roman"/>
      </w:rPr>
    </w:lvl>
    <w:lvl w:ilvl="2" w:tplc="0405001B">
      <w:start w:val="1"/>
      <w:numFmt w:val="lowerRoman"/>
      <w:lvlText w:val="%3."/>
      <w:lvlJc w:val="right"/>
      <w:pPr>
        <w:ind w:left="5776" w:hanging="180"/>
      </w:pPr>
      <w:rPr>
        <w:rFonts w:cs="Times New Roman"/>
      </w:rPr>
    </w:lvl>
    <w:lvl w:ilvl="3" w:tplc="0405000F">
      <w:start w:val="1"/>
      <w:numFmt w:val="decimal"/>
      <w:lvlText w:val="%4."/>
      <w:lvlJc w:val="left"/>
      <w:pPr>
        <w:ind w:left="6496" w:hanging="360"/>
      </w:pPr>
      <w:rPr>
        <w:rFonts w:cs="Times New Roman"/>
      </w:rPr>
    </w:lvl>
    <w:lvl w:ilvl="4" w:tplc="04050019">
      <w:start w:val="1"/>
      <w:numFmt w:val="lowerLetter"/>
      <w:lvlText w:val="%5."/>
      <w:lvlJc w:val="left"/>
      <w:pPr>
        <w:ind w:left="7216" w:hanging="360"/>
      </w:pPr>
      <w:rPr>
        <w:rFonts w:cs="Times New Roman"/>
      </w:rPr>
    </w:lvl>
    <w:lvl w:ilvl="5" w:tplc="0405001B">
      <w:start w:val="1"/>
      <w:numFmt w:val="lowerRoman"/>
      <w:lvlText w:val="%6."/>
      <w:lvlJc w:val="right"/>
      <w:pPr>
        <w:ind w:left="7936" w:hanging="180"/>
      </w:pPr>
      <w:rPr>
        <w:rFonts w:cs="Times New Roman"/>
      </w:rPr>
    </w:lvl>
    <w:lvl w:ilvl="6" w:tplc="0405000F">
      <w:start w:val="1"/>
      <w:numFmt w:val="decimal"/>
      <w:lvlText w:val="%7."/>
      <w:lvlJc w:val="left"/>
      <w:pPr>
        <w:ind w:left="8656" w:hanging="360"/>
      </w:pPr>
      <w:rPr>
        <w:rFonts w:cs="Times New Roman"/>
      </w:rPr>
    </w:lvl>
    <w:lvl w:ilvl="7" w:tplc="04050019">
      <w:start w:val="1"/>
      <w:numFmt w:val="lowerLetter"/>
      <w:lvlText w:val="%8."/>
      <w:lvlJc w:val="left"/>
      <w:pPr>
        <w:ind w:left="9376" w:hanging="360"/>
      </w:pPr>
      <w:rPr>
        <w:rFonts w:cs="Times New Roman"/>
      </w:rPr>
    </w:lvl>
    <w:lvl w:ilvl="8" w:tplc="0405001B">
      <w:start w:val="1"/>
      <w:numFmt w:val="lowerRoman"/>
      <w:lvlText w:val="%9."/>
      <w:lvlJc w:val="right"/>
      <w:pPr>
        <w:ind w:left="10096" w:hanging="180"/>
      </w:pPr>
      <w:rPr>
        <w:rFonts w:cs="Times New Roman"/>
      </w:rPr>
    </w:lvl>
  </w:abstractNum>
  <w:abstractNum w:abstractNumId="9">
    <w:nsid w:val="0BF56AA2"/>
    <w:multiLevelType w:val="multilevel"/>
    <w:tmpl w:val="32B0DE0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C53028B"/>
    <w:multiLevelType w:val="hybridMultilevel"/>
    <w:tmpl w:val="8DA4516E"/>
    <w:lvl w:ilvl="0" w:tplc="69427B5E">
      <w:start w:val="1"/>
      <w:numFmt w:val="decimal"/>
      <w:pStyle w:val="Graf"/>
      <w:lvlText w:val="Graf č. %1 - "/>
      <w:lvlJc w:val="left"/>
      <w:pPr>
        <w:ind w:left="0" w:firstLine="0"/>
      </w:pPr>
      <w:rPr>
        <w:rFonts w:ascii="Times New Roman" w:hAnsi="Times New Roman" w:cs="Times New Roman" w:hint="default"/>
        <w:b/>
        <w:i w:val="0"/>
        <w:sz w:val="20"/>
      </w:rPr>
    </w:lvl>
    <w:lvl w:ilvl="1" w:tplc="04050019">
      <w:start w:val="1"/>
      <w:numFmt w:val="lowerLetter"/>
      <w:lvlText w:val="%2."/>
      <w:lvlJc w:val="left"/>
      <w:pPr>
        <w:ind w:left="3632" w:hanging="360"/>
      </w:pPr>
    </w:lvl>
    <w:lvl w:ilvl="2" w:tplc="0405001B">
      <w:start w:val="1"/>
      <w:numFmt w:val="lowerRoman"/>
      <w:lvlText w:val="%3."/>
      <w:lvlJc w:val="right"/>
      <w:pPr>
        <w:ind w:left="4352" w:hanging="180"/>
      </w:pPr>
    </w:lvl>
    <w:lvl w:ilvl="3" w:tplc="0405000F">
      <w:start w:val="1"/>
      <w:numFmt w:val="decimal"/>
      <w:lvlText w:val="%4."/>
      <w:lvlJc w:val="left"/>
      <w:pPr>
        <w:ind w:left="5072" w:hanging="360"/>
      </w:pPr>
    </w:lvl>
    <w:lvl w:ilvl="4" w:tplc="04050019">
      <w:start w:val="1"/>
      <w:numFmt w:val="lowerLetter"/>
      <w:lvlText w:val="%5."/>
      <w:lvlJc w:val="left"/>
      <w:pPr>
        <w:ind w:left="5792" w:hanging="360"/>
      </w:pPr>
    </w:lvl>
    <w:lvl w:ilvl="5" w:tplc="0405001B" w:tentative="1">
      <w:start w:val="1"/>
      <w:numFmt w:val="lowerRoman"/>
      <w:lvlText w:val="%6."/>
      <w:lvlJc w:val="right"/>
      <w:pPr>
        <w:ind w:left="6512" w:hanging="180"/>
      </w:pPr>
    </w:lvl>
    <w:lvl w:ilvl="6" w:tplc="0405000F" w:tentative="1">
      <w:start w:val="1"/>
      <w:numFmt w:val="decimal"/>
      <w:lvlText w:val="%7."/>
      <w:lvlJc w:val="left"/>
      <w:pPr>
        <w:ind w:left="7232" w:hanging="360"/>
      </w:pPr>
    </w:lvl>
    <w:lvl w:ilvl="7" w:tplc="04050019" w:tentative="1">
      <w:start w:val="1"/>
      <w:numFmt w:val="lowerLetter"/>
      <w:lvlText w:val="%8."/>
      <w:lvlJc w:val="left"/>
      <w:pPr>
        <w:ind w:left="7952" w:hanging="360"/>
      </w:pPr>
    </w:lvl>
    <w:lvl w:ilvl="8" w:tplc="0405001B" w:tentative="1">
      <w:start w:val="1"/>
      <w:numFmt w:val="lowerRoman"/>
      <w:lvlText w:val="%9."/>
      <w:lvlJc w:val="right"/>
      <w:pPr>
        <w:ind w:left="8672" w:hanging="180"/>
      </w:pPr>
    </w:lvl>
  </w:abstractNum>
  <w:abstractNum w:abstractNumId="11">
    <w:nsid w:val="0CB10275"/>
    <w:multiLevelType w:val="hybridMultilevel"/>
    <w:tmpl w:val="88D84630"/>
    <w:lvl w:ilvl="0" w:tplc="AF608F08">
      <w:start w:val="1"/>
      <w:numFmt w:val="decimal"/>
      <w:lvlText w:val="%1."/>
      <w:lvlJc w:val="left"/>
      <w:pPr>
        <w:ind w:left="360" w:hanging="360"/>
      </w:pPr>
      <w:rPr>
        <w:rFonts w:hint="default"/>
        <w:color w:val="00000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0D040578"/>
    <w:multiLevelType w:val="multilevel"/>
    <w:tmpl w:val="06A89B92"/>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E4B0270"/>
    <w:multiLevelType w:val="hybridMultilevel"/>
    <w:tmpl w:val="90B85B54"/>
    <w:lvl w:ilvl="0" w:tplc="3A80D25C">
      <w:start w:val="1"/>
      <w:numFmt w:val="bullet"/>
      <w:lvlText w:val=""/>
      <w:lvlJc w:val="left"/>
      <w:pPr>
        <w:ind w:left="720" w:hanging="360"/>
      </w:pPr>
      <w:rPr>
        <w:rFonts w:ascii="Wingdings" w:hAnsi="Wingdings" w:hint="default"/>
        <w:b/>
        <w:i w:val="0"/>
        <w:color w:val="002060"/>
      </w:rPr>
    </w:lvl>
    <w:lvl w:ilvl="1" w:tplc="B5EED882">
      <w:start w:val="1"/>
      <w:numFmt w:val="bullet"/>
      <w:lvlText w:val=""/>
      <w:lvlJc w:val="left"/>
      <w:pPr>
        <w:ind w:left="1440" w:hanging="360"/>
      </w:pPr>
      <w:rPr>
        <w:rFonts w:ascii="Symbol" w:hAnsi="Symbol" w:hint="default"/>
        <w:b/>
        <w:i w:val="0"/>
        <w:color w:val="4BACC6"/>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EC01497"/>
    <w:multiLevelType w:val="hybridMultilevel"/>
    <w:tmpl w:val="52DC48E8"/>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15">
    <w:nsid w:val="10E3138D"/>
    <w:multiLevelType w:val="hybridMultilevel"/>
    <w:tmpl w:val="643E0652"/>
    <w:lvl w:ilvl="0" w:tplc="DF541644">
      <w:start w:val="2"/>
      <w:numFmt w:val="bullet"/>
      <w:lvlText w:val="-"/>
      <w:lvlJc w:val="left"/>
      <w:pPr>
        <w:tabs>
          <w:tab w:val="num" w:pos="575"/>
        </w:tabs>
        <w:ind w:left="575" w:hanging="360"/>
      </w:pPr>
      <w:rPr>
        <w:rFonts w:ascii="Times New Roman" w:eastAsia="Times New Roman" w:hAnsi="Times New Roman" w:cs="Times New Roman"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16">
    <w:nsid w:val="162D7C35"/>
    <w:multiLevelType w:val="hybridMultilevel"/>
    <w:tmpl w:val="E78212EA"/>
    <w:lvl w:ilvl="0" w:tplc="9A02EBF8">
      <w:numFmt w:val="bullet"/>
      <w:pStyle w:val="odrka"/>
      <w:lvlText w:val="▪"/>
      <w:lvlJc w:val="left"/>
      <w:pPr>
        <w:tabs>
          <w:tab w:val="num" w:pos="700"/>
        </w:tabs>
        <w:ind w:left="70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1899676A"/>
    <w:multiLevelType w:val="multilevel"/>
    <w:tmpl w:val="4568F512"/>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19D64DEF"/>
    <w:multiLevelType w:val="hybridMultilevel"/>
    <w:tmpl w:val="54BABE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B9C64EF"/>
    <w:multiLevelType w:val="hybridMultilevel"/>
    <w:tmpl w:val="ECB0A716"/>
    <w:lvl w:ilvl="0" w:tplc="04050017">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0">
    <w:nsid w:val="1BC32EDE"/>
    <w:multiLevelType w:val="hybridMultilevel"/>
    <w:tmpl w:val="67D27784"/>
    <w:lvl w:ilvl="0" w:tplc="04050001">
      <w:start w:val="1"/>
      <w:numFmt w:val="lowerLetter"/>
      <w:lvlText w:val="%1)"/>
      <w:lvlJc w:val="left"/>
      <w:pPr>
        <w:tabs>
          <w:tab w:val="num" w:pos="720"/>
        </w:tabs>
        <w:ind w:left="720" w:hanging="360"/>
      </w:pPr>
      <w:rPr>
        <w:rFonts w:cs="Times New Roman"/>
      </w:rPr>
    </w:lvl>
    <w:lvl w:ilvl="1" w:tplc="04050003">
      <w:start w:val="1"/>
      <w:numFmt w:val="lowerLetter"/>
      <w:lvlText w:val="%2."/>
      <w:lvlJc w:val="left"/>
      <w:pPr>
        <w:tabs>
          <w:tab w:val="num" w:pos="1440"/>
        </w:tabs>
        <w:ind w:left="1440" w:hanging="360"/>
      </w:pPr>
      <w:rPr>
        <w:rFonts w:cs="Times New Roman"/>
      </w:rPr>
    </w:lvl>
    <w:lvl w:ilvl="2" w:tplc="04050005">
      <w:start w:val="1"/>
      <w:numFmt w:val="lowerRoman"/>
      <w:lvlText w:val="%3."/>
      <w:lvlJc w:val="right"/>
      <w:pPr>
        <w:tabs>
          <w:tab w:val="num" w:pos="2160"/>
        </w:tabs>
        <w:ind w:left="2160" w:hanging="18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lowerLetter"/>
      <w:lvlText w:val="%5."/>
      <w:lvlJc w:val="left"/>
      <w:pPr>
        <w:tabs>
          <w:tab w:val="num" w:pos="3600"/>
        </w:tabs>
        <w:ind w:left="3600" w:hanging="360"/>
      </w:pPr>
      <w:rPr>
        <w:rFonts w:cs="Times New Roman"/>
      </w:rPr>
    </w:lvl>
    <w:lvl w:ilvl="5" w:tplc="04050005">
      <w:start w:val="1"/>
      <w:numFmt w:val="lowerRoman"/>
      <w:lvlText w:val="%6."/>
      <w:lvlJc w:val="right"/>
      <w:pPr>
        <w:tabs>
          <w:tab w:val="num" w:pos="4320"/>
        </w:tabs>
        <w:ind w:left="4320" w:hanging="18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lowerLetter"/>
      <w:lvlText w:val="%8."/>
      <w:lvlJc w:val="left"/>
      <w:pPr>
        <w:tabs>
          <w:tab w:val="num" w:pos="5760"/>
        </w:tabs>
        <w:ind w:left="5760" w:hanging="360"/>
      </w:pPr>
      <w:rPr>
        <w:rFonts w:cs="Times New Roman"/>
      </w:rPr>
    </w:lvl>
    <w:lvl w:ilvl="8" w:tplc="04050005">
      <w:start w:val="1"/>
      <w:numFmt w:val="lowerRoman"/>
      <w:lvlText w:val="%9."/>
      <w:lvlJc w:val="right"/>
      <w:pPr>
        <w:tabs>
          <w:tab w:val="num" w:pos="6480"/>
        </w:tabs>
        <w:ind w:left="6480" w:hanging="180"/>
      </w:pPr>
      <w:rPr>
        <w:rFonts w:cs="Times New Roman"/>
      </w:rPr>
    </w:lvl>
  </w:abstractNum>
  <w:abstractNum w:abstractNumId="21">
    <w:nsid w:val="1C6D2B0D"/>
    <w:multiLevelType w:val="hybridMultilevel"/>
    <w:tmpl w:val="A4E8F1F0"/>
    <w:lvl w:ilvl="0" w:tplc="B88A078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209D685B"/>
    <w:multiLevelType w:val="hybridMultilevel"/>
    <w:tmpl w:val="8F121C52"/>
    <w:lvl w:ilvl="0" w:tplc="04050001">
      <w:numFmt w:val="bullet"/>
      <w:lvlText w:val=""/>
      <w:lvlJc w:val="left"/>
      <w:pPr>
        <w:ind w:left="720" w:hanging="360"/>
      </w:pPr>
      <w:rPr>
        <w:rFonts w:ascii="Symbol" w:eastAsia="Times New Roman" w:hAnsi="Symbol"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0AA5811"/>
    <w:multiLevelType w:val="hybridMultilevel"/>
    <w:tmpl w:val="866C4348"/>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nsid w:val="23B6408D"/>
    <w:multiLevelType w:val="hybridMultilevel"/>
    <w:tmpl w:val="52667940"/>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25">
    <w:nsid w:val="27CC6454"/>
    <w:multiLevelType w:val="hybridMultilevel"/>
    <w:tmpl w:val="8BD62FB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6">
    <w:nsid w:val="292E7F33"/>
    <w:multiLevelType w:val="hybridMultilevel"/>
    <w:tmpl w:val="29224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DFE2912"/>
    <w:multiLevelType w:val="hybridMultilevel"/>
    <w:tmpl w:val="976A3096"/>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28">
    <w:nsid w:val="30863EEE"/>
    <w:multiLevelType w:val="hybridMultilevel"/>
    <w:tmpl w:val="D2D4945E"/>
    <w:lvl w:ilvl="0" w:tplc="8160BE96">
      <w:start w:val="1"/>
      <w:numFmt w:val="decimal"/>
      <w:pStyle w:val="Tabulkanzev"/>
      <w:suff w:val="space"/>
      <w:lvlText w:val="Tabulka č. %1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0"/>
        <w:szCs w:val="20"/>
        <w:u w:val="none"/>
        <w:vertAlign w:val="baseline"/>
        <w:em w:val="none"/>
      </w:rPr>
    </w:lvl>
    <w:lvl w:ilvl="1" w:tplc="04050019" w:tentative="1">
      <w:start w:val="1"/>
      <w:numFmt w:val="lowerLetter"/>
      <w:lvlText w:val="%2."/>
      <w:lvlJc w:val="left"/>
      <w:pPr>
        <w:ind w:left="2424" w:hanging="360"/>
      </w:pPr>
    </w:lvl>
    <w:lvl w:ilvl="2" w:tplc="0405001B" w:tentative="1">
      <w:start w:val="1"/>
      <w:numFmt w:val="lowerRoman"/>
      <w:lvlText w:val="%3."/>
      <w:lvlJc w:val="right"/>
      <w:pPr>
        <w:ind w:left="3144" w:hanging="180"/>
      </w:pPr>
    </w:lvl>
    <w:lvl w:ilvl="3" w:tplc="0405000F" w:tentative="1">
      <w:start w:val="1"/>
      <w:numFmt w:val="decimal"/>
      <w:lvlText w:val="%4."/>
      <w:lvlJc w:val="left"/>
      <w:pPr>
        <w:ind w:left="3864" w:hanging="360"/>
      </w:pPr>
    </w:lvl>
    <w:lvl w:ilvl="4" w:tplc="04050019" w:tentative="1">
      <w:start w:val="1"/>
      <w:numFmt w:val="lowerLetter"/>
      <w:lvlText w:val="%5."/>
      <w:lvlJc w:val="left"/>
      <w:pPr>
        <w:ind w:left="4584" w:hanging="360"/>
      </w:pPr>
    </w:lvl>
    <w:lvl w:ilvl="5" w:tplc="0405001B" w:tentative="1">
      <w:start w:val="1"/>
      <w:numFmt w:val="lowerRoman"/>
      <w:lvlText w:val="%6."/>
      <w:lvlJc w:val="right"/>
      <w:pPr>
        <w:ind w:left="5304" w:hanging="180"/>
      </w:pPr>
    </w:lvl>
    <w:lvl w:ilvl="6" w:tplc="0405000F" w:tentative="1">
      <w:start w:val="1"/>
      <w:numFmt w:val="decimal"/>
      <w:lvlText w:val="%7."/>
      <w:lvlJc w:val="left"/>
      <w:pPr>
        <w:ind w:left="6024" w:hanging="360"/>
      </w:pPr>
    </w:lvl>
    <w:lvl w:ilvl="7" w:tplc="04050019" w:tentative="1">
      <w:start w:val="1"/>
      <w:numFmt w:val="lowerLetter"/>
      <w:lvlText w:val="%8."/>
      <w:lvlJc w:val="left"/>
      <w:pPr>
        <w:ind w:left="6744" w:hanging="360"/>
      </w:pPr>
    </w:lvl>
    <w:lvl w:ilvl="8" w:tplc="0405001B" w:tentative="1">
      <w:start w:val="1"/>
      <w:numFmt w:val="lowerRoman"/>
      <w:lvlText w:val="%9."/>
      <w:lvlJc w:val="right"/>
      <w:pPr>
        <w:ind w:left="7464" w:hanging="180"/>
      </w:pPr>
    </w:lvl>
  </w:abstractNum>
  <w:abstractNum w:abstractNumId="29">
    <w:nsid w:val="312B7297"/>
    <w:multiLevelType w:val="hybridMultilevel"/>
    <w:tmpl w:val="C946FE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nsid w:val="3B515239"/>
    <w:multiLevelType w:val="hybridMultilevel"/>
    <w:tmpl w:val="18863BA6"/>
    <w:lvl w:ilvl="0" w:tplc="04050017">
      <w:start w:val="1"/>
      <w:numFmt w:val="bullet"/>
      <w:lvlText w:val=""/>
      <w:lvlJc w:val="left"/>
      <w:pPr>
        <w:tabs>
          <w:tab w:val="num" w:pos="720"/>
        </w:tabs>
        <w:ind w:left="720" w:hanging="360"/>
      </w:pPr>
      <w:rPr>
        <w:rFonts w:ascii="Wingdings" w:hAnsi="Wingdings" w:hint="default"/>
        <w:sz w:val="22"/>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start w:val="1"/>
      <w:numFmt w:val="bullet"/>
      <w:lvlText w:val="o"/>
      <w:lvlJc w:val="left"/>
      <w:pPr>
        <w:tabs>
          <w:tab w:val="num" w:pos="3600"/>
        </w:tabs>
        <w:ind w:left="3600" w:hanging="360"/>
      </w:pPr>
      <w:rPr>
        <w:rFonts w:ascii="Courier New" w:hAnsi="Courier New" w:hint="default"/>
      </w:rPr>
    </w:lvl>
    <w:lvl w:ilvl="5" w:tplc="0405001B">
      <w:start w:val="1"/>
      <w:numFmt w:val="bullet"/>
      <w:lvlText w:val=""/>
      <w:lvlJc w:val="left"/>
      <w:pPr>
        <w:tabs>
          <w:tab w:val="num" w:pos="4320"/>
        </w:tabs>
        <w:ind w:left="4320" w:hanging="360"/>
      </w:pPr>
      <w:rPr>
        <w:rFonts w:ascii="Wingdings" w:hAnsi="Wingdings" w:hint="default"/>
      </w:rPr>
    </w:lvl>
    <w:lvl w:ilvl="6" w:tplc="0405000F">
      <w:start w:val="1"/>
      <w:numFmt w:val="bullet"/>
      <w:lvlText w:val=""/>
      <w:lvlJc w:val="left"/>
      <w:pPr>
        <w:tabs>
          <w:tab w:val="num" w:pos="5040"/>
        </w:tabs>
        <w:ind w:left="5040" w:hanging="360"/>
      </w:pPr>
      <w:rPr>
        <w:rFonts w:ascii="Symbol" w:hAnsi="Symbol" w:hint="default"/>
      </w:rPr>
    </w:lvl>
    <w:lvl w:ilvl="7" w:tplc="04050019">
      <w:start w:val="1"/>
      <w:numFmt w:val="bullet"/>
      <w:lvlText w:val="o"/>
      <w:lvlJc w:val="left"/>
      <w:pPr>
        <w:tabs>
          <w:tab w:val="num" w:pos="5760"/>
        </w:tabs>
        <w:ind w:left="5760" w:hanging="360"/>
      </w:pPr>
      <w:rPr>
        <w:rFonts w:ascii="Courier New" w:hAnsi="Courier New" w:hint="default"/>
      </w:rPr>
    </w:lvl>
    <w:lvl w:ilvl="8" w:tplc="0405001B">
      <w:start w:val="1"/>
      <w:numFmt w:val="bullet"/>
      <w:lvlText w:val=""/>
      <w:lvlJc w:val="left"/>
      <w:pPr>
        <w:tabs>
          <w:tab w:val="num" w:pos="6480"/>
        </w:tabs>
        <w:ind w:left="6480" w:hanging="360"/>
      </w:pPr>
      <w:rPr>
        <w:rFonts w:ascii="Wingdings" w:hAnsi="Wingdings" w:hint="default"/>
      </w:rPr>
    </w:lvl>
  </w:abstractNum>
  <w:abstractNum w:abstractNumId="31">
    <w:nsid w:val="42EE5B71"/>
    <w:multiLevelType w:val="hybridMultilevel"/>
    <w:tmpl w:val="86A882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2">
    <w:nsid w:val="475675BE"/>
    <w:multiLevelType w:val="hybridMultilevel"/>
    <w:tmpl w:val="672A104A"/>
    <w:lvl w:ilvl="0" w:tplc="445CF69C">
      <w:start w:val="1"/>
      <w:numFmt w:val="bullet"/>
      <w:lvlText w:val=""/>
      <w:lvlJc w:val="left"/>
      <w:pPr>
        <w:tabs>
          <w:tab w:val="num" w:pos="567"/>
        </w:tabs>
        <w:ind w:left="567" w:hanging="283"/>
      </w:pPr>
      <w:rPr>
        <w:rFonts w:ascii="Symbol" w:hAnsi="Symbol" w:hint="default"/>
        <w:color w:val="auto"/>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3">
    <w:nsid w:val="482B6B77"/>
    <w:multiLevelType w:val="multilevel"/>
    <w:tmpl w:val="143A38F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4A1B4462"/>
    <w:multiLevelType w:val="hybridMultilevel"/>
    <w:tmpl w:val="63B0CFE8"/>
    <w:lvl w:ilvl="0" w:tplc="8E5A8BB0">
      <w:start w:val="1"/>
      <w:numFmt w:val="decimal"/>
      <w:lvlText w:val="Tabulka č. %1 -"/>
      <w:lvlJc w:val="left"/>
      <w:pPr>
        <w:ind w:left="0" w:firstLine="0"/>
      </w:pPr>
      <w:rPr>
        <w:rFonts w:ascii="Times New Roman" w:hAnsi="Times New Roman" w:cs="Times New Roman" w:hint="default"/>
        <w:b/>
        <w:bCs w:val="0"/>
        <w:i w:val="0"/>
        <w:iCs w:val="0"/>
        <w:caps w:val="0"/>
        <w:strike w:val="0"/>
        <w:dstrike w:val="0"/>
        <w:vanish w:val="0"/>
        <w:color w:val="auto"/>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ind w:left="-114" w:hanging="360"/>
      </w:pPr>
      <w:rPr>
        <w:rFonts w:cs="Times New Roman"/>
      </w:rPr>
    </w:lvl>
    <w:lvl w:ilvl="2" w:tplc="0405001B">
      <w:start w:val="1"/>
      <w:numFmt w:val="lowerRoman"/>
      <w:lvlText w:val="%3."/>
      <w:lvlJc w:val="right"/>
      <w:pPr>
        <w:ind w:left="606" w:hanging="180"/>
      </w:pPr>
      <w:rPr>
        <w:rFonts w:cs="Times New Roman"/>
      </w:rPr>
    </w:lvl>
    <w:lvl w:ilvl="3" w:tplc="0405000F">
      <w:start w:val="1"/>
      <w:numFmt w:val="decimal"/>
      <w:lvlText w:val="%4."/>
      <w:lvlJc w:val="left"/>
      <w:pPr>
        <w:ind w:left="1326" w:hanging="360"/>
      </w:pPr>
      <w:rPr>
        <w:rFonts w:cs="Times New Roman"/>
      </w:rPr>
    </w:lvl>
    <w:lvl w:ilvl="4" w:tplc="04050019">
      <w:start w:val="1"/>
      <w:numFmt w:val="lowerLetter"/>
      <w:lvlText w:val="%5."/>
      <w:lvlJc w:val="left"/>
      <w:pPr>
        <w:ind w:left="2046" w:hanging="360"/>
      </w:pPr>
      <w:rPr>
        <w:rFonts w:cs="Times New Roman"/>
      </w:rPr>
    </w:lvl>
    <w:lvl w:ilvl="5" w:tplc="0405001B">
      <w:start w:val="1"/>
      <w:numFmt w:val="lowerRoman"/>
      <w:lvlText w:val="%6."/>
      <w:lvlJc w:val="right"/>
      <w:pPr>
        <w:ind w:left="2766" w:hanging="180"/>
      </w:pPr>
      <w:rPr>
        <w:rFonts w:cs="Times New Roman"/>
      </w:rPr>
    </w:lvl>
    <w:lvl w:ilvl="6" w:tplc="0405000F">
      <w:start w:val="1"/>
      <w:numFmt w:val="decimal"/>
      <w:lvlText w:val="%7."/>
      <w:lvlJc w:val="left"/>
      <w:pPr>
        <w:ind w:left="3486" w:hanging="360"/>
      </w:pPr>
      <w:rPr>
        <w:rFonts w:cs="Times New Roman"/>
      </w:rPr>
    </w:lvl>
    <w:lvl w:ilvl="7" w:tplc="04050019">
      <w:start w:val="1"/>
      <w:numFmt w:val="lowerLetter"/>
      <w:lvlText w:val="%8."/>
      <w:lvlJc w:val="left"/>
      <w:pPr>
        <w:ind w:left="4206" w:hanging="360"/>
      </w:pPr>
      <w:rPr>
        <w:rFonts w:cs="Times New Roman"/>
      </w:rPr>
    </w:lvl>
    <w:lvl w:ilvl="8" w:tplc="0405001B">
      <w:start w:val="1"/>
      <w:numFmt w:val="lowerRoman"/>
      <w:lvlText w:val="%9."/>
      <w:lvlJc w:val="right"/>
      <w:pPr>
        <w:ind w:left="4926" w:hanging="180"/>
      </w:pPr>
      <w:rPr>
        <w:rFonts w:cs="Times New Roman"/>
      </w:rPr>
    </w:lvl>
  </w:abstractNum>
  <w:abstractNum w:abstractNumId="35">
    <w:nsid w:val="4B705431"/>
    <w:multiLevelType w:val="hybridMultilevel"/>
    <w:tmpl w:val="3C8C5262"/>
    <w:lvl w:ilvl="0" w:tplc="ED627B9E">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6">
    <w:nsid w:val="4C7E34B1"/>
    <w:multiLevelType w:val="hybridMultilevel"/>
    <w:tmpl w:val="3A926564"/>
    <w:lvl w:ilvl="0" w:tplc="04B26F5A">
      <w:start w:val="1"/>
      <w:numFmt w:val="bullet"/>
      <w:lvlText w:val=""/>
      <w:lvlJc w:val="left"/>
      <w:pPr>
        <w:tabs>
          <w:tab w:val="num" w:pos="720"/>
        </w:tabs>
        <w:ind w:left="720" w:hanging="38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25C6BE9"/>
    <w:multiLevelType w:val="hybridMultilevel"/>
    <w:tmpl w:val="D638BC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5EA43D3"/>
    <w:multiLevelType w:val="hybridMultilevel"/>
    <w:tmpl w:val="EB3A9944"/>
    <w:lvl w:ilvl="0" w:tplc="04050001">
      <w:start w:val="1"/>
      <w:numFmt w:val="bullet"/>
      <w:lvlText w:val=""/>
      <w:lvlJc w:val="left"/>
      <w:pPr>
        <w:tabs>
          <w:tab w:val="num" w:pos="720"/>
        </w:tabs>
        <w:ind w:left="720" w:hanging="360"/>
      </w:pPr>
      <w:rPr>
        <w:rFonts w:ascii="Symbol" w:hAnsi="Symbol" w:hint="default"/>
        <w:sz w:val="20"/>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9">
    <w:nsid w:val="56B17F79"/>
    <w:multiLevelType w:val="hybridMultilevel"/>
    <w:tmpl w:val="1F12646A"/>
    <w:lvl w:ilvl="0" w:tplc="04050001">
      <w:numFmt w:val="bullet"/>
      <w:lvlText w:val=""/>
      <w:lvlJc w:val="left"/>
      <w:pPr>
        <w:tabs>
          <w:tab w:val="num" w:pos="675"/>
        </w:tabs>
        <w:ind w:left="675" w:hanging="360"/>
      </w:pPr>
      <w:rPr>
        <w:rFonts w:ascii="Symbol" w:eastAsia="Times New Roman" w:hAnsi="Symbol" w:cs="Times New Roman" w:hint="default"/>
        <w:color w:val="auto"/>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0">
    <w:nsid w:val="56B95176"/>
    <w:multiLevelType w:val="hybridMultilevel"/>
    <w:tmpl w:val="CD34D1CE"/>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41">
    <w:nsid w:val="56D86893"/>
    <w:multiLevelType w:val="hybridMultilevel"/>
    <w:tmpl w:val="3ABC92E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2">
    <w:nsid w:val="573128C8"/>
    <w:multiLevelType w:val="hybridMultilevel"/>
    <w:tmpl w:val="22F21E0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3">
    <w:nsid w:val="5D3D327D"/>
    <w:multiLevelType w:val="hybridMultilevel"/>
    <w:tmpl w:val="5CEC53E8"/>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44">
    <w:nsid w:val="60E74CC1"/>
    <w:multiLevelType w:val="hybridMultilevel"/>
    <w:tmpl w:val="A7C81E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62511B22"/>
    <w:multiLevelType w:val="hybridMultilevel"/>
    <w:tmpl w:val="18C81AB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6">
    <w:nsid w:val="680A0ED0"/>
    <w:multiLevelType w:val="hybridMultilevel"/>
    <w:tmpl w:val="C59A45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6D8136E2"/>
    <w:multiLevelType w:val="hybridMultilevel"/>
    <w:tmpl w:val="C128AFFE"/>
    <w:lvl w:ilvl="0" w:tplc="892A8978">
      <w:start w:val="1"/>
      <w:numFmt w:val="decimal"/>
      <w:lvlText w:val="Tabulka č. %1 -"/>
      <w:lvlJc w:val="left"/>
      <w:pPr>
        <w:ind w:left="3552" w:hanging="360"/>
      </w:pPr>
      <w:rPr>
        <w:rFonts w:ascii="Times New Roman" w:hAnsi="Times New Roman" w:cs="Times New Roman" w:hint="default"/>
        <w:b/>
        <w:bCs w:val="0"/>
        <w:i w:val="0"/>
        <w:iCs w:val="0"/>
        <w:caps w:val="0"/>
        <w:strike w:val="0"/>
        <w:dstrike w:val="0"/>
        <w:vanish w:val="0"/>
        <w:color w:val="auto"/>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ind w:left="2647" w:hanging="360"/>
      </w:pPr>
      <w:rPr>
        <w:rFonts w:cs="Times New Roman"/>
      </w:rPr>
    </w:lvl>
    <w:lvl w:ilvl="2" w:tplc="0405001B">
      <w:start w:val="1"/>
      <w:numFmt w:val="lowerRoman"/>
      <w:lvlText w:val="%3."/>
      <w:lvlJc w:val="right"/>
      <w:pPr>
        <w:ind w:left="3367" w:hanging="180"/>
      </w:pPr>
      <w:rPr>
        <w:rFonts w:cs="Times New Roman"/>
      </w:rPr>
    </w:lvl>
    <w:lvl w:ilvl="3" w:tplc="0405000F">
      <w:start w:val="1"/>
      <w:numFmt w:val="decimal"/>
      <w:lvlText w:val="%4."/>
      <w:lvlJc w:val="left"/>
      <w:pPr>
        <w:ind w:left="4087" w:hanging="360"/>
      </w:pPr>
      <w:rPr>
        <w:rFonts w:cs="Times New Roman"/>
      </w:rPr>
    </w:lvl>
    <w:lvl w:ilvl="4" w:tplc="04050019">
      <w:start w:val="1"/>
      <w:numFmt w:val="lowerLetter"/>
      <w:lvlText w:val="%5."/>
      <w:lvlJc w:val="left"/>
      <w:pPr>
        <w:ind w:left="4807" w:hanging="360"/>
      </w:pPr>
      <w:rPr>
        <w:rFonts w:cs="Times New Roman"/>
      </w:rPr>
    </w:lvl>
    <w:lvl w:ilvl="5" w:tplc="0405001B">
      <w:start w:val="1"/>
      <w:numFmt w:val="lowerRoman"/>
      <w:lvlText w:val="%6."/>
      <w:lvlJc w:val="right"/>
      <w:pPr>
        <w:ind w:left="5527" w:hanging="180"/>
      </w:pPr>
      <w:rPr>
        <w:rFonts w:cs="Times New Roman"/>
      </w:rPr>
    </w:lvl>
    <w:lvl w:ilvl="6" w:tplc="0405000F">
      <w:start w:val="1"/>
      <w:numFmt w:val="decimal"/>
      <w:lvlText w:val="%7."/>
      <w:lvlJc w:val="left"/>
      <w:pPr>
        <w:ind w:left="6247" w:hanging="360"/>
      </w:pPr>
      <w:rPr>
        <w:rFonts w:cs="Times New Roman"/>
      </w:rPr>
    </w:lvl>
    <w:lvl w:ilvl="7" w:tplc="04050019">
      <w:start w:val="1"/>
      <w:numFmt w:val="lowerLetter"/>
      <w:lvlText w:val="%8."/>
      <w:lvlJc w:val="left"/>
      <w:pPr>
        <w:ind w:left="6967" w:hanging="360"/>
      </w:pPr>
      <w:rPr>
        <w:rFonts w:cs="Times New Roman"/>
      </w:rPr>
    </w:lvl>
    <w:lvl w:ilvl="8" w:tplc="0405001B">
      <w:start w:val="1"/>
      <w:numFmt w:val="lowerRoman"/>
      <w:lvlText w:val="%9."/>
      <w:lvlJc w:val="right"/>
      <w:pPr>
        <w:ind w:left="7687" w:hanging="180"/>
      </w:pPr>
      <w:rPr>
        <w:rFonts w:cs="Times New Roman"/>
      </w:rPr>
    </w:lvl>
  </w:abstractNum>
  <w:abstractNum w:abstractNumId="48">
    <w:nsid w:val="6FBD044F"/>
    <w:multiLevelType w:val="multilevel"/>
    <w:tmpl w:val="F8C6898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4227CC4"/>
    <w:multiLevelType w:val="hybridMultilevel"/>
    <w:tmpl w:val="4858E0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0">
    <w:nsid w:val="74B05927"/>
    <w:multiLevelType w:val="hybridMultilevel"/>
    <w:tmpl w:val="0A5238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765022D4"/>
    <w:multiLevelType w:val="hybridMultilevel"/>
    <w:tmpl w:val="D258F5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2">
    <w:nsid w:val="77455EA0"/>
    <w:multiLevelType w:val="hybridMultilevel"/>
    <w:tmpl w:val="CD34D1CE"/>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53">
    <w:nsid w:val="778A4C13"/>
    <w:multiLevelType w:val="hybridMultilevel"/>
    <w:tmpl w:val="0E16E6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79853CDF"/>
    <w:multiLevelType w:val="hybridMultilevel"/>
    <w:tmpl w:val="E28E0F2E"/>
    <w:lvl w:ilvl="0" w:tplc="04050001">
      <w:numFmt w:val="bullet"/>
      <w:lvlText w:val=""/>
      <w:lvlJc w:val="left"/>
      <w:pPr>
        <w:tabs>
          <w:tab w:val="num" w:pos="675"/>
        </w:tabs>
        <w:ind w:left="675" w:hanging="360"/>
      </w:pPr>
      <w:rPr>
        <w:rFonts w:ascii="Symbol" w:eastAsia="Times New Roman" w:hAnsi="Symbol" w:cs="Times New Roman" w:hint="default"/>
        <w:color w:val="auto"/>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5">
    <w:nsid w:val="79AB686D"/>
    <w:multiLevelType w:val="hybridMultilevel"/>
    <w:tmpl w:val="26BA21FE"/>
    <w:lvl w:ilvl="0" w:tplc="778CD93C">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7AC35DB7"/>
    <w:multiLevelType w:val="multilevel"/>
    <w:tmpl w:val="FBC8BD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nsid w:val="7BA112E7"/>
    <w:multiLevelType w:val="hybridMultilevel"/>
    <w:tmpl w:val="BE6498F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8">
    <w:nsid w:val="7C1462D9"/>
    <w:multiLevelType w:val="hybridMultilevel"/>
    <w:tmpl w:val="EBC2F7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7C147042"/>
    <w:multiLevelType w:val="hybridMultilevel"/>
    <w:tmpl w:val="B1C2F4AA"/>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1FEABF62">
      <w:start w:val="2"/>
      <w:numFmt w:val="bullet"/>
      <w:lvlText w:val="-"/>
      <w:lvlJc w:val="left"/>
      <w:pPr>
        <w:ind w:left="3240" w:hanging="360"/>
      </w:pPr>
      <w:rPr>
        <w:rFonts w:ascii="Times New Roman" w:eastAsia="Times New Roman" w:hAnsi="Times New Roman"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60">
    <w:nsid w:val="7C29064A"/>
    <w:multiLevelType w:val="hybridMultilevel"/>
    <w:tmpl w:val="CB2E55FA"/>
    <w:lvl w:ilvl="0" w:tplc="28F8F546">
      <w:start w:val="1"/>
      <w:numFmt w:val="lowerLetter"/>
      <w:lvlText w:val="%1)"/>
      <w:lvlJc w:val="left"/>
      <w:pPr>
        <w:ind w:left="1080" w:hanging="360"/>
      </w:pPr>
      <w:rPr>
        <w:rFonts w:cs="Times New Roman" w:hint="default"/>
      </w:rPr>
    </w:lvl>
    <w:lvl w:ilvl="1" w:tplc="5060C60A">
      <w:start w:val="1"/>
      <w:numFmt w:val="decimal"/>
      <w:lvlText w:val="%2.)"/>
      <w:lvlJc w:val="left"/>
      <w:pPr>
        <w:ind w:left="1800" w:hanging="360"/>
      </w:pPr>
      <w:rPr>
        <w:rFonts w:ascii="Times New Roman" w:eastAsia="Times New Roman" w:hAnsi="Times New Roman" w:cs="Times New Roman"/>
      </w:rPr>
    </w:lvl>
    <w:lvl w:ilvl="2" w:tplc="E3FA751E">
      <w:start w:val="1"/>
      <w:numFmt w:val="decimal"/>
      <w:lvlText w:val="%3)"/>
      <w:lvlJc w:val="left"/>
      <w:pPr>
        <w:ind w:left="2700" w:hanging="360"/>
      </w:pPr>
      <w:rPr>
        <w:rFonts w:ascii="Times New Roman" w:eastAsia="Times New Roman" w:hAnsi="Times New Roman" w:cs="Times New Roman"/>
      </w:rPr>
    </w:lvl>
    <w:lvl w:ilvl="3" w:tplc="0405000F">
      <w:start w:val="1"/>
      <w:numFmt w:val="decimal"/>
      <w:lvlText w:val="%4."/>
      <w:lvlJc w:val="left"/>
      <w:pPr>
        <w:ind w:left="3240" w:hanging="360"/>
      </w:pPr>
      <w:rPr>
        <w:rFonts w:cs="Times New Roman"/>
      </w:rPr>
    </w:lvl>
    <w:lvl w:ilvl="4" w:tplc="04050019">
      <w:start w:val="1"/>
      <w:numFmt w:val="lowerLetter"/>
      <w:lvlText w:val="%5."/>
      <w:lvlJc w:val="left"/>
      <w:pPr>
        <w:ind w:left="3960" w:hanging="360"/>
      </w:pPr>
      <w:rPr>
        <w:rFonts w:cs="Times New Roman"/>
      </w:rPr>
    </w:lvl>
    <w:lvl w:ilvl="5" w:tplc="0405001B">
      <w:start w:val="1"/>
      <w:numFmt w:val="lowerRoman"/>
      <w:lvlText w:val="%6."/>
      <w:lvlJc w:val="right"/>
      <w:pPr>
        <w:ind w:left="4680" w:hanging="180"/>
      </w:pPr>
      <w:rPr>
        <w:rFonts w:cs="Times New Roman"/>
      </w:rPr>
    </w:lvl>
    <w:lvl w:ilvl="6" w:tplc="0405000F">
      <w:start w:val="1"/>
      <w:numFmt w:val="decimal"/>
      <w:lvlText w:val="%7."/>
      <w:lvlJc w:val="left"/>
      <w:pPr>
        <w:ind w:left="5400" w:hanging="360"/>
      </w:pPr>
      <w:rPr>
        <w:rFonts w:cs="Times New Roman"/>
      </w:rPr>
    </w:lvl>
    <w:lvl w:ilvl="7" w:tplc="04050019">
      <w:start w:val="1"/>
      <w:numFmt w:val="lowerLetter"/>
      <w:lvlText w:val="%8."/>
      <w:lvlJc w:val="left"/>
      <w:pPr>
        <w:ind w:left="6120" w:hanging="360"/>
      </w:pPr>
      <w:rPr>
        <w:rFonts w:cs="Times New Roman"/>
      </w:rPr>
    </w:lvl>
    <w:lvl w:ilvl="8" w:tplc="0405001B">
      <w:start w:val="1"/>
      <w:numFmt w:val="lowerRoman"/>
      <w:lvlText w:val="%9."/>
      <w:lvlJc w:val="right"/>
      <w:pPr>
        <w:ind w:left="6840" w:hanging="180"/>
      </w:pPr>
      <w:rPr>
        <w:rFonts w:cs="Times New Roman"/>
      </w:rPr>
    </w:lvl>
  </w:abstractNum>
  <w:abstractNum w:abstractNumId="61">
    <w:nsid w:val="7E3D3A89"/>
    <w:multiLevelType w:val="hybridMultilevel"/>
    <w:tmpl w:val="CA1C5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1"/>
  </w:num>
  <w:num w:numId="2">
    <w:abstractNumId w:val="51"/>
  </w:num>
  <w:num w:numId="3">
    <w:abstractNumId w:val="31"/>
  </w:num>
  <w:num w:numId="4">
    <w:abstractNumId w:val="34"/>
  </w:num>
  <w:num w:numId="5">
    <w:abstractNumId w:val="32"/>
  </w:num>
  <w:num w:numId="6">
    <w:abstractNumId w:val="17"/>
  </w:num>
  <w:num w:numId="7">
    <w:abstractNumId w:val="35"/>
  </w:num>
  <w:num w:numId="8">
    <w:abstractNumId w:val="60"/>
  </w:num>
  <w:num w:numId="9">
    <w:abstractNumId w:val="45"/>
  </w:num>
  <w:num w:numId="10">
    <w:abstractNumId w:val="43"/>
  </w:num>
  <w:num w:numId="11">
    <w:abstractNumId w:val="3"/>
  </w:num>
  <w:num w:numId="12">
    <w:abstractNumId w:val="2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30"/>
  </w:num>
  <w:num w:numId="16">
    <w:abstractNumId w:val="36"/>
  </w:num>
  <w:num w:numId="17">
    <w:abstractNumId w:val="0"/>
  </w:num>
  <w:num w:numId="18">
    <w:abstractNumId w:val="39"/>
  </w:num>
  <w:num w:numId="19">
    <w:abstractNumId w:val="54"/>
  </w:num>
  <w:num w:numId="20">
    <w:abstractNumId w:val="22"/>
  </w:num>
  <w:num w:numId="21">
    <w:abstractNumId w:val="19"/>
  </w:num>
  <w:num w:numId="22">
    <w:abstractNumId w:val="21"/>
  </w:num>
  <w:num w:numId="23">
    <w:abstractNumId w:val="46"/>
  </w:num>
  <w:num w:numId="24">
    <w:abstractNumId w:val="50"/>
  </w:num>
  <w:num w:numId="25">
    <w:abstractNumId w:val="10"/>
  </w:num>
  <w:num w:numId="26">
    <w:abstractNumId w:val="59"/>
  </w:num>
  <w:num w:numId="27">
    <w:abstractNumId w:val="44"/>
  </w:num>
  <w:num w:numId="28">
    <w:abstractNumId w:val="57"/>
  </w:num>
  <w:num w:numId="29">
    <w:abstractNumId w:val="12"/>
  </w:num>
  <w:num w:numId="30">
    <w:abstractNumId w:val="16"/>
  </w:num>
  <w:num w:numId="31">
    <w:abstractNumId w:val="56"/>
  </w:num>
  <w:num w:numId="32">
    <w:abstractNumId w:val="58"/>
  </w:num>
  <w:num w:numId="33">
    <w:abstractNumId w:val="5"/>
  </w:num>
  <w:num w:numId="34">
    <w:abstractNumId w:val="11"/>
  </w:num>
  <w:num w:numId="35">
    <w:abstractNumId w:val="26"/>
  </w:num>
  <w:num w:numId="36">
    <w:abstractNumId w:val="18"/>
  </w:num>
  <w:num w:numId="37">
    <w:abstractNumId w:val="37"/>
  </w:num>
  <w:num w:numId="38">
    <w:abstractNumId w:val="8"/>
  </w:num>
  <w:num w:numId="39">
    <w:abstractNumId w:val="15"/>
  </w:num>
  <w:num w:numId="40">
    <w:abstractNumId w:val="29"/>
  </w:num>
  <w:num w:numId="41">
    <w:abstractNumId w:val="13"/>
  </w:num>
  <w:num w:numId="42">
    <w:abstractNumId w:val="27"/>
  </w:num>
  <w:num w:numId="43">
    <w:abstractNumId w:val="24"/>
  </w:num>
  <w:num w:numId="44">
    <w:abstractNumId w:val="7"/>
  </w:num>
  <w:num w:numId="45">
    <w:abstractNumId w:val="2"/>
  </w:num>
  <w:num w:numId="46">
    <w:abstractNumId w:val="47"/>
  </w:num>
  <w:num w:numId="47">
    <w:abstractNumId w:val="10"/>
    <w:lvlOverride w:ilvl="0">
      <w:lvl w:ilvl="0" w:tplc="69427B5E">
        <w:start w:val="1"/>
        <w:numFmt w:val="decimal"/>
        <w:pStyle w:val="Graf"/>
        <w:suff w:val="space"/>
        <w:lvlText w:val="Graf č. %1 - "/>
        <w:lvlJc w:val="left"/>
        <w:pPr>
          <w:ind w:left="0" w:firstLine="0"/>
        </w:pPr>
        <w:rPr>
          <w:rFonts w:ascii="Times New Roman" w:hAnsi="Times New Roman" w:cs="Times New Roman" w:hint="default"/>
          <w:b/>
          <w:i w:val="0"/>
          <w:sz w:val="20"/>
        </w:rPr>
      </w:lvl>
    </w:lvlOverride>
    <w:lvlOverride w:ilvl="1">
      <w:lvl w:ilvl="1" w:tplc="04050019" w:tentative="1">
        <w:start w:val="1"/>
        <w:numFmt w:val="lowerLetter"/>
        <w:lvlText w:val="%2."/>
        <w:lvlJc w:val="left"/>
        <w:pPr>
          <w:ind w:left="1440" w:hanging="360"/>
        </w:pPr>
      </w:lvl>
    </w:lvlOverride>
    <w:lvlOverride w:ilvl="2">
      <w:lvl w:ilvl="2" w:tplc="0405001B" w:tentative="1">
        <w:start w:val="1"/>
        <w:numFmt w:val="lowerRoman"/>
        <w:lvlText w:val="%3."/>
        <w:lvlJc w:val="right"/>
        <w:pPr>
          <w:ind w:left="2160" w:hanging="180"/>
        </w:pPr>
      </w:lvl>
    </w:lvlOverride>
    <w:lvlOverride w:ilvl="3">
      <w:lvl w:ilvl="3" w:tplc="0405000F" w:tentative="1">
        <w:start w:val="1"/>
        <w:numFmt w:val="decimal"/>
        <w:lvlText w:val="%4."/>
        <w:lvlJc w:val="left"/>
        <w:pPr>
          <w:ind w:left="2880" w:hanging="360"/>
        </w:pPr>
      </w:lvl>
    </w:lvlOverride>
    <w:lvlOverride w:ilvl="4">
      <w:lvl w:ilvl="4" w:tplc="04050019" w:tentative="1">
        <w:start w:val="1"/>
        <w:numFmt w:val="lowerLetter"/>
        <w:lvlText w:val="%5."/>
        <w:lvlJc w:val="left"/>
        <w:pPr>
          <w:ind w:left="3600" w:hanging="360"/>
        </w:pPr>
      </w:lvl>
    </w:lvlOverride>
    <w:lvlOverride w:ilvl="5">
      <w:lvl w:ilvl="5" w:tplc="0405001B" w:tentative="1">
        <w:start w:val="1"/>
        <w:numFmt w:val="lowerRoman"/>
        <w:lvlText w:val="%6."/>
        <w:lvlJc w:val="right"/>
        <w:pPr>
          <w:ind w:left="4320" w:hanging="180"/>
        </w:pPr>
      </w:lvl>
    </w:lvlOverride>
    <w:lvlOverride w:ilvl="6">
      <w:lvl w:ilvl="6" w:tplc="0405000F" w:tentative="1">
        <w:start w:val="1"/>
        <w:numFmt w:val="decimal"/>
        <w:lvlText w:val="%7."/>
        <w:lvlJc w:val="left"/>
        <w:pPr>
          <w:ind w:left="5040" w:hanging="360"/>
        </w:pPr>
      </w:lvl>
    </w:lvlOverride>
    <w:lvlOverride w:ilvl="7">
      <w:lvl w:ilvl="7" w:tplc="04050019" w:tentative="1">
        <w:start w:val="1"/>
        <w:numFmt w:val="lowerLetter"/>
        <w:lvlText w:val="%8."/>
        <w:lvlJc w:val="left"/>
        <w:pPr>
          <w:ind w:left="5760" w:hanging="360"/>
        </w:pPr>
      </w:lvl>
    </w:lvlOverride>
    <w:lvlOverride w:ilvl="8">
      <w:lvl w:ilvl="8" w:tplc="0405001B" w:tentative="1">
        <w:start w:val="1"/>
        <w:numFmt w:val="lowerRoman"/>
        <w:lvlText w:val="%9."/>
        <w:lvlJc w:val="right"/>
        <w:pPr>
          <w:ind w:left="6480" w:hanging="180"/>
        </w:pPr>
      </w:lvl>
    </w:lvlOverride>
  </w:num>
  <w:num w:numId="48">
    <w:abstractNumId w:val="10"/>
    <w:lvlOverride w:ilvl="0">
      <w:lvl w:ilvl="0" w:tplc="69427B5E">
        <w:start w:val="1"/>
        <w:numFmt w:val="decimal"/>
        <w:pStyle w:val="Graf"/>
        <w:suff w:val="space"/>
        <w:lvlText w:val="Graf č. %1 - "/>
        <w:lvlJc w:val="left"/>
        <w:pPr>
          <w:ind w:left="0" w:firstLine="0"/>
        </w:pPr>
        <w:rPr>
          <w:rFonts w:ascii="Times New Roman" w:hAnsi="Times New Roman" w:cs="Times New Roman" w:hint="default"/>
          <w:b/>
          <w:i w:val="0"/>
          <w:sz w:val="20"/>
        </w:rPr>
      </w:lvl>
    </w:lvlOverride>
    <w:lvlOverride w:ilvl="1">
      <w:lvl w:ilvl="1" w:tplc="04050019" w:tentative="1">
        <w:start w:val="1"/>
        <w:numFmt w:val="lowerLetter"/>
        <w:lvlText w:val="%2."/>
        <w:lvlJc w:val="left"/>
        <w:pPr>
          <w:ind w:left="1440" w:hanging="360"/>
        </w:pPr>
      </w:lvl>
    </w:lvlOverride>
    <w:lvlOverride w:ilvl="2">
      <w:lvl w:ilvl="2" w:tplc="0405001B" w:tentative="1">
        <w:start w:val="1"/>
        <w:numFmt w:val="lowerRoman"/>
        <w:lvlText w:val="%3."/>
        <w:lvlJc w:val="right"/>
        <w:pPr>
          <w:ind w:left="2160" w:hanging="180"/>
        </w:pPr>
      </w:lvl>
    </w:lvlOverride>
    <w:lvlOverride w:ilvl="3">
      <w:lvl w:ilvl="3" w:tplc="0405000F" w:tentative="1">
        <w:start w:val="1"/>
        <w:numFmt w:val="decimal"/>
        <w:lvlText w:val="%4."/>
        <w:lvlJc w:val="left"/>
        <w:pPr>
          <w:ind w:left="2880" w:hanging="360"/>
        </w:pPr>
      </w:lvl>
    </w:lvlOverride>
    <w:lvlOverride w:ilvl="4">
      <w:lvl w:ilvl="4" w:tplc="04050019" w:tentative="1">
        <w:start w:val="1"/>
        <w:numFmt w:val="lowerLetter"/>
        <w:lvlText w:val="%5."/>
        <w:lvlJc w:val="left"/>
        <w:pPr>
          <w:ind w:left="3600" w:hanging="360"/>
        </w:pPr>
      </w:lvl>
    </w:lvlOverride>
    <w:lvlOverride w:ilvl="5">
      <w:lvl w:ilvl="5" w:tplc="0405001B" w:tentative="1">
        <w:start w:val="1"/>
        <w:numFmt w:val="lowerRoman"/>
        <w:lvlText w:val="%6."/>
        <w:lvlJc w:val="right"/>
        <w:pPr>
          <w:ind w:left="4320" w:hanging="180"/>
        </w:pPr>
      </w:lvl>
    </w:lvlOverride>
    <w:lvlOverride w:ilvl="6">
      <w:lvl w:ilvl="6" w:tplc="0405000F" w:tentative="1">
        <w:start w:val="1"/>
        <w:numFmt w:val="decimal"/>
        <w:lvlText w:val="%7."/>
        <w:lvlJc w:val="left"/>
        <w:pPr>
          <w:ind w:left="5040" w:hanging="360"/>
        </w:pPr>
      </w:lvl>
    </w:lvlOverride>
    <w:lvlOverride w:ilvl="7">
      <w:lvl w:ilvl="7" w:tplc="04050019" w:tentative="1">
        <w:start w:val="1"/>
        <w:numFmt w:val="lowerLetter"/>
        <w:lvlText w:val="%8."/>
        <w:lvlJc w:val="left"/>
        <w:pPr>
          <w:ind w:left="5760" w:hanging="360"/>
        </w:pPr>
      </w:lvl>
    </w:lvlOverride>
    <w:lvlOverride w:ilvl="8">
      <w:lvl w:ilvl="8" w:tplc="0405001B" w:tentative="1">
        <w:start w:val="1"/>
        <w:numFmt w:val="lowerRoman"/>
        <w:lvlText w:val="%9."/>
        <w:lvlJc w:val="right"/>
        <w:pPr>
          <w:ind w:left="6480" w:hanging="180"/>
        </w:pPr>
      </w:lvl>
    </w:lvlOverride>
  </w:num>
  <w:num w:numId="49">
    <w:abstractNumId w:val="38"/>
  </w:num>
  <w:num w:numId="50">
    <w:abstractNumId w:val="28"/>
  </w:num>
  <w:num w:numId="51">
    <w:abstractNumId w:val="61"/>
  </w:num>
  <w:num w:numId="52">
    <w:abstractNumId w:val="4"/>
  </w:num>
  <w:num w:numId="53">
    <w:abstractNumId w:val="9"/>
  </w:num>
  <w:num w:numId="54">
    <w:abstractNumId w:val="48"/>
  </w:num>
  <w:num w:numId="55">
    <w:abstractNumId w:val="28"/>
  </w:num>
  <w:num w:numId="56">
    <w:abstractNumId w:val="28"/>
  </w:num>
  <w:num w:numId="57">
    <w:abstractNumId w:val="28"/>
  </w:num>
  <w:num w:numId="58">
    <w:abstractNumId w:val="28"/>
  </w:num>
  <w:num w:numId="59">
    <w:abstractNumId w:val="28"/>
  </w:num>
  <w:num w:numId="60">
    <w:abstractNumId w:val="28"/>
  </w:num>
  <w:num w:numId="61">
    <w:abstractNumId w:val="28"/>
  </w:num>
  <w:num w:numId="62">
    <w:abstractNumId w:val="15"/>
  </w:num>
  <w:num w:numId="63">
    <w:abstractNumId w:val="14"/>
  </w:num>
  <w:num w:numId="64">
    <w:abstractNumId w:val="1"/>
  </w:num>
  <w:num w:numId="65">
    <w:abstractNumId w:val="6"/>
  </w:num>
  <w:num w:numId="66">
    <w:abstractNumId w:val="55"/>
  </w:num>
  <w:num w:numId="67">
    <w:abstractNumId w:val="52"/>
  </w:num>
  <w:num w:numId="68">
    <w:abstractNumId w:val="28"/>
  </w:num>
  <w:num w:numId="69">
    <w:abstractNumId w:val="40"/>
  </w:num>
  <w:num w:numId="70">
    <w:abstractNumId w:val="53"/>
  </w:num>
  <w:num w:numId="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num>
  <w:num w:numId="7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trackRevisions/>
  <w:documentProtection w:edit="readOnly" w:formatting="1" w:enforcement="0"/>
  <w:defaultTabStop w:val="624"/>
  <w:hyphenationZone w:val="425"/>
  <w:doNotHyphenateCaps/>
  <w:displayHorizontalDrawingGridEvery w:val="0"/>
  <w:displayVerticalDrawingGridEvery w:val="0"/>
  <w:doNotUseMarginsForDrawingGridOrigin/>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640"/>
    <w:rsid w:val="00000324"/>
    <w:rsid w:val="000019ED"/>
    <w:rsid w:val="00002315"/>
    <w:rsid w:val="000028B0"/>
    <w:rsid w:val="0000516F"/>
    <w:rsid w:val="00005EB1"/>
    <w:rsid w:val="000061B0"/>
    <w:rsid w:val="00006A11"/>
    <w:rsid w:val="00006F77"/>
    <w:rsid w:val="00007C94"/>
    <w:rsid w:val="00007E45"/>
    <w:rsid w:val="00010350"/>
    <w:rsid w:val="0001059D"/>
    <w:rsid w:val="00010906"/>
    <w:rsid w:val="000126E4"/>
    <w:rsid w:val="00012713"/>
    <w:rsid w:val="00012BC6"/>
    <w:rsid w:val="0001374B"/>
    <w:rsid w:val="000138C0"/>
    <w:rsid w:val="000142AB"/>
    <w:rsid w:val="00014A7C"/>
    <w:rsid w:val="00014F6F"/>
    <w:rsid w:val="00015167"/>
    <w:rsid w:val="00015234"/>
    <w:rsid w:val="000154D3"/>
    <w:rsid w:val="0001586A"/>
    <w:rsid w:val="00017798"/>
    <w:rsid w:val="00020613"/>
    <w:rsid w:val="00020B2F"/>
    <w:rsid w:val="00021039"/>
    <w:rsid w:val="00022113"/>
    <w:rsid w:val="00022DC6"/>
    <w:rsid w:val="000236E4"/>
    <w:rsid w:val="00023926"/>
    <w:rsid w:val="00023981"/>
    <w:rsid w:val="00024C47"/>
    <w:rsid w:val="00024E29"/>
    <w:rsid w:val="00024EF1"/>
    <w:rsid w:val="00025519"/>
    <w:rsid w:val="0002551A"/>
    <w:rsid w:val="00025761"/>
    <w:rsid w:val="00025785"/>
    <w:rsid w:val="0002590A"/>
    <w:rsid w:val="00025E65"/>
    <w:rsid w:val="00026EDC"/>
    <w:rsid w:val="00027014"/>
    <w:rsid w:val="0002780C"/>
    <w:rsid w:val="00030224"/>
    <w:rsid w:val="000320D6"/>
    <w:rsid w:val="0003260A"/>
    <w:rsid w:val="00032ADF"/>
    <w:rsid w:val="00033800"/>
    <w:rsid w:val="00034EE7"/>
    <w:rsid w:val="0003515C"/>
    <w:rsid w:val="00035173"/>
    <w:rsid w:val="00036F44"/>
    <w:rsid w:val="0003751A"/>
    <w:rsid w:val="00037C96"/>
    <w:rsid w:val="00037FCD"/>
    <w:rsid w:val="000401D3"/>
    <w:rsid w:val="0004025B"/>
    <w:rsid w:val="000403F4"/>
    <w:rsid w:val="000412D3"/>
    <w:rsid w:val="000412F1"/>
    <w:rsid w:val="0004171E"/>
    <w:rsid w:val="00041DD7"/>
    <w:rsid w:val="00042946"/>
    <w:rsid w:val="000432F6"/>
    <w:rsid w:val="000435AC"/>
    <w:rsid w:val="0004422A"/>
    <w:rsid w:val="00044D16"/>
    <w:rsid w:val="00044E54"/>
    <w:rsid w:val="000453BE"/>
    <w:rsid w:val="000459BA"/>
    <w:rsid w:val="0004798A"/>
    <w:rsid w:val="0004799F"/>
    <w:rsid w:val="00047F5E"/>
    <w:rsid w:val="00050B41"/>
    <w:rsid w:val="00050D39"/>
    <w:rsid w:val="00051EE7"/>
    <w:rsid w:val="0005205F"/>
    <w:rsid w:val="000524F5"/>
    <w:rsid w:val="00052B9D"/>
    <w:rsid w:val="00052EB5"/>
    <w:rsid w:val="00053695"/>
    <w:rsid w:val="0005371D"/>
    <w:rsid w:val="000537C3"/>
    <w:rsid w:val="00054807"/>
    <w:rsid w:val="00054C85"/>
    <w:rsid w:val="00054C98"/>
    <w:rsid w:val="00054D83"/>
    <w:rsid w:val="00054E6B"/>
    <w:rsid w:val="00056D8F"/>
    <w:rsid w:val="00060699"/>
    <w:rsid w:val="000612B7"/>
    <w:rsid w:val="000614FF"/>
    <w:rsid w:val="00061EB3"/>
    <w:rsid w:val="0006232A"/>
    <w:rsid w:val="00062416"/>
    <w:rsid w:val="00062C5B"/>
    <w:rsid w:val="00062C9F"/>
    <w:rsid w:val="00062DE2"/>
    <w:rsid w:val="00062FA0"/>
    <w:rsid w:val="000631B7"/>
    <w:rsid w:val="0006323D"/>
    <w:rsid w:val="00063770"/>
    <w:rsid w:val="000639E5"/>
    <w:rsid w:val="0006413F"/>
    <w:rsid w:val="00064A6E"/>
    <w:rsid w:val="00064C0F"/>
    <w:rsid w:val="00065ABC"/>
    <w:rsid w:val="00065FA1"/>
    <w:rsid w:val="0006694E"/>
    <w:rsid w:val="00066BC0"/>
    <w:rsid w:val="00067B45"/>
    <w:rsid w:val="00067CEB"/>
    <w:rsid w:val="0007003B"/>
    <w:rsid w:val="0007093A"/>
    <w:rsid w:val="00071265"/>
    <w:rsid w:val="000713DF"/>
    <w:rsid w:val="00071B19"/>
    <w:rsid w:val="00071D02"/>
    <w:rsid w:val="00071E53"/>
    <w:rsid w:val="00072AF5"/>
    <w:rsid w:val="00072D95"/>
    <w:rsid w:val="00073B25"/>
    <w:rsid w:val="00073B71"/>
    <w:rsid w:val="00073C70"/>
    <w:rsid w:val="000746AC"/>
    <w:rsid w:val="00074DCF"/>
    <w:rsid w:val="000767D5"/>
    <w:rsid w:val="000768F7"/>
    <w:rsid w:val="00076E6B"/>
    <w:rsid w:val="00076E76"/>
    <w:rsid w:val="0007721E"/>
    <w:rsid w:val="00077810"/>
    <w:rsid w:val="0008045E"/>
    <w:rsid w:val="00080691"/>
    <w:rsid w:val="000806A1"/>
    <w:rsid w:val="00080D7C"/>
    <w:rsid w:val="000819E2"/>
    <w:rsid w:val="00081BCF"/>
    <w:rsid w:val="0008252D"/>
    <w:rsid w:val="000828B0"/>
    <w:rsid w:val="0008318A"/>
    <w:rsid w:val="00083273"/>
    <w:rsid w:val="00083C03"/>
    <w:rsid w:val="00083D34"/>
    <w:rsid w:val="00083FD0"/>
    <w:rsid w:val="00086585"/>
    <w:rsid w:val="00086C11"/>
    <w:rsid w:val="00086DCE"/>
    <w:rsid w:val="00086E8A"/>
    <w:rsid w:val="0008795B"/>
    <w:rsid w:val="00087A4D"/>
    <w:rsid w:val="00090A5C"/>
    <w:rsid w:val="00090BEB"/>
    <w:rsid w:val="00090DDC"/>
    <w:rsid w:val="00090F94"/>
    <w:rsid w:val="000918E6"/>
    <w:rsid w:val="00091DC0"/>
    <w:rsid w:val="00092AF9"/>
    <w:rsid w:val="00093231"/>
    <w:rsid w:val="00093325"/>
    <w:rsid w:val="00094678"/>
    <w:rsid w:val="00095AA9"/>
    <w:rsid w:val="00095BFA"/>
    <w:rsid w:val="00095F32"/>
    <w:rsid w:val="00096A45"/>
    <w:rsid w:val="000977C6"/>
    <w:rsid w:val="000979AA"/>
    <w:rsid w:val="00097B45"/>
    <w:rsid w:val="000A02BB"/>
    <w:rsid w:val="000A0A25"/>
    <w:rsid w:val="000A0C86"/>
    <w:rsid w:val="000A0ECB"/>
    <w:rsid w:val="000A108E"/>
    <w:rsid w:val="000A1F93"/>
    <w:rsid w:val="000A2BB6"/>
    <w:rsid w:val="000A3985"/>
    <w:rsid w:val="000A4580"/>
    <w:rsid w:val="000A4877"/>
    <w:rsid w:val="000A52D2"/>
    <w:rsid w:val="000A6B55"/>
    <w:rsid w:val="000A7F36"/>
    <w:rsid w:val="000B0901"/>
    <w:rsid w:val="000B10AC"/>
    <w:rsid w:val="000B1239"/>
    <w:rsid w:val="000B2088"/>
    <w:rsid w:val="000B2AD8"/>
    <w:rsid w:val="000B2CE5"/>
    <w:rsid w:val="000B3C47"/>
    <w:rsid w:val="000B408B"/>
    <w:rsid w:val="000B4129"/>
    <w:rsid w:val="000B4531"/>
    <w:rsid w:val="000B4AE7"/>
    <w:rsid w:val="000B4CD2"/>
    <w:rsid w:val="000B4DBD"/>
    <w:rsid w:val="000B568E"/>
    <w:rsid w:val="000B60A2"/>
    <w:rsid w:val="000B717E"/>
    <w:rsid w:val="000B753D"/>
    <w:rsid w:val="000C05F7"/>
    <w:rsid w:val="000C0D30"/>
    <w:rsid w:val="000C1F07"/>
    <w:rsid w:val="000C209B"/>
    <w:rsid w:val="000C2328"/>
    <w:rsid w:val="000C263B"/>
    <w:rsid w:val="000C2A0F"/>
    <w:rsid w:val="000C360B"/>
    <w:rsid w:val="000C46E8"/>
    <w:rsid w:val="000C4FDF"/>
    <w:rsid w:val="000C5269"/>
    <w:rsid w:val="000C52DB"/>
    <w:rsid w:val="000C5881"/>
    <w:rsid w:val="000C5D7A"/>
    <w:rsid w:val="000C6057"/>
    <w:rsid w:val="000C61E1"/>
    <w:rsid w:val="000C6B40"/>
    <w:rsid w:val="000D0A68"/>
    <w:rsid w:val="000D1BEA"/>
    <w:rsid w:val="000D22FB"/>
    <w:rsid w:val="000D2834"/>
    <w:rsid w:val="000D2E30"/>
    <w:rsid w:val="000D3767"/>
    <w:rsid w:val="000D3A83"/>
    <w:rsid w:val="000D47A8"/>
    <w:rsid w:val="000D4AFF"/>
    <w:rsid w:val="000D4CE7"/>
    <w:rsid w:val="000D5C7F"/>
    <w:rsid w:val="000D6845"/>
    <w:rsid w:val="000D68EE"/>
    <w:rsid w:val="000D6FEB"/>
    <w:rsid w:val="000D714B"/>
    <w:rsid w:val="000E0B72"/>
    <w:rsid w:val="000E0C6F"/>
    <w:rsid w:val="000E11F6"/>
    <w:rsid w:val="000E2E18"/>
    <w:rsid w:val="000E3E9B"/>
    <w:rsid w:val="000E450A"/>
    <w:rsid w:val="000E4DF6"/>
    <w:rsid w:val="000E5B09"/>
    <w:rsid w:val="000E671D"/>
    <w:rsid w:val="000E728E"/>
    <w:rsid w:val="000E7ABE"/>
    <w:rsid w:val="000E7FA7"/>
    <w:rsid w:val="000F0CC5"/>
    <w:rsid w:val="000F1130"/>
    <w:rsid w:val="000F1724"/>
    <w:rsid w:val="000F19EF"/>
    <w:rsid w:val="000F1B3A"/>
    <w:rsid w:val="000F2749"/>
    <w:rsid w:val="000F2A6C"/>
    <w:rsid w:val="000F3360"/>
    <w:rsid w:val="000F34B0"/>
    <w:rsid w:val="000F3A2A"/>
    <w:rsid w:val="000F41D0"/>
    <w:rsid w:val="000F4DBC"/>
    <w:rsid w:val="000F5B64"/>
    <w:rsid w:val="000F5D5C"/>
    <w:rsid w:val="001004FB"/>
    <w:rsid w:val="00100B7B"/>
    <w:rsid w:val="00100B95"/>
    <w:rsid w:val="0010129A"/>
    <w:rsid w:val="001019BF"/>
    <w:rsid w:val="00101F97"/>
    <w:rsid w:val="0010303F"/>
    <w:rsid w:val="00104873"/>
    <w:rsid w:val="00104D50"/>
    <w:rsid w:val="00104FA0"/>
    <w:rsid w:val="001059C9"/>
    <w:rsid w:val="00105ADD"/>
    <w:rsid w:val="00105D06"/>
    <w:rsid w:val="00106026"/>
    <w:rsid w:val="00106702"/>
    <w:rsid w:val="00106803"/>
    <w:rsid w:val="001078D0"/>
    <w:rsid w:val="00110BE7"/>
    <w:rsid w:val="001119B4"/>
    <w:rsid w:val="001125F9"/>
    <w:rsid w:val="001126DC"/>
    <w:rsid w:val="0011522B"/>
    <w:rsid w:val="00116972"/>
    <w:rsid w:val="00117081"/>
    <w:rsid w:val="001171F8"/>
    <w:rsid w:val="001177D4"/>
    <w:rsid w:val="00117BC6"/>
    <w:rsid w:val="001200C3"/>
    <w:rsid w:val="0012016B"/>
    <w:rsid w:val="001209BC"/>
    <w:rsid w:val="00121057"/>
    <w:rsid w:val="001219BB"/>
    <w:rsid w:val="0012229D"/>
    <w:rsid w:val="00122BB3"/>
    <w:rsid w:val="001239DB"/>
    <w:rsid w:val="00124B28"/>
    <w:rsid w:val="001262D9"/>
    <w:rsid w:val="00126851"/>
    <w:rsid w:val="00126B40"/>
    <w:rsid w:val="00127389"/>
    <w:rsid w:val="00130536"/>
    <w:rsid w:val="0013080C"/>
    <w:rsid w:val="00131423"/>
    <w:rsid w:val="0013183D"/>
    <w:rsid w:val="00131EF9"/>
    <w:rsid w:val="0013360F"/>
    <w:rsid w:val="001336ED"/>
    <w:rsid w:val="001339CB"/>
    <w:rsid w:val="001339E4"/>
    <w:rsid w:val="00133A3B"/>
    <w:rsid w:val="00133A98"/>
    <w:rsid w:val="00133BE6"/>
    <w:rsid w:val="00134091"/>
    <w:rsid w:val="00134F40"/>
    <w:rsid w:val="001352F9"/>
    <w:rsid w:val="00135DEF"/>
    <w:rsid w:val="0013634F"/>
    <w:rsid w:val="001363E5"/>
    <w:rsid w:val="001364F3"/>
    <w:rsid w:val="00136AF8"/>
    <w:rsid w:val="00136BBA"/>
    <w:rsid w:val="00137141"/>
    <w:rsid w:val="00137748"/>
    <w:rsid w:val="0014039C"/>
    <w:rsid w:val="0014073B"/>
    <w:rsid w:val="0014077F"/>
    <w:rsid w:val="001408B2"/>
    <w:rsid w:val="00140ADC"/>
    <w:rsid w:val="00140E6E"/>
    <w:rsid w:val="001415D0"/>
    <w:rsid w:val="00141950"/>
    <w:rsid w:val="00142B67"/>
    <w:rsid w:val="001438CB"/>
    <w:rsid w:val="00143CD9"/>
    <w:rsid w:val="00144750"/>
    <w:rsid w:val="00144A88"/>
    <w:rsid w:val="00144FDE"/>
    <w:rsid w:val="00145FD8"/>
    <w:rsid w:val="00146149"/>
    <w:rsid w:val="00146D70"/>
    <w:rsid w:val="0014708F"/>
    <w:rsid w:val="00147730"/>
    <w:rsid w:val="0015228C"/>
    <w:rsid w:val="00152C53"/>
    <w:rsid w:val="001534ED"/>
    <w:rsid w:val="00153B97"/>
    <w:rsid w:val="00153E2E"/>
    <w:rsid w:val="00155136"/>
    <w:rsid w:val="0015557D"/>
    <w:rsid w:val="0015573D"/>
    <w:rsid w:val="00156AA7"/>
    <w:rsid w:val="001570F6"/>
    <w:rsid w:val="001574BB"/>
    <w:rsid w:val="00157DEF"/>
    <w:rsid w:val="001602F2"/>
    <w:rsid w:val="00160C6B"/>
    <w:rsid w:val="00160D10"/>
    <w:rsid w:val="0016105D"/>
    <w:rsid w:val="001614D7"/>
    <w:rsid w:val="00161EC2"/>
    <w:rsid w:val="0016230B"/>
    <w:rsid w:val="00162492"/>
    <w:rsid w:val="001624C6"/>
    <w:rsid w:val="001628A2"/>
    <w:rsid w:val="00162A6C"/>
    <w:rsid w:val="00163840"/>
    <w:rsid w:val="00164904"/>
    <w:rsid w:val="00164A11"/>
    <w:rsid w:val="00164A7B"/>
    <w:rsid w:val="0016594B"/>
    <w:rsid w:val="00166B6D"/>
    <w:rsid w:val="001670C7"/>
    <w:rsid w:val="00167A84"/>
    <w:rsid w:val="00167F16"/>
    <w:rsid w:val="001701A3"/>
    <w:rsid w:val="00170359"/>
    <w:rsid w:val="00170450"/>
    <w:rsid w:val="00170565"/>
    <w:rsid w:val="001709C2"/>
    <w:rsid w:val="00170C1F"/>
    <w:rsid w:val="00170C90"/>
    <w:rsid w:val="001713A1"/>
    <w:rsid w:val="00171F08"/>
    <w:rsid w:val="0017299C"/>
    <w:rsid w:val="00172AE2"/>
    <w:rsid w:val="00172CE0"/>
    <w:rsid w:val="00172D48"/>
    <w:rsid w:val="00173601"/>
    <w:rsid w:val="00173A1F"/>
    <w:rsid w:val="0017432E"/>
    <w:rsid w:val="00174A52"/>
    <w:rsid w:val="001757C6"/>
    <w:rsid w:val="00175CA6"/>
    <w:rsid w:val="001760D2"/>
    <w:rsid w:val="001778E1"/>
    <w:rsid w:val="0017795E"/>
    <w:rsid w:val="00177BBD"/>
    <w:rsid w:val="00177E49"/>
    <w:rsid w:val="00180434"/>
    <w:rsid w:val="001805EC"/>
    <w:rsid w:val="00180A57"/>
    <w:rsid w:val="001813B2"/>
    <w:rsid w:val="00181751"/>
    <w:rsid w:val="00182193"/>
    <w:rsid w:val="0018329E"/>
    <w:rsid w:val="00184A7C"/>
    <w:rsid w:val="00184AFB"/>
    <w:rsid w:val="00184DB4"/>
    <w:rsid w:val="00184E0A"/>
    <w:rsid w:val="001856FB"/>
    <w:rsid w:val="001874AE"/>
    <w:rsid w:val="00187DA5"/>
    <w:rsid w:val="00190378"/>
    <w:rsid w:val="00190ED3"/>
    <w:rsid w:val="001912D2"/>
    <w:rsid w:val="0019162F"/>
    <w:rsid w:val="00191959"/>
    <w:rsid w:val="00191AD1"/>
    <w:rsid w:val="00191CF6"/>
    <w:rsid w:val="0019212E"/>
    <w:rsid w:val="001923F7"/>
    <w:rsid w:val="001926C6"/>
    <w:rsid w:val="00192C44"/>
    <w:rsid w:val="00192DA8"/>
    <w:rsid w:val="00193FF4"/>
    <w:rsid w:val="00194D08"/>
    <w:rsid w:val="0019562D"/>
    <w:rsid w:val="00195E15"/>
    <w:rsid w:val="00196997"/>
    <w:rsid w:val="001969A0"/>
    <w:rsid w:val="00196EBA"/>
    <w:rsid w:val="0019747F"/>
    <w:rsid w:val="001975F9"/>
    <w:rsid w:val="001A0659"/>
    <w:rsid w:val="001A1D39"/>
    <w:rsid w:val="001A1DCE"/>
    <w:rsid w:val="001A26AE"/>
    <w:rsid w:val="001A2B41"/>
    <w:rsid w:val="001A383F"/>
    <w:rsid w:val="001A3C92"/>
    <w:rsid w:val="001A4509"/>
    <w:rsid w:val="001A4897"/>
    <w:rsid w:val="001A5377"/>
    <w:rsid w:val="001A57C9"/>
    <w:rsid w:val="001A58C8"/>
    <w:rsid w:val="001A5DD2"/>
    <w:rsid w:val="001A61C2"/>
    <w:rsid w:val="001A6294"/>
    <w:rsid w:val="001A6861"/>
    <w:rsid w:val="001A7190"/>
    <w:rsid w:val="001A7304"/>
    <w:rsid w:val="001A7E78"/>
    <w:rsid w:val="001B0A75"/>
    <w:rsid w:val="001B0CBE"/>
    <w:rsid w:val="001B1DDE"/>
    <w:rsid w:val="001B3439"/>
    <w:rsid w:val="001B3831"/>
    <w:rsid w:val="001B46EB"/>
    <w:rsid w:val="001B4B83"/>
    <w:rsid w:val="001B4F1C"/>
    <w:rsid w:val="001B5AAF"/>
    <w:rsid w:val="001B73CE"/>
    <w:rsid w:val="001B7EB3"/>
    <w:rsid w:val="001C065D"/>
    <w:rsid w:val="001C1144"/>
    <w:rsid w:val="001C1166"/>
    <w:rsid w:val="001C2A36"/>
    <w:rsid w:val="001C33A4"/>
    <w:rsid w:val="001C435D"/>
    <w:rsid w:val="001C4850"/>
    <w:rsid w:val="001C4996"/>
    <w:rsid w:val="001C5B34"/>
    <w:rsid w:val="001C66E6"/>
    <w:rsid w:val="001C6F9E"/>
    <w:rsid w:val="001C718B"/>
    <w:rsid w:val="001C7516"/>
    <w:rsid w:val="001C7E02"/>
    <w:rsid w:val="001D01D1"/>
    <w:rsid w:val="001D1B6B"/>
    <w:rsid w:val="001D21DB"/>
    <w:rsid w:val="001D268C"/>
    <w:rsid w:val="001D3509"/>
    <w:rsid w:val="001D3793"/>
    <w:rsid w:val="001D3CDA"/>
    <w:rsid w:val="001D3D65"/>
    <w:rsid w:val="001D49C3"/>
    <w:rsid w:val="001D5FE8"/>
    <w:rsid w:val="001D60F4"/>
    <w:rsid w:val="001D660D"/>
    <w:rsid w:val="001D7386"/>
    <w:rsid w:val="001D75EA"/>
    <w:rsid w:val="001E032F"/>
    <w:rsid w:val="001E048A"/>
    <w:rsid w:val="001E04C4"/>
    <w:rsid w:val="001E0BCD"/>
    <w:rsid w:val="001E0C35"/>
    <w:rsid w:val="001E0F27"/>
    <w:rsid w:val="001E1203"/>
    <w:rsid w:val="001E275C"/>
    <w:rsid w:val="001E2850"/>
    <w:rsid w:val="001E322C"/>
    <w:rsid w:val="001E35AF"/>
    <w:rsid w:val="001E49F7"/>
    <w:rsid w:val="001E5D5C"/>
    <w:rsid w:val="001E5DC0"/>
    <w:rsid w:val="001E7FB4"/>
    <w:rsid w:val="001F0620"/>
    <w:rsid w:val="001F168E"/>
    <w:rsid w:val="001F2637"/>
    <w:rsid w:val="001F2A19"/>
    <w:rsid w:val="001F3757"/>
    <w:rsid w:val="001F4BFD"/>
    <w:rsid w:val="001F5E04"/>
    <w:rsid w:val="001F6B80"/>
    <w:rsid w:val="001F731F"/>
    <w:rsid w:val="001F79EA"/>
    <w:rsid w:val="001F7B7C"/>
    <w:rsid w:val="001F7E0B"/>
    <w:rsid w:val="00201102"/>
    <w:rsid w:val="00201203"/>
    <w:rsid w:val="00201947"/>
    <w:rsid w:val="00201A74"/>
    <w:rsid w:val="00201F5D"/>
    <w:rsid w:val="00203277"/>
    <w:rsid w:val="002034A5"/>
    <w:rsid w:val="002039E5"/>
    <w:rsid w:val="00203BB6"/>
    <w:rsid w:val="0020455E"/>
    <w:rsid w:val="00204755"/>
    <w:rsid w:val="0020487D"/>
    <w:rsid w:val="00204BF7"/>
    <w:rsid w:val="00204BFF"/>
    <w:rsid w:val="00205207"/>
    <w:rsid w:val="00205342"/>
    <w:rsid w:val="00205790"/>
    <w:rsid w:val="00205F90"/>
    <w:rsid w:val="0020623F"/>
    <w:rsid w:val="002064E2"/>
    <w:rsid w:val="0020790D"/>
    <w:rsid w:val="00207960"/>
    <w:rsid w:val="00207DC8"/>
    <w:rsid w:val="00207E6F"/>
    <w:rsid w:val="0021039C"/>
    <w:rsid w:val="002105DE"/>
    <w:rsid w:val="0021106A"/>
    <w:rsid w:val="0021245C"/>
    <w:rsid w:val="00212476"/>
    <w:rsid w:val="002130FC"/>
    <w:rsid w:val="0021379A"/>
    <w:rsid w:val="002140D8"/>
    <w:rsid w:val="002142EE"/>
    <w:rsid w:val="00214E0B"/>
    <w:rsid w:val="00215B45"/>
    <w:rsid w:val="00215CA8"/>
    <w:rsid w:val="00216C56"/>
    <w:rsid w:val="0021725A"/>
    <w:rsid w:val="0021735D"/>
    <w:rsid w:val="002173AD"/>
    <w:rsid w:val="002175B5"/>
    <w:rsid w:val="0022059B"/>
    <w:rsid w:val="00220BD6"/>
    <w:rsid w:val="002210B9"/>
    <w:rsid w:val="0022178A"/>
    <w:rsid w:val="00221CE6"/>
    <w:rsid w:val="002220BF"/>
    <w:rsid w:val="0022245D"/>
    <w:rsid w:val="00222F78"/>
    <w:rsid w:val="002239FC"/>
    <w:rsid w:val="00223E17"/>
    <w:rsid w:val="00223F95"/>
    <w:rsid w:val="0022469F"/>
    <w:rsid w:val="00225047"/>
    <w:rsid w:val="00225446"/>
    <w:rsid w:val="00225AEA"/>
    <w:rsid w:val="0022733E"/>
    <w:rsid w:val="002300F7"/>
    <w:rsid w:val="002302D9"/>
    <w:rsid w:val="0023158A"/>
    <w:rsid w:val="002317FF"/>
    <w:rsid w:val="00231831"/>
    <w:rsid w:val="0023228E"/>
    <w:rsid w:val="00232962"/>
    <w:rsid w:val="002331F9"/>
    <w:rsid w:val="002333AE"/>
    <w:rsid w:val="002338EB"/>
    <w:rsid w:val="00234210"/>
    <w:rsid w:val="00235B08"/>
    <w:rsid w:val="002361F7"/>
    <w:rsid w:val="00236C7C"/>
    <w:rsid w:val="00237225"/>
    <w:rsid w:val="00237435"/>
    <w:rsid w:val="002379CA"/>
    <w:rsid w:val="00237EBA"/>
    <w:rsid w:val="00240804"/>
    <w:rsid w:val="00240CC3"/>
    <w:rsid w:val="00241839"/>
    <w:rsid w:val="00241957"/>
    <w:rsid w:val="00241988"/>
    <w:rsid w:val="002422B3"/>
    <w:rsid w:val="002427F8"/>
    <w:rsid w:val="002437E5"/>
    <w:rsid w:val="00243FAA"/>
    <w:rsid w:val="00243FD2"/>
    <w:rsid w:val="002450C0"/>
    <w:rsid w:val="00245870"/>
    <w:rsid w:val="00245F5C"/>
    <w:rsid w:val="00246730"/>
    <w:rsid w:val="00246927"/>
    <w:rsid w:val="00247566"/>
    <w:rsid w:val="00247745"/>
    <w:rsid w:val="00250B5D"/>
    <w:rsid w:val="00250C43"/>
    <w:rsid w:val="00251046"/>
    <w:rsid w:val="0025154B"/>
    <w:rsid w:val="00251D12"/>
    <w:rsid w:val="00251DE8"/>
    <w:rsid w:val="00251EBD"/>
    <w:rsid w:val="00252334"/>
    <w:rsid w:val="00252B8C"/>
    <w:rsid w:val="00253095"/>
    <w:rsid w:val="00253DAA"/>
    <w:rsid w:val="00253F54"/>
    <w:rsid w:val="00255482"/>
    <w:rsid w:val="0025619F"/>
    <w:rsid w:val="00256AF5"/>
    <w:rsid w:val="00256B6C"/>
    <w:rsid w:val="00256D1F"/>
    <w:rsid w:val="0025737A"/>
    <w:rsid w:val="002605CB"/>
    <w:rsid w:val="00260761"/>
    <w:rsid w:val="002607D0"/>
    <w:rsid w:val="00260824"/>
    <w:rsid w:val="00260A56"/>
    <w:rsid w:val="0026170C"/>
    <w:rsid w:val="00261927"/>
    <w:rsid w:val="00261981"/>
    <w:rsid w:val="0026265F"/>
    <w:rsid w:val="00262720"/>
    <w:rsid w:val="00262B77"/>
    <w:rsid w:val="002634B8"/>
    <w:rsid w:val="00264383"/>
    <w:rsid w:val="00264B2D"/>
    <w:rsid w:val="00265752"/>
    <w:rsid w:val="0026630A"/>
    <w:rsid w:val="0026646B"/>
    <w:rsid w:val="0026677B"/>
    <w:rsid w:val="0026679C"/>
    <w:rsid w:val="0026772C"/>
    <w:rsid w:val="00267F33"/>
    <w:rsid w:val="002703A3"/>
    <w:rsid w:val="00270813"/>
    <w:rsid w:val="00270B3C"/>
    <w:rsid w:val="00270D0F"/>
    <w:rsid w:val="00271235"/>
    <w:rsid w:val="002717E3"/>
    <w:rsid w:val="002722A2"/>
    <w:rsid w:val="0027246F"/>
    <w:rsid w:val="002724A8"/>
    <w:rsid w:val="002726E9"/>
    <w:rsid w:val="00273D01"/>
    <w:rsid w:val="0027462E"/>
    <w:rsid w:val="002747A0"/>
    <w:rsid w:val="0027496B"/>
    <w:rsid w:val="00274D65"/>
    <w:rsid w:val="00276326"/>
    <w:rsid w:val="00280285"/>
    <w:rsid w:val="00280956"/>
    <w:rsid w:val="002811F2"/>
    <w:rsid w:val="00281A82"/>
    <w:rsid w:val="00281FEE"/>
    <w:rsid w:val="00282A03"/>
    <w:rsid w:val="00283692"/>
    <w:rsid w:val="002838E0"/>
    <w:rsid w:val="00283A6E"/>
    <w:rsid w:val="002846A8"/>
    <w:rsid w:val="00284848"/>
    <w:rsid w:val="0028499F"/>
    <w:rsid w:val="002861EB"/>
    <w:rsid w:val="00286260"/>
    <w:rsid w:val="00286BC5"/>
    <w:rsid w:val="0028700D"/>
    <w:rsid w:val="00290065"/>
    <w:rsid w:val="002916CC"/>
    <w:rsid w:val="0029179C"/>
    <w:rsid w:val="00291F78"/>
    <w:rsid w:val="0029200E"/>
    <w:rsid w:val="002920DD"/>
    <w:rsid w:val="00292700"/>
    <w:rsid w:val="00292D78"/>
    <w:rsid w:val="0029383B"/>
    <w:rsid w:val="00293ED2"/>
    <w:rsid w:val="00294B2F"/>
    <w:rsid w:val="002951E8"/>
    <w:rsid w:val="002976FF"/>
    <w:rsid w:val="002A025A"/>
    <w:rsid w:val="002A26C1"/>
    <w:rsid w:val="002A4014"/>
    <w:rsid w:val="002A44EB"/>
    <w:rsid w:val="002A4FCD"/>
    <w:rsid w:val="002A5526"/>
    <w:rsid w:val="002A5862"/>
    <w:rsid w:val="002A63D9"/>
    <w:rsid w:val="002A6836"/>
    <w:rsid w:val="002A6BF9"/>
    <w:rsid w:val="002A7B3D"/>
    <w:rsid w:val="002B08AD"/>
    <w:rsid w:val="002B103C"/>
    <w:rsid w:val="002B37B9"/>
    <w:rsid w:val="002B3C63"/>
    <w:rsid w:val="002B3D10"/>
    <w:rsid w:val="002B437F"/>
    <w:rsid w:val="002B492C"/>
    <w:rsid w:val="002B586D"/>
    <w:rsid w:val="002B5BEE"/>
    <w:rsid w:val="002B60F6"/>
    <w:rsid w:val="002B62A8"/>
    <w:rsid w:val="002B638A"/>
    <w:rsid w:val="002B7311"/>
    <w:rsid w:val="002B7B38"/>
    <w:rsid w:val="002B7B5D"/>
    <w:rsid w:val="002C1899"/>
    <w:rsid w:val="002C209D"/>
    <w:rsid w:val="002C2BC7"/>
    <w:rsid w:val="002C30E8"/>
    <w:rsid w:val="002C3A71"/>
    <w:rsid w:val="002C3E3F"/>
    <w:rsid w:val="002C4096"/>
    <w:rsid w:val="002C4AFD"/>
    <w:rsid w:val="002C4E32"/>
    <w:rsid w:val="002C4E4E"/>
    <w:rsid w:val="002C4E8E"/>
    <w:rsid w:val="002C7088"/>
    <w:rsid w:val="002C732E"/>
    <w:rsid w:val="002C77C3"/>
    <w:rsid w:val="002C7CDB"/>
    <w:rsid w:val="002D06DB"/>
    <w:rsid w:val="002D0743"/>
    <w:rsid w:val="002D0A9C"/>
    <w:rsid w:val="002D12EC"/>
    <w:rsid w:val="002D19AD"/>
    <w:rsid w:val="002D1A75"/>
    <w:rsid w:val="002D1C6D"/>
    <w:rsid w:val="002D29E4"/>
    <w:rsid w:val="002D2A00"/>
    <w:rsid w:val="002D308A"/>
    <w:rsid w:val="002D3DA8"/>
    <w:rsid w:val="002D3F7B"/>
    <w:rsid w:val="002D43AF"/>
    <w:rsid w:val="002D4A7F"/>
    <w:rsid w:val="002D4EA5"/>
    <w:rsid w:val="002D5029"/>
    <w:rsid w:val="002D519D"/>
    <w:rsid w:val="002D5838"/>
    <w:rsid w:val="002D5F16"/>
    <w:rsid w:val="002D670C"/>
    <w:rsid w:val="002D6CF1"/>
    <w:rsid w:val="002D7A57"/>
    <w:rsid w:val="002D7AFD"/>
    <w:rsid w:val="002E016C"/>
    <w:rsid w:val="002E0ABC"/>
    <w:rsid w:val="002E180E"/>
    <w:rsid w:val="002E257B"/>
    <w:rsid w:val="002E2BA8"/>
    <w:rsid w:val="002E393D"/>
    <w:rsid w:val="002E4329"/>
    <w:rsid w:val="002E5BF3"/>
    <w:rsid w:val="002E608B"/>
    <w:rsid w:val="002E768C"/>
    <w:rsid w:val="002F0053"/>
    <w:rsid w:val="002F025F"/>
    <w:rsid w:val="002F062A"/>
    <w:rsid w:val="002F3365"/>
    <w:rsid w:val="002F36C8"/>
    <w:rsid w:val="002F3723"/>
    <w:rsid w:val="002F4D9E"/>
    <w:rsid w:val="002F500F"/>
    <w:rsid w:val="002F5560"/>
    <w:rsid w:val="002F7052"/>
    <w:rsid w:val="002F750D"/>
    <w:rsid w:val="002F7559"/>
    <w:rsid w:val="003001A4"/>
    <w:rsid w:val="00300369"/>
    <w:rsid w:val="00300916"/>
    <w:rsid w:val="00300BBA"/>
    <w:rsid w:val="0030195B"/>
    <w:rsid w:val="0030295A"/>
    <w:rsid w:val="003029CB"/>
    <w:rsid w:val="00302F76"/>
    <w:rsid w:val="00303390"/>
    <w:rsid w:val="0030359F"/>
    <w:rsid w:val="003038DA"/>
    <w:rsid w:val="003038EF"/>
    <w:rsid w:val="00303B63"/>
    <w:rsid w:val="00304E59"/>
    <w:rsid w:val="003050A7"/>
    <w:rsid w:val="003054AD"/>
    <w:rsid w:val="00305668"/>
    <w:rsid w:val="00305672"/>
    <w:rsid w:val="003059C9"/>
    <w:rsid w:val="00306246"/>
    <w:rsid w:val="003063BE"/>
    <w:rsid w:val="003067A8"/>
    <w:rsid w:val="00306A5B"/>
    <w:rsid w:val="0030702B"/>
    <w:rsid w:val="00307C98"/>
    <w:rsid w:val="00307EA3"/>
    <w:rsid w:val="00310AB4"/>
    <w:rsid w:val="00310D95"/>
    <w:rsid w:val="003112BA"/>
    <w:rsid w:val="00311546"/>
    <w:rsid w:val="00311A57"/>
    <w:rsid w:val="00311F5E"/>
    <w:rsid w:val="00312117"/>
    <w:rsid w:val="0031213C"/>
    <w:rsid w:val="0031341E"/>
    <w:rsid w:val="0031376F"/>
    <w:rsid w:val="00314317"/>
    <w:rsid w:val="00314678"/>
    <w:rsid w:val="003178C5"/>
    <w:rsid w:val="00317F7C"/>
    <w:rsid w:val="00320676"/>
    <w:rsid w:val="0032153F"/>
    <w:rsid w:val="00321638"/>
    <w:rsid w:val="0032201A"/>
    <w:rsid w:val="00322B4B"/>
    <w:rsid w:val="00323676"/>
    <w:rsid w:val="00323AF4"/>
    <w:rsid w:val="00323D53"/>
    <w:rsid w:val="00323E7A"/>
    <w:rsid w:val="003245A5"/>
    <w:rsid w:val="003247E9"/>
    <w:rsid w:val="003259D1"/>
    <w:rsid w:val="00325CCF"/>
    <w:rsid w:val="00326C44"/>
    <w:rsid w:val="00326EB1"/>
    <w:rsid w:val="00327002"/>
    <w:rsid w:val="00327D06"/>
    <w:rsid w:val="00330416"/>
    <w:rsid w:val="0033091D"/>
    <w:rsid w:val="00330C98"/>
    <w:rsid w:val="003315DA"/>
    <w:rsid w:val="003324E9"/>
    <w:rsid w:val="00332853"/>
    <w:rsid w:val="00332EA1"/>
    <w:rsid w:val="0033313B"/>
    <w:rsid w:val="003333CF"/>
    <w:rsid w:val="003333E6"/>
    <w:rsid w:val="00333846"/>
    <w:rsid w:val="00333874"/>
    <w:rsid w:val="00333FFC"/>
    <w:rsid w:val="003345D7"/>
    <w:rsid w:val="003346D4"/>
    <w:rsid w:val="003347BD"/>
    <w:rsid w:val="003348A2"/>
    <w:rsid w:val="00336190"/>
    <w:rsid w:val="00336AB9"/>
    <w:rsid w:val="00336CE7"/>
    <w:rsid w:val="00336D0F"/>
    <w:rsid w:val="0033766B"/>
    <w:rsid w:val="003403C6"/>
    <w:rsid w:val="0034109F"/>
    <w:rsid w:val="003415A1"/>
    <w:rsid w:val="003425AF"/>
    <w:rsid w:val="0034344A"/>
    <w:rsid w:val="00343699"/>
    <w:rsid w:val="003437AE"/>
    <w:rsid w:val="003437EB"/>
    <w:rsid w:val="00344094"/>
    <w:rsid w:val="003446AC"/>
    <w:rsid w:val="00344749"/>
    <w:rsid w:val="003453A5"/>
    <w:rsid w:val="00345712"/>
    <w:rsid w:val="003460CB"/>
    <w:rsid w:val="00346609"/>
    <w:rsid w:val="00347899"/>
    <w:rsid w:val="00347FDE"/>
    <w:rsid w:val="003502ED"/>
    <w:rsid w:val="00350341"/>
    <w:rsid w:val="003506C9"/>
    <w:rsid w:val="003516C2"/>
    <w:rsid w:val="00351B4B"/>
    <w:rsid w:val="00351CDB"/>
    <w:rsid w:val="003526F2"/>
    <w:rsid w:val="0035349F"/>
    <w:rsid w:val="00353711"/>
    <w:rsid w:val="003539D2"/>
    <w:rsid w:val="00353EC9"/>
    <w:rsid w:val="0035525A"/>
    <w:rsid w:val="00355466"/>
    <w:rsid w:val="00355BCF"/>
    <w:rsid w:val="00355C98"/>
    <w:rsid w:val="00356483"/>
    <w:rsid w:val="0035674D"/>
    <w:rsid w:val="00356C14"/>
    <w:rsid w:val="003571A5"/>
    <w:rsid w:val="0035733B"/>
    <w:rsid w:val="00357404"/>
    <w:rsid w:val="00357C07"/>
    <w:rsid w:val="0036006F"/>
    <w:rsid w:val="00360863"/>
    <w:rsid w:val="00360B1B"/>
    <w:rsid w:val="003611E5"/>
    <w:rsid w:val="003624CA"/>
    <w:rsid w:val="003624E9"/>
    <w:rsid w:val="003625AA"/>
    <w:rsid w:val="00362751"/>
    <w:rsid w:val="00362991"/>
    <w:rsid w:val="003631C5"/>
    <w:rsid w:val="00363DDF"/>
    <w:rsid w:val="0036460E"/>
    <w:rsid w:val="00364AFE"/>
    <w:rsid w:val="00364D83"/>
    <w:rsid w:val="0036598D"/>
    <w:rsid w:val="00366287"/>
    <w:rsid w:val="003669ED"/>
    <w:rsid w:val="003673AA"/>
    <w:rsid w:val="003678F7"/>
    <w:rsid w:val="00371024"/>
    <w:rsid w:val="003719B4"/>
    <w:rsid w:val="00371DDE"/>
    <w:rsid w:val="00371FDB"/>
    <w:rsid w:val="003727C9"/>
    <w:rsid w:val="00372850"/>
    <w:rsid w:val="00373173"/>
    <w:rsid w:val="00373A13"/>
    <w:rsid w:val="00373B03"/>
    <w:rsid w:val="00373E95"/>
    <w:rsid w:val="003747BF"/>
    <w:rsid w:val="0037483E"/>
    <w:rsid w:val="00374AB9"/>
    <w:rsid w:val="00374B20"/>
    <w:rsid w:val="00374D1F"/>
    <w:rsid w:val="00374E76"/>
    <w:rsid w:val="003753D4"/>
    <w:rsid w:val="003755F4"/>
    <w:rsid w:val="00375FD2"/>
    <w:rsid w:val="00376739"/>
    <w:rsid w:val="00376AFD"/>
    <w:rsid w:val="00376BF6"/>
    <w:rsid w:val="00376F5A"/>
    <w:rsid w:val="00377A49"/>
    <w:rsid w:val="00377AF2"/>
    <w:rsid w:val="00380843"/>
    <w:rsid w:val="00380F70"/>
    <w:rsid w:val="00382395"/>
    <w:rsid w:val="003829E9"/>
    <w:rsid w:val="00382D7A"/>
    <w:rsid w:val="00382DD9"/>
    <w:rsid w:val="00383135"/>
    <w:rsid w:val="00383963"/>
    <w:rsid w:val="00383BE6"/>
    <w:rsid w:val="00383DDA"/>
    <w:rsid w:val="003842F3"/>
    <w:rsid w:val="003849CE"/>
    <w:rsid w:val="00385841"/>
    <w:rsid w:val="00385990"/>
    <w:rsid w:val="00385CF2"/>
    <w:rsid w:val="00386AF2"/>
    <w:rsid w:val="00386C07"/>
    <w:rsid w:val="00386E13"/>
    <w:rsid w:val="0038731D"/>
    <w:rsid w:val="003906C3"/>
    <w:rsid w:val="0039119F"/>
    <w:rsid w:val="003913B6"/>
    <w:rsid w:val="0039177C"/>
    <w:rsid w:val="00392678"/>
    <w:rsid w:val="00393639"/>
    <w:rsid w:val="003939DE"/>
    <w:rsid w:val="00393C74"/>
    <w:rsid w:val="00394195"/>
    <w:rsid w:val="0039431F"/>
    <w:rsid w:val="0039446B"/>
    <w:rsid w:val="00394CF9"/>
    <w:rsid w:val="00395FA0"/>
    <w:rsid w:val="003963AA"/>
    <w:rsid w:val="003969A6"/>
    <w:rsid w:val="00396D5B"/>
    <w:rsid w:val="00397424"/>
    <w:rsid w:val="003A02CC"/>
    <w:rsid w:val="003A1C13"/>
    <w:rsid w:val="003A1DD4"/>
    <w:rsid w:val="003A21A8"/>
    <w:rsid w:val="003A220E"/>
    <w:rsid w:val="003A2352"/>
    <w:rsid w:val="003A26C1"/>
    <w:rsid w:val="003A297F"/>
    <w:rsid w:val="003A2BDD"/>
    <w:rsid w:val="003A2C08"/>
    <w:rsid w:val="003A2DD0"/>
    <w:rsid w:val="003A34B2"/>
    <w:rsid w:val="003A42EA"/>
    <w:rsid w:val="003A4A3D"/>
    <w:rsid w:val="003A52DA"/>
    <w:rsid w:val="003A7348"/>
    <w:rsid w:val="003B00F6"/>
    <w:rsid w:val="003B1D6F"/>
    <w:rsid w:val="003B1DB0"/>
    <w:rsid w:val="003B1F0C"/>
    <w:rsid w:val="003B1F9C"/>
    <w:rsid w:val="003B1FDB"/>
    <w:rsid w:val="003B2806"/>
    <w:rsid w:val="003B2986"/>
    <w:rsid w:val="003B3007"/>
    <w:rsid w:val="003B32F3"/>
    <w:rsid w:val="003B399A"/>
    <w:rsid w:val="003B4759"/>
    <w:rsid w:val="003B516E"/>
    <w:rsid w:val="003B55C1"/>
    <w:rsid w:val="003B55CF"/>
    <w:rsid w:val="003B5C47"/>
    <w:rsid w:val="003B6799"/>
    <w:rsid w:val="003B6FCB"/>
    <w:rsid w:val="003C03B1"/>
    <w:rsid w:val="003C0A53"/>
    <w:rsid w:val="003C17D9"/>
    <w:rsid w:val="003C26BC"/>
    <w:rsid w:val="003C350E"/>
    <w:rsid w:val="003C3F6A"/>
    <w:rsid w:val="003C5464"/>
    <w:rsid w:val="003C5B99"/>
    <w:rsid w:val="003C609A"/>
    <w:rsid w:val="003C61AC"/>
    <w:rsid w:val="003C64C9"/>
    <w:rsid w:val="003C6E8D"/>
    <w:rsid w:val="003C791A"/>
    <w:rsid w:val="003C7C41"/>
    <w:rsid w:val="003C7FC7"/>
    <w:rsid w:val="003D09EE"/>
    <w:rsid w:val="003D18CC"/>
    <w:rsid w:val="003D2143"/>
    <w:rsid w:val="003D2256"/>
    <w:rsid w:val="003D31F6"/>
    <w:rsid w:val="003D3680"/>
    <w:rsid w:val="003D40F5"/>
    <w:rsid w:val="003D50AF"/>
    <w:rsid w:val="003D5C4A"/>
    <w:rsid w:val="003D5F1E"/>
    <w:rsid w:val="003D6239"/>
    <w:rsid w:val="003D6AC5"/>
    <w:rsid w:val="003D6CD6"/>
    <w:rsid w:val="003D79C3"/>
    <w:rsid w:val="003D7ECF"/>
    <w:rsid w:val="003D7F4A"/>
    <w:rsid w:val="003D7FC8"/>
    <w:rsid w:val="003E0025"/>
    <w:rsid w:val="003E07F5"/>
    <w:rsid w:val="003E1813"/>
    <w:rsid w:val="003E1817"/>
    <w:rsid w:val="003E199E"/>
    <w:rsid w:val="003E1ACC"/>
    <w:rsid w:val="003E1F87"/>
    <w:rsid w:val="003E206E"/>
    <w:rsid w:val="003E2785"/>
    <w:rsid w:val="003E3032"/>
    <w:rsid w:val="003E3968"/>
    <w:rsid w:val="003E4453"/>
    <w:rsid w:val="003E48CD"/>
    <w:rsid w:val="003E49D6"/>
    <w:rsid w:val="003E516A"/>
    <w:rsid w:val="003E5D3B"/>
    <w:rsid w:val="003E682C"/>
    <w:rsid w:val="003E6A76"/>
    <w:rsid w:val="003E7B92"/>
    <w:rsid w:val="003E7EB7"/>
    <w:rsid w:val="003F08D8"/>
    <w:rsid w:val="003F0FB9"/>
    <w:rsid w:val="003F1586"/>
    <w:rsid w:val="003F1C74"/>
    <w:rsid w:val="003F1EB2"/>
    <w:rsid w:val="003F1F4E"/>
    <w:rsid w:val="003F2C89"/>
    <w:rsid w:val="003F4048"/>
    <w:rsid w:val="003F495C"/>
    <w:rsid w:val="003F4A89"/>
    <w:rsid w:val="003F4DB5"/>
    <w:rsid w:val="003F4F9A"/>
    <w:rsid w:val="003F5850"/>
    <w:rsid w:val="003F5D38"/>
    <w:rsid w:val="003F5EB0"/>
    <w:rsid w:val="003F6276"/>
    <w:rsid w:val="003F6E11"/>
    <w:rsid w:val="003F76BC"/>
    <w:rsid w:val="00400170"/>
    <w:rsid w:val="00400FF3"/>
    <w:rsid w:val="00401A75"/>
    <w:rsid w:val="0040250E"/>
    <w:rsid w:val="0040283A"/>
    <w:rsid w:val="00403027"/>
    <w:rsid w:val="0040316A"/>
    <w:rsid w:val="00403D4D"/>
    <w:rsid w:val="00405325"/>
    <w:rsid w:val="004053B8"/>
    <w:rsid w:val="004058B1"/>
    <w:rsid w:val="00406F10"/>
    <w:rsid w:val="00407206"/>
    <w:rsid w:val="004073FC"/>
    <w:rsid w:val="00410366"/>
    <w:rsid w:val="0041222D"/>
    <w:rsid w:val="00412267"/>
    <w:rsid w:val="004123DD"/>
    <w:rsid w:val="004133B7"/>
    <w:rsid w:val="004145B3"/>
    <w:rsid w:val="00414A29"/>
    <w:rsid w:val="00415226"/>
    <w:rsid w:val="0041525E"/>
    <w:rsid w:val="00415A12"/>
    <w:rsid w:val="00417367"/>
    <w:rsid w:val="00417ACE"/>
    <w:rsid w:val="00420153"/>
    <w:rsid w:val="004201DA"/>
    <w:rsid w:val="00420E3B"/>
    <w:rsid w:val="00421290"/>
    <w:rsid w:val="00421B9A"/>
    <w:rsid w:val="004224EF"/>
    <w:rsid w:val="00423B07"/>
    <w:rsid w:val="00423B4B"/>
    <w:rsid w:val="00424875"/>
    <w:rsid w:val="0042495B"/>
    <w:rsid w:val="00424D81"/>
    <w:rsid w:val="004252A4"/>
    <w:rsid w:val="0042535B"/>
    <w:rsid w:val="00425B26"/>
    <w:rsid w:val="0042603B"/>
    <w:rsid w:val="00426689"/>
    <w:rsid w:val="00426FD7"/>
    <w:rsid w:val="004276DD"/>
    <w:rsid w:val="00430E62"/>
    <w:rsid w:val="00431A5F"/>
    <w:rsid w:val="00431F85"/>
    <w:rsid w:val="0043240C"/>
    <w:rsid w:val="00432898"/>
    <w:rsid w:val="0043299D"/>
    <w:rsid w:val="00432B28"/>
    <w:rsid w:val="00434465"/>
    <w:rsid w:val="00434805"/>
    <w:rsid w:val="00434BD4"/>
    <w:rsid w:val="00434D48"/>
    <w:rsid w:val="00435208"/>
    <w:rsid w:val="0043543B"/>
    <w:rsid w:val="0043576F"/>
    <w:rsid w:val="00436D8B"/>
    <w:rsid w:val="00436FF1"/>
    <w:rsid w:val="004379B2"/>
    <w:rsid w:val="0044099B"/>
    <w:rsid w:val="00441ECB"/>
    <w:rsid w:val="004425BA"/>
    <w:rsid w:val="00442A5D"/>
    <w:rsid w:val="00443541"/>
    <w:rsid w:val="00444877"/>
    <w:rsid w:val="00444913"/>
    <w:rsid w:val="004467B5"/>
    <w:rsid w:val="00447C16"/>
    <w:rsid w:val="00450694"/>
    <w:rsid w:val="00450C67"/>
    <w:rsid w:val="00451A40"/>
    <w:rsid w:val="00451B06"/>
    <w:rsid w:val="00451EF6"/>
    <w:rsid w:val="004520E6"/>
    <w:rsid w:val="00452302"/>
    <w:rsid w:val="00452CFB"/>
    <w:rsid w:val="0045301C"/>
    <w:rsid w:val="004530D2"/>
    <w:rsid w:val="00453B1F"/>
    <w:rsid w:val="00453C3D"/>
    <w:rsid w:val="00453C61"/>
    <w:rsid w:val="00454736"/>
    <w:rsid w:val="0045524F"/>
    <w:rsid w:val="0045532A"/>
    <w:rsid w:val="004557DE"/>
    <w:rsid w:val="00456748"/>
    <w:rsid w:val="0045697A"/>
    <w:rsid w:val="004576ED"/>
    <w:rsid w:val="0045791B"/>
    <w:rsid w:val="00457E7F"/>
    <w:rsid w:val="004607C2"/>
    <w:rsid w:val="004614A2"/>
    <w:rsid w:val="0046156C"/>
    <w:rsid w:val="00462463"/>
    <w:rsid w:val="004643A9"/>
    <w:rsid w:val="004646F9"/>
    <w:rsid w:val="00464E54"/>
    <w:rsid w:val="00465184"/>
    <w:rsid w:val="00465216"/>
    <w:rsid w:val="004655F9"/>
    <w:rsid w:val="00466442"/>
    <w:rsid w:val="004665BE"/>
    <w:rsid w:val="004679DC"/>
    <w:rsid w:val="00467E9B"/>
    <w:rsid w:val="004709E9"/>
    <w:rsid w:val="00470DFC"/>
    <w:rsid w:val="0047183F"/>
    <w:rsid w:val="00471EED"/>
    <w:rsid w:val="004729DE"/>
    <w:rsid w:val="00472F9B"/>
    <w:rsid w:val="004733D1"/>
    <w:rsid w:val="00473B99"/>
    <w:rsid w:val="00474219"/>
    <w:rsid w:val="00474327"/>
    <w:rsid w:val="004748A5"/>
    <w:rsid w:val="00476321"/>
    <w:rsid w:val="00477253"/>
    <w:rsid w:val="00477588"/>
    <w:rsid w:val="00477A32"/>
    <w:rsid w:val="00477DAB"/>
    <w:rsid w:val="004804DD"/>
    <w:rsid w:val="00480D8F"/>
    <w:rsid w:val="004819AC"/>
    <w:rsid w:val="00481B3B"/>
    <w:rsid w:val="00481F88"/>
    <w:rsid w:val="00482976"/>
    <w:rsid w:val="00482D27"/>
    <w:rsid w:val="00482EEB"/>
    <w:rsid w:val="0048330F"/>
    <w:rsid w:val="004834C8"/>
    <w:rsid w:val="0048393E"/>
    <w:rsid w:val="00483E04"/>
    <w:rsid w:val="00483FBE"/>
    <w:rsid w:val="0048401F"/>
    <w:rsid w:val="004841A4"/>
    <w:rsid w:val="0048463A"/>
    <w:rsid w:val="004848EB"/>
    <w:rsid w:val="00485160"/>
    <w:rsid w:val="004855C8"/>
    <w:rsid w:val="004858AE"/>
    <w:rsid w:val="00486ED9"/>
    <w:rsid w:val="00487714"/>
    <w:rsid w:val="00487A12"/>
    <w:rsid w:val="00487BE7"/>
    <w:rsid w:val="004901FC"/>
    <w:rsid w:val="004904F0"/>
    <w:rsid w:val="0049055A"/>
    <w:rsid w:val="00490864"/>
    <w:rsid w:val="00490D23"/>
    <w:rsid w:val="00490F1F"/>
    <w:rsid w:val="00491180"/>
    <w:rsid w:val="0049131A"/>
    <w:rsid w:val="004915B4"/>
    <w:rsid w:val="00491950"/>
    <w:rsid w:val="00491F9E"/>
    <w:rsid w:val="004920DB"/>
    <w:rsid w:val="0049227B"/>
    <w:rsid w:val="00492448"/>
    <w:rsid w:val="004935E3"/>
    <w:rsid w:val="004938FF"/>
    <w:rsid w:val="00493D1C"/>
    <w:rsid w:val="004949F8"/>
    <w:rsid w:val="00495737"/>
    <w:rsid w:val="00495921"/>
    <w:rsid w:val="0049595A"/>
    <w:rsid w:val="004959E6"/>
    <w:rsid w:val="00495B39"/>
    <w:rsid w:val="00495F7C"/>
    <w:rsid w:val="004966CC"/>
    <w:rsid w:val="00496730"/>
    <w:rsid w:val="004968C6"/>
    <w:rsid w:val="0049693A"/>
    <w:rsid w:val="00496B85"/>
    <w:rsid w:val="00497B59"/>
    <w:rsid w:val="00497BB3"/>
    <w:rsid w:val="00497FBF"/>
    <w:rsid w:val="00497FEE"/>
    <w:rsid w:val="004A033D"/>
    <w:rsid w:val="004A0637"/>
    <w:rsid w:val="004A074A"/>
    <w:rsid w:val="004A0894"/>
    <w:rsid w:val="004A0A59"/>
    <w:rsid w:val="004A1564"/>
    <w:rsid w:val="004A2127"/>
    <w:rsid w:val="004A2145"/>
    <w:rsid w:val="004A262F"/>
    <w:rsid w:val="004A2835"/>
    <w:rsid w:val="004A2BC4"/>
    <w:rsid w:val="004A2E69"/>
    <w:rsid w:val="004A34C7"/>
    <w:rsid w:val="004A43EB"/>
    <w:rsid w:val="004A44F1"/>
    <w:rsid w:val="004A4674"/>
    <w:rsid w:val="004A502A"/>
    <w:rsid w:val="004A5554"/>
    <w:rsid w:val="004A5682"/>
    <w:rsid w:val="004A5FD1"/>
    <w:rsid w:val="004A6FAD"/>
    <w:rsid w:val="004A72D6"/>
    <w:rsid w:val="004A7772"/>
    <w:rsid w:val="004A781E"/>
    <w:rsid w:val="004A7E4D"/>
    <w:rsid w:val="004B03BF"/>
    <w:rsid w:val="004B0D13"/>
    <w:rsid w:val="004B1DC5"/>
    <w:rsid w:val="004B1F64"/>
    <w:rsid w:val="004B1FFB"/>
    <w:rsid w:val="004B256D"/>
    <w:rsid w:val="004B2D6C"/>
    <w:rsid w:val="004B37F7"/>
    <w:rsid w:val="004B4555"/>
    <w:rsid w:val="004B473A"/>
    <w:rsid w:val="004B4890"/>
    <w:rsid w:val="004B4A30"/>
    <w:rsid w:val="004B5BB5"/>
    <w:rsid w:val="004B60DC"/>
    <w:rsid w:val="004B7B46"/>
    <w:rsid w:val="004C0191"/>
    <w:rsid w:val="004C0AF0"/>
    <w:rsid w:val="004C11C1"/>
    <w:rsid w:val="004C144E"/>
    <w:rsid w:val="004C19BE"/>
    <w:rsid w:val="004C2077"/>
    <w:rsid w:val="004C25CC"/>
    <w:rsid w:val="004C3B7B"/>
    <w:rsid w:val="004C3D13"/>
    <w:rsid w:val="004C43C0"/>
    <w:rsid w:val="004C492C"/>
    <w:rsid w:val="004C5CF5"/>
    <w:rsid w:val="004C624B"/>
    <w:rsid w:val="004C7252"/>
    <w:rsid w:val="004C7C04"/>
    <w:rsid w:val="004D0730"/>
    <w:rsid w:val="004D1732"/>
    <w:rsid w:val="004D24D8"/>
    <w:rsid w:val="004D2697"/>
    <w:rsid w:val="004D2E6C"/>
    <w:rsid w:val="004D3026"/>
    <w:rsid w:val="004D3410"/>
    <w:rsid w:val="004D405F"/>
    <w:rsid w:val="004D47B2"/>
    <w:rsid w:val="004D4C2C"/>
    <w:rsid w:val="004D4C94"/>
    <w:rsid w:val="004D4E66"/>
    <w:rsid w:val="004D5C36"/>
    <w:rsid w:val="004D66B8"/>
    <w:rsid w:val="004D69A1"/>
    <w:rsid w:val="004D7952"/>
    <w:rsid w:val="004E072E"/>
    <w:rsid w:val="004E1BBB"/>
    <w:rsid w:val="004E1C66"/>
    <w:rsid w:val="004E1E0D"/>
    <w:rsid w:val="004E1F1C"/>
    <w:rsid w:val="004E26A1"/>
    <w:rsid w:val="004E2EA5"/>
    <w:rsid w:val="004E3508"/>
    <w:rsid w:val="004E384B"/>
    <w:rsid w:val="004E38EC"/>
    <w:rsid w:val="004E4892"/>
    <w:rsid w:val="004E48B7"/>
    <w:rsid w:val="004E49AE"/>
    <w:rsid w:val="004E4C53"/>
    <w:rsid w:val="004E4F45"/>
    <w:rsid w:val="004E528A"/>
    <w:rsid w:val="004E57EF"/>
    <w:rsid w:val="004E735C"/>
    <w:rsid w:val="004E754D"/>
    <w:rsid w:val="004E7CF1"/>
    <w:rsid w:val="004F064F"/>
    <w:rsid w:val="004F0688"/>
    <w:rsid w:val="004F06C2"/>
    <w:rsid w:val="004F17CE"/>
    <w:rsid w:val="004F19F6"/>
    <w:rsid w:val="004F1F5D"/>
    <w:rsid w:val="004F23AC"/>
    <w:rsid w:val="004F2E98"/>
    <w:rsid w:val="004F4455"/>
    <w:rsid w:val="004F6BFA"/>
    <w:rsid w:val="004F7276"/>
    <w:rsid w:val="004F75AE"/>
    <w:rsid w:val="0050047A"/>
    <w:rsid w:val="00500B44"/>
    <w:rsid w:val="00500EFB"/>
    <w:rsid w:val="00501452"/>
    <w:rsid w:val="00501860"/>
    <w:rsid w:val="00501893"/>
    <w:rsid w:val="00501975"/>
    <w:rsid w:val="00501D2B"/>
    <w:rsid w:val="005020A5"/>
    <w:rsid w:val="005020BB"/>
    <w:rsid w:val="005021EF"/>
    <w:rsid w:val="00502C79"/>
    <w:rsid w:val="00502E35"/>
    <w:rsid w:val="00503FB9"/>
    <w:rsid w:val="005040C7"/>
    <w:rsid w:val="0050446D"/>
    <w:rsid w:val="0050465E"/>
    <w:rsid w:val="0050525D"/>
    <w:rsid w:val="0050559F"/>
    <w:rsid w:val="00505D66"/>
    <w:rsid w:val="005065DB"/>
    <w:rsid w:val="005066E5"/>
    <w:rsid w:val="00506A77"/>
    <w:rsid w:val="00506E3A"/>
    <w:rsid w:val="0050751E"/>
    <w:rsid w:val="00507745"/>
    <w:rsid w:val="00507D9E"/>
    <w:rsid w:val="005100F7"/>
    <w:rsid w:val="00510866"/>
    <w:rsid w:val="00510E1B"/>
    <w:rsid w:val="005121FD"/>
    <w:rsid w:val="005128E9"/>
    <w:rsid w:val="005138C3"/>
    <w:rsid w:val="00513E0C"/>
    <w:rsid w:val="0051439F"/>
    <w:rsid w:val="005151FD"/>
    <w:rsid w:val="005156B8"/>
    <w:rsid w:val="00515DFC"/>
    <w:rsid w:val="00515E21"/>
    <w:rsid w:val="00516788"/>
    <w:rsid w:val="005167FC"/>
    <w:rsid w:val="00516C27"/>
    <w:rsid w:val="00516F14"/>
    <w:rsid w:val="00517FD3"/>
    <w:rsid w:val="00520FA4"/>
    <w:rsid w:val="005211FD"/>
    <w:rsid w:val="005213F7"/>
    <w:rsid w:val="00521546"/>
    <w:rsid w:val="00521C9B"/>
    <w:rsid w:val="00521DBB"/>
    <w:rsid w:val="0052284E"/>
    <w:rsid w:val="00522998"/>
    <w:rsid w:val="00523A6F"/>
    <w:rsid w:val="00523E01"/>
    <w:rsid w:val="00523F09"/>
    <w:rsid w:val="005242D1"/>
    <w:rsid w:val="00524885"/>
    <w:rsid w:val="00525384"/>
    <w:rsid w:val="0052577E"/>
    <w:rsid w:val="00525D04"/>
    <w:rsid w:val="00526C59"/>
    <w:rsid w:val="005272A4"/>
    <w:rsid w:val="005274F9"/>
    <w:rsid w:val="00530758"/>
    <w:rsid w:val="005308DC"/>
    <w:rsid w:val="00530C04"/>
    <w:rsid w:val="0053141F"/>
    <w:rsid w:val="00531FA8"/>
    <w:rsid w:val="00532131"/>
    <w:rsid w:val="00532712"/>
    <w:rsid w:val="00532C78"/>
    <w:rsid w:val="00533724"/>
    <w:rsid w:val="005343E5"/>
    <w:rsid w:val="00534420"/>
    <w:rsid w:val="00534A47"/>
    <w:rsid w:val="005354CA"/>
    <w:rsid w:val="00535F64"/>
    <w:rsid w:val="005370C3"/>
    <w:rsid w:val="005372DB"/>
    <w:rsid w:val="00537576"/>
    <w:rsid w:val="00537A8C"/>
    <w:rsid w:val="005410BF"/>
    <w:rsid w:val="0054133A"/>
    <w:rsid w:val="0054224E"/>
    <w:rsid w:val="00542D78"/>
    <w:rsid w:val="005432D9"/>
    <w:rsid w:val="00543680"/>
    <w:rsid w:val="00543703"/>
    <w:rsid w:val="00543DB5"/>
    <w:rsid w:val="00544DA3"/>
    <w:rsid w:val="00545050"/>
    <w:rsid w:val="00545224"/>
    <w:rsid w:val="00545EF1"/>
    <w:rsid w:val="00545FF7"/>
    <w:rsid w:val="0054669D"/>
    <w:rsid w:val="00547FA3"/>
    <w:rsid w:val="00550214"/>
    <w:rsid w:val="005508DD"/>
    <w:rsid w:val="00550F74"/>
    <w:rsid w:val="00551083"/>
    <w:rsid w:val="00551374"/>
    <w:rsid w:val="00552823"/>
    <w:rsid w:val="00552974"/>
    <w:rsid w:val="00553AB8"/>
    <w:rsid w:val="00553F10"/>
    <w:rsid w:val="005545E2"/>
    <w:rsid w:val="00554B9A"/>
    <w:rsid w:val="00554C03"/>
    <w:rsid w:val="00554FD8"/>
    <w:rsid w:val="005550DF"/>
    <w:rsid w:val="00555962"/>
    <w:rsid w:val="00555975"/>
    <w:rsid w:val="00556204"/>
    <w:rsid w:val="005565E9"/>
    <w:rsid w:val="0055691A"/>
    <w:rsid w:val="0055706E"/>
    <w:rsid w:val="00557B6E"/>
    <w:rsid w:val="00560A5A"/>
    <w:rsid w:val="00561801"/>
    <w:rsid w:val="00561B11"/>
    <w:rsid w:val="00562A0F"/>
    <w:rsid w:val="00562F6D"/>
    <w:rsid w:val="00563603"/>
    <w:rsid w:val="00564051"/>
    <w:rsid w:val="0056447D"/>
    <w:rsid w:val="00564AC3"/>
    <w:rsid w:val="00564C5F"/>
    <w:rsid w:val="00564F78"/>
    <w:rsid w:val="005654EA"/>
    <w:rsid w:val="005656F9"/>
    <w:rsid w:val="005660FE"/>
    <w:rsid w:val="00566340"/>
    <w:rsid w:val="00566B0B"/>
    <w:rsid w:val="00566D96"/>
    <w:rsid w:val="0056739B"/>
    <w:rsid w:val="0056752C"/>
    <w:rsid w:val="00567EE2"/>
    <w:rsid w:val="00570921"/>
    <w:rsid w:val="00571038"/>
    <w:rsid w:val="00571186"/>
    <w:rsid w:val="00571576"/>
    <w:rsid w:val="0057192C"/>
    <w:rsid w:val="0057263C"/>
    <w:rsid w:val="00572F27"/>
    <w:rsid w:val="00572FF1"/>
    <w:rsid w:val="00574E5D"/>
    <w:rsid w:val="00574F7C"/>
    <w:rsid w:val="00575A33"/>
    <w:rsid w:val="005762D2"/>
    <w:rsid w:val="00577358"/>
    <w:rsid w:val="0057750E"/>
    <w:rsid w:val="005803F1"/>
    <w:rsid w:val="0058069D"/>
    <w:rsid w:val="00580B2D"/>
    <w:rsid w:val="00580E0B"/>
    <w:rsid w:val="005811AF"/>
    <w:rsid w:val="005824C2"/>
    <w:rsid w:val="00582E76"/>
    <w:rsid w:val="00583712"/>
    <w:rsid w:val="005839A0"/>
    <w:rsid w:val="0058458B"/>
    <w:rsid w:val="00584911"/>
    <w:rsid w:val="00584943"/>
    <w:rsid w:val="005855BA"/>
    <w:rsid w:val="00585E02"/>
    <w:rsid w:val="005863F4"/>
    <w:rsid w:val="005868CE"/>
    <w:rsid w:val="00586DDE"/>
    <w:rsid w:val="00587B93"/>
    <w:rsid w:val="00587D05"/>
    <w:rsid w:val="00591D28"/>
    <w:rsid w:val="00593054"/>
    <w:rsid w:val="00593307"/>
    <w:rsid w:val="00593B71"/>
    <w:rsid w:val="005947B6"/>
    <w:rsid w:val="005948CF"/>
    <w:rsid w:val="00594D42"/>
    <w:rsid w:val="00595533"/>
    <w:rsid w:val="0059566F"/>
    <w:rsid w:val="00595855"/>
    <w:rsid w:val="00595ADA"/>
    <w:rsid w:val="0059681D"/>
    <w:rsid w:val="00596A2B"/>
    <w:rsid w:val="00597688"/>
    <w:rsid w:val="00597974"/>
    <w:rsid w:val="00597E78"/>
    <w:rsid w:val="005A01A9"/>
    <w:rsid w:val="005A0586"/>
    <w:rsid w:val="005A078C"/>
    <w:rsid w:val="005A0A82"/>
    <w:rsid w:val="005A18F0"/>
    <w:rsid w:val="005A1F0B"/>
    <w:rsid w:val="005A2086"/>
    <w:rsid w:val="005A2447"/>
    <w:rsid w:val="005A2649"/>
    <w:rsid w:val="005A26DB"/>
    <w:rsid w:val="005A2773"/>
    <w:rsid w:val="005A2BEB"/>
    <w:rsid w:val="005A3203"/>
    <w:rsid w:val="005A328E"/>
    <w:rsid w:val="005A394D"/>
    <w:rsid w:val="005A4C5C"/>
    <w:rsid w:val="005A55CF"/>
    <w:rsid w:val="005A5C0F"/>
    <w:rsid w:val="005A5C73"/>
    <w:rsid w:val="005A5DE7"/>
    <w:rsid w:val="005A6D53"/>
    <w:rsid w:val="005A6EDC"/>
    <w:rsid w:val="005A7BF5"/>
    <w:rsid w:val="005B0751"/>
    <w:rsid w:val="005B089F"/>
    <w:rsid w:val="005B0C5A"/>
    <w:rsid w:val="005B18FC"/>
    <w:rsid w:val="005B1B70"/>
    <w:rsid w:val="005B1D87"/>
    <w:rsid w:val="005B1F64"/>
    <w:rsid w:val="005B257A"/>
    <w:rsid w:val="005B26BB"/>
    <w:rsid w:val="005B29F6"/>
    <w:rsid w:val="005B3943"/>
    <w:rsid w:val="005B3C87"/>
    <w:rsid w:val="005B486B"/>
    <w:rsid w:val="005B5CCD"/>
    <w:rsid w:val="005B5EA3"/>
    <w:rsid w:val="005B695C"/>
    <w:rsid w:val="005B720B"/>
    <w:rsid w:val="005B778D"/>
    <w:rsid w:val="005B7A32"/>
    <w:rsid w:val="005B7B7E"/>
    <w:rsid w:val="005B7C83"/>
    <w:rsid w:val="005C1034"/>
    <w:rsid w:val="005C118C"/>
    <w:rsid w:val="005C1B89"/>
    <w:rsid w:val="005C2079"/>
    <w:rsid w:val="005C22C2"/>
    <w:rsid w:val="005C2868"/>
    <w:rsid w:val="005C3B3E"/>
    <w:rsid w:val="005C51E3"/>
    <w:rsid w:val="005C5A3D"/>
    <w:rsid w:val="005C602A"/>
    <w:rsid w:val="005C6E85"/>
    <w:rsid w:val="005C7672"/>
    <w:rsid w:val="005C768F"/>
    <w:rsid w:val="005C7C02"/>
    <w:rsid w:val="005D0926"/>
    <w:rsid w:val="005D0B45"/>
    <w:rsid w:val="005D1176"/>
    <w:rsid w:val="005D1239"/>
    <w:rsid w:val="005D1258"/>
    <w:rsid w:val="005D1730"/>
    <w:rsid w:val="005D1A8D"/>
    <w:rsid w:val="005D2194"/>
    <w:rsid w:val="005D3929"/>
    <w:rsid w:val="005D3964"/>
    <w:rsid w:val="005D45DC"/>
    <w:rsid w:val="005D469C"/>
    <w:rsid w:val="005D4E92"/>
    <w:rsid w:val="005D52BC"/>
    <w:rsid w:val="005D563F"/>
    <w:rsid w:val="005D5E5E"/>
    <w:rsid w:val="005D629A"/>
    <w:rsid w:val="005D6FC0"/>
    <w:rsid w:val="005D770F"/>
    <w:rsid w:val="005D7A76"/>
    <w:rsid w:val="005E05F9"/>
    <w:rsid w:val="005E0C10"/>
    <w:rsid w:val="005E0D31"/>
    <w:rsid w:val="005E0D84"/>
    <w:rsid w:val="005E13AA"/>
    <w:rsid w:val="005E170C"/>
    <w:rsid w:val="005E1F63"/>
    <w:rsid w:val="005E20A1"/>
    <w:rsid w:val="005E2949"/>
    <w:rsid w:val="005E3331"/>
    <w:rsid w:val="005E377E"/>
    <w:rsid w:val="005E4379"/>
    <w:rsid w:val="005E468A"/>
    <w:rsid w:val="005E4887"/>
    <w:rsid w:val="005E4FD6"/>
    <w:rsid w:val="005E56F8"/>
    <w:rsid w:val="005E57B2"/>
    <w:rsid w:val="005E5AC9"/>
    <w:rsid w:val="005E645A"/>
    <w:rsid w:val="005E6582"/>
    <w:rsid w:val="005E6B0D"/>
    <w:rsid w:val="005E6CB6"/>
    <w:rsid w:val="005E6D50"/>
    <w:rsid w:val="005E7759"/>
    <w:rsid w:val="005E7C74"/>
    <w:rsid w:val="005E7CCA"/>
    <w:rsid w:val="005E7FBC"/>
    <w:rsid w:val="005F0580"/>
    <w:rsid w:val="005F0D52"/>
    <w:rsid w:val="005F0D7D"/>
    <w:rsid w:val="005F16D0"/>
    <w:rsid w:val="005F1D8C"/>
    <w:rsid w:val="005F2077"/>
    <w:rsid w:val="005F21AD"/>
    <w:rsid w:val="005F2714"/>
    <w:rsid w:val="005F2AED"/>
    <w:rsid w:val="005F2CDB"/>
    <w:rsid w:val="005F4523"/>
    <w:rsid w:val="005F4733"/>
    <w:rsid w:val="005F4A74"/>
    <w:rsid w:val="005F4B9C"/>
    <w:rsid w:val="005F4CBC"/>
    <w:rsid w:val="005F4CDA"/>
    <w:rsid w:val="005F551D"/>
    <w:rsid w:val="005F5BC8"/>
    <w:rsid w:val="005F7541"/>
    <w:rsid w:val="005F7868"/>
    <w:rsid w:val="00600990"/>
    <w:rsid w:val="0060143E"/>
    <w:rsid w:val="00602AFF"/>
    <w:rsid w:val="00604DF8"/>
    <w:rsid w:val="00605BFC"/>
    <w:rsid w:val="00606095"/>
    <w:rsid w:val="00607365"/>
    <w:rsid w:val="0060784F"/>
    <w:rsid w:val="006078B2"/>
    <w:rsid w:val="00610770"/>
    <w:rsid w:val="006110D5"/>
    <w:rsid w:val="0061390C"/>
    <w:rsid w:val="00613B1A"/>
    <w:rsid w:val="00614BC5"/>
    <w:rsid w:val="00615811"/>
    <w:rsid w:val="00616050"/>
    <w:rsid w:val="00616136"/>
    <w:rsid w:val="006166CE"/>
    <w:rsid w:val="00616AB2"/>
    <w:rsid w:val="006170AB"/>
    <w:rsid w:val="00617345"/>
    <w:rsid w:val="00617920"/>
    <w:rsid w:val="006209BA"/>
    <w:rsid w:val="00620DF9"/>
    <w:rsid w:val="006217FF"/>
    <w:rsid w:val="00622641"/>
    <w:rsid w:val="006237EB"/>
    <w:rsid w:val="00623EF5"/>
    <w:rsid w:val="006242D4"/>
    <w:rsid w:val="006247B6"/>
    <w:rsid w:val="00630095"/>
    <w:rsid w:val="006307F4"/>
    <w:rsid w:val="00630DF3"/>
    <w:rsid w:val="00631765"/>
    <w:rsid w:val="0063260D"/>
    <w:rsid w:val="00632A72"/>
    <w:rsid w:val="00632D57"/>
    <w:rsid w:val="00633AEB"/>
    <w:rsid w:val="00633D00"/>
    <w:rsid w:val="0063591B"/>
    <w:rsid w:val="00635B5D"/>
    <w:rsid w:val="0063684E"/>
    <w:rsid w:val="00636D8D"/>
    <w:rsid w:val="00637247"/>
    <w:rsid w:val="00637AE1"/>
    <w:rsid w:val="0064041F"/>
    <w:rsid w:val="00640472"/>
    <w:rsid w:val="00640950"/>
    <w:rsid w:val="00640E48"/>
    <w:rsid w:val="006426F8"/>
    <w:rsid w:val="006428B0"/>
    <w:rsid w:val="00642923"/>
    <w:rsid w:val="006429B7"/>
    <w:rsid w:val="00642A6C"/>
    <w:rsid w:val="006433F4"/>
    <w:rsid w:val="0064342F"/>
    <w:rsid w:val="006438C7"/>
    <w:rsid w:val="00643EFB"/>
    <w:rsid w:val="006440C5"/>
    <w:rsid w:val="006448BB"/>
    <w:rsid w:val="00644BCE"/>
    <w:rsid w:val="00644D96"/>
    <w:rsid w:val="00646577"/>
    <w:rsid w:val="0064683D"/>
    <w:rsid w:val="006468D8"/>
    <w:rsid w:val="0064719D"/>
    <w:rsid w:val="00647759"/>
    <w:rsid w:val="006477A2"/>
    <w:rsid w:val="00647DA6"/>
    <w:rsid w:val="00647DD8"/>
    <w:rsid w:val="0065047F"/>
    <w:rsid w:val="00650619"/>
    <w:rsid w:val="00650764"/>
    <w:rsid w:val="006509F8"/>
    <w:rsid w:val="00650C68"/>
    <w:rsid w:val="00650CFD"/>
    <w:rsid w:val="0065217D"/>
    <w:rsid w:val="00652289"/>
    <w:rsid w:val="0065267B"/>
    <w:rsid w:val="00652919"/>
    <w:rsid w:val="00652C49"/>
    <w:rsid w:val="00652EC4"/>
    <w:rsid w:val="00653088"/>
    <w:rsid w:val="00653BA6"/>
    <w:rsid w:val="00654F35"/>
    <w:rsid w:val="00655B89"/>
    <w:rsid w:val="00655DE8"/>
    <w:rsid w:val="00656717"/>
    <w:rsid w:val="00656731"/>
    <w:rsid w:val="00656FD7"/>
    <w:rsid w:val="00661742"/>
    <w:rsid w:val="00662D1C"/>
    <w:rsid w:val="00663C7A"/>
    <w:rsid w:val="00663C99"/>
    <w:rsid w:val="006649E5"/>
    <w:rsid w:val="00664C0A"/>
    <w:rsid w:val="0066529F"/>
    <w:rsid w:val="00665B48"/>
    <w:rsid w:val="006662E4"/>
    <w:rsid w:val="00666BCD"/>
    <w:rsid w:val="00672123"/>
    <w:rsid w:val="006722F5"/>
    <w:rsid w:val="00672B0B"/>
    <w:rsid w:val="00672B6A"/>
    <w:rsid w:val="00672F47"/>
    <w:rsid w:val="006739D8"/>
    <w:rsid w:val="00673CA2"/>
    <w:rsid w:val="00675674"/>
    <w:rsid w:val="0067628E"/>
    <w:rsid w:val="006763B0"/>
    <w:rsid w:val="006767E5"/>
    <w:rsid w:val="00676B11"/>
    <w:rsid w:val="006771A7"/>
    <w:rsid w:val="0067778C"/>
    <w:rsid w:val="00677ACA"/>
    <w:rsid w:val="00677D26"/>
    <w:rsid w:val="006803DE"/>
    <w:rsid w:val="00680941"/>
    <w:rsid w:val="00680D32"/>
    <w:rsid w:val="0068190A"/>
    <w:rsid w:val="00681B9E"/>
    <w:rsid w:val="0068298C"/>
    <w:rsid w:val="006836F9"/>
    <w:rsid w:val="006841DC"/>
    <w:rsid w:val="00684C81"/>
    <w:rsid w:val="006857D8"/>
    <w:rsid w:val="00685F4B"/>
    <w:rsid w:val="00686043"/>
    <w:rsid w:val="00686357"/>
    <w:rsid w:val="006873C7"/>
    <w:rsid w:val="00687ECC"/>
    <w:rsid w:val="00690083"/>
    <w:rsid w:val="00691B19"/>
    <w:rsid w:val="00692535"/>
    <w:rsid w:val="00692B19"/>
    <w:rsid w:val="00692B6E"/>
    <w:rsid w:val="00692CD6"/>
    <w:rsid w:val="00692FF7"/>
    <w:rsid w:val="00693183"/>
    <w:rsid w:val="00693293"/>
    <w:rsid w:val="00693ABF"/>
    <w:rsid w:val="00693D65"/>
    <w:rsid w:val="00694170"/>
    <w:rsid w:val="0069452C"/>
    <w:rsid w:val="0069481B"/>
    <w:rsid w:val="00695335"/>
    <w:rsid w:val="0069572C"/>
    <w:rsid w:val="0069586A"/>
    <w:rsid w:val="00695E42"/>
    <w:rsid w:val="00695F63"/>
    <w:rsid w:val="006961FD"/>
    <w:rsid w:val="00696463"/>
    <w:rsid w:val="00696610"/>
    <w:rsid w:val="00696897"/>
    <w:rsid w:val="00696F09"/>
    <w:rsid w:val="00697274"/>
    <w:rsid w:val="006972B0"/>
    <w:rsid w:val="00697949"/>
    <w:rsid w:val="006979C2"/>
    <w:rsid w:val="006A0874"/>
    <w:rsid w:val="006A0C5B"/>
    <w:rsid w:val="006A0FE7"/>
    <w:rsid w:val="006A1085"/>
    <w:rsid w:val="006A15B9"/>
    <w:rsid w:val="006A15D6"/>
    <w:rsid w:val="006A1BBF"/>
    <w:rsid w:val="006A235E"/>
    <w:rsid w:val="006A340C"/>
    <w:rsid w:val="006A392E"/>
    <w:rsid w:val="006A3D1F"/>
    <w:rsid w:val="006A4960"/>
    <w:rsid w:val="006A4CF7"/>
    <w:rsid w:val="006A50B1"/>
    <w:rsid w:val="006A52CE"/>
    <w:rsid w:val="006A59C8"/>
    <w:rsid w:val="006A5A3A"/>
    <w:rsid w:val="006A65A7"/>
    <w:rsid w:val="006A704C"/>
    <w:rsid w:val="006A7116"/>
    <w:rsid w:val="006A719A"/>
    <w:rsid w:val="006A7357"/>
    <w:rsid w:val="006A7382"/>
    <w:rsid w:val="006A7431"/>
    <w:rsid w:val="006B0631"/>
    <w:rsid w:val="006B1061"/>
    <w:rsid w:val="006B11EF"/>
    <w:rsid w:val="006B2822"/>
    <w:rsid w:val="006B3550"/>
    <w:rsid w:val="006B554C"/>
    <w:rsid w:val="006B59C8"/>
    <w:rsid w:val="006B59CE"/>
    <w:rsid w:val="006B6636"/>
    <w:rsid w:val="006C0645"/>
    <w:rsid w:val="006C0C4A"/>
    <w:rsid w:val="006C28E0"/>
    <w:rsid w:val="006C32B5"/>
    <w:rsid w:val="006C35D0"/>
    <w:rsid w:val="006C36EA"/>
    <w:rsid w:val="006C4493"/>
    <w:rsid w:val="006C46C1"/>
    <w:rsid w:val="006C47C3"/>
    <w:rsid w:val="006C4AAD"/>
    <w:rsid w:val="006C5247"/>
    <w:rsid w:val="006C5D7B"/>
    <w:rsid w:val="006C5E48"/>
    <w:rsid w:val="006C6228"/>
    <w:rsid w:val="006C748D"/>
    <w:rsid w:val="006D0595"/>
    <w:rsid w:val="006D0D0A"/>
    <w:rsid w:val="006D1290"/>
    <w:rsid w:val="006D133A"/>
    <w:rsid w:val="006D13B2"/>
    <w:rsid w:val="006D19F3"/>
    <w:rsid w:val="006D1A83"/>
    <w:rsid w:val="006D203E"/>
    <w:rsid w:val="006D53EC"/>
    <w:rsid w:val="006D57D7"/>
    <w:rsid w:val="006D5E85"/>
    <w:rsid w:val="006D6495"/>
    <w:rsid w:val="006D6CF6"/>
    <w:rsid w:val="006D7430"/>
    <w:rsid w:val="006D78A7"/>
    <w:rsid w:val="006D7F44"/>
    <w:rsid w:val="006D7F55"/>
    <w:rsid w:val="006E0399"/>
    <w:rsid w:val="006E1038"/>
    <w:rsid w:val="006E18AC"/>
    <w:rsid w:val="006E1AA7"/>
    <w:rsid w:val="006E1D7C"/>
    <w:rsid w:val="006E26C1"/>
    <w:rsid w:val="006E280E"/>
    <w:rsid w:val="006E301C"/>
    <w:rsid w:val="006E3C9B"/>
    <w:rsid w:val="006E41F5"/>
    <w:rsid w:val="006E43A6"/>
    <w:rsid w:val="006E5824"/>
    <w:rsid w:val="006E5A22"/>
    <w:rsid w:val="006E6CBC"/>
    <w:rsid w:val="006E6F98"/>
    <w:rsid w:val="006F19BC"/>
    <w:rsid w:val="006F1B3E"/>
    <w:rsid w:val="006F1D08"/>
    <w:rsid w:val="006F223E"/>
    <w:rsid w:val="006F2473"/>
    <w:rsid w:val="006F2A75"/>
    <w:rsid w:val="006F2B3E"/>
    <w:rsid w:val="006F2F79"/>
    <w:rsid w:val="006F2FA1"/>
    <w:rsid w:val="006F3081"/>
    <w:rsid w:val="006F396A"/>
    <w:rsid w:val="006F3D38"/>
    <w:rsid w:val="006F43D7"/>
    <w:rsid w:val="006F4E26"/>
    <w:rsid w:val="006F4F6C"/>
    <w:rsid w:val="006F52AD"/>
    <w:rsid w:val="006F52D2"/>
    <w:rsid w:val="006F569E"/>
    <w:rsid w:val="006F575D"/>
    <w:rsid w:val="006F5C58"/>
    <w:rsid w:val="006F7A9D"/>
    <w:rsid w:val="0070007B"/>
    <w:rsid w:val="00700A84"/>
    <w:rsid w:val="00701C5C"/>
    <w:rsid w:val="00701E7C"/>
    <w:rsid w:val="00701FB5"/>
    <w:rsid w:val="007021D9"/>
    <w:rsid w:val="00702468"/>
    <w:rsid w:val="00704025"/>
    <w:rsid w:val="00704931"/>
    <w:rsid w:val="0070497A"/>
    <w:rsid w:val="00705B9C"/>
    <w:rsid w:val="00706017"/>
    <w:rsid w:val="0070626D"/>
    <w:rsid w:val="00706501"/>
    <w:rsid w:val="0070655A"/>
    <w:rsid w:val="007065E2"/>
    <w:rsid w:val="007068F9"/>
    <w:rsid w:val="00706AFF"/>
    <w:rsid w:val="00706D62"/>
    <w:rsid w:val="00707AAF"/>
    <w:rsid w:val="0071081D"/>
    <w:rsid w:val="007111CC"/>
    <w:rsid w:val="0071172C"/>
    <w:rsid w:val="00712BCE"/>
    <w:rsid w:val="00713310"/>
    <w:rsid w:val="0071345A"/>
    <w:rsid w:val="00713907"/>
    <w:rsid w:val="00713FEC"/>
    <w:rsid w:val="0071401F"/>
    <w:rsid w:val="007145FA"/>
    <w:rsid w:val="0071515E"/>
    <w:rsid w:val="007151CE"/>
    <w:rsid w:val="00715289"/>
    <w:rsid w:val="00715C77"/>
    <w:rsid w:val="007167EF"/>
    <w:rsid w:val="00716936"/>
    <w:rsid w:val="00717040"/>
    <w:rsid w:val="00717A19"/>
    <w:rsid w:val="00717EFD"/>
    <w:rsid w:val="00717FF7"/>
    <w:rsid w:val="00720040"/>
    <w:rsid w:val="0072011A"/>
    <w:rsid w:val="00720264"/>
    <w:rsid w:val="00720E6B"/>
    <w:rsid w:val="007213BB"/>
    <w:rsid w:val="00721EA0"/>
    <w:rsid w:val="00722E64"/>
    <w:rsid w:val="007232F7"/>
    <w:rsid w:val="007246A4"/>
    <w:rsid w:val="00724A42"/>
    <w:rsid w:val="007262D2"/>
    <w:rsid w:val="007263C2"/>
    <w:rsid w:val="00730266"/>
    <w:rsid w:val="007309A5"/>
    <w:rsid w:val="00730DDC"/>
    <w:rsid w:val="007313C2"/>
    <w:rsid w:val="007316EE"/>
    <w:rsid w:val="007325E4"/>
    <w:rsid w:val="00732F40"/>
    <w:rsid w:val="007334C9"/>
    <w:rsid w:val="00733626"/>
    <w:rsid w:val="0073376F"/>
    <w:rsid w:val="00733D16"/>
    <w:rsid w:val="0073410A"/>
    <w:rsid w:val="007350B4"/>
    <w:rsid w:val="00735FC6"/>
    <w:rsid w:val="007367D7"/>
    <w:rsid w:val="007378AB"/>
    <w:rsid w:val="007407BF"/>
    <w:rsid w:val="007408C9"/>
    <w:rsid w:val="00740AA7"/>
    <w:rsid w:val="00740B01"/>
    <w:rsid w:val="0074127C"/>
    <w:rsid w:val="0074146D"/>
    <w:rsid w:val="00741720"/>
    <w:rsid w:val="00741741"/>
    <w:rsid w:val="00741953"/>
    <w:rsid w:val="00741B6E"/>
    <w:rsid w:val="00741C4B"/>
    <w:rsid w:val="00741E7F"/>
    <w:rsid w:val="007427C5"/>
    <w:rsid w:val="00742D79"/>
    <w:rsid w:val="00742D9E"/>
    <w:rsid w:val="0074360D"/>
    <w:rsid w:val="00743621"/>
    <w:rsid w:val="007448FF"/>
    <w:rsid w:val="00745D4F"/>
    <w:rsid w:val="00746052"/>
    <w:rsid w:val="00746A9A"/>
    <w:rsid w:val="00750620"/>
    <w:rsid w:val="00750F72"/>
    <w:rsid w:val="00751CD1"/>
    <w:rsid w:val="0075213E"/>
    <w:rsid w:val="00752BE5"/>
    <w:rsid w:val="00752BED"/>
    <w:rsid w:val="0075308C"/>
    <w:rsid w:val="007533F6"/>
    <w:rsid w:val="00753530"/>
    <w:rsid w:val="00753F31"/>
    <w:rsid w:val="00755206"/>
    <w:rsid w:val="00755396"/>
    <w:rsid w:val="0075579D"/>
    <w:rsid w:val="00755A1D"/>
    <w:rsid w:val="00755D74"/>
    <w:rsid w:val="00756207"/>
    <w:rsid w:val="007576BE"/>
    <w:rsid w:val="00757EAC"/>
    <w:rsid w:val="0076027F"/>
    <w:rsid w:val="00760765"/>
    <w:rsid w:val="00760BAB"/>
    <w:rsid w:val="00760DCD"/>
    <w:rsid w:val="007615BB"/>
    <w:rsid w:val="00762273"/>
    <w:rsid w:val="00763B39"/>
    <w:rsid w:val="00763C85"/>
    <w:rsid w:val="007640AC"/>
    <w:rsid w:val="007643E7"/>
    <w:rsid w:val="0076488D"/>
    <w:rsid w:val="007651BF"/>
    <w:rsid w:val="007659D2"/>
    <w:rsid w:val="00765BFA"/>
    <w:rsid w:val="0076614A"/>
    <w:rsid w:val="0076695A"/>
    <w:rsid w:val="00766C57"/>
    <w:rsid w:val="007673DF"/>
    <w:rsid w:val="00767974"/>
    <w:rsid w:val="00767ABB"/>
    <w:rsid w:val="00770FA8"/>
    <w:rsid w:val="007717CF"/>
    <w:rsid w:val="007722D0"/>
    <w:rsid w:val="00772332"/>
    <w:rsid w:val="00772B20"/>
    <w:rsid w:val="0077355B"/>
    <w:rsid w:val="0077369B"/>
    <w:rsid w:val="007737AB"/>
    <w:rsid w:val="007738E2"/>
    <w:rsid w:val="0077415D"/>
    <w:rsid w:val="00775174"/>
    <w:rsid w:val="007751AA"/>
    <w:rsid w:val="00775583"/>
    <w:rsid w:val="0077627F"/>
    <w:rsid w:val="00776FC8"/>
    <w:rsid w:val="007775E4"/>
    <w:rsid w:val="00777601"/>
    <w:rsid w:val="0077764C"/>
    <w:rsid w:val="00777BDA"/>
    <w:rsid w:val="00781204"/>
    <w:rsid w:val="00781319"/>
    <w:rsid w:val="0078152C"/>
    <w:rsid w:val="0078188C"/>
    <w:rsid w:val="00781C64"/>
    <w:rsid w:val="007820EC"/>
    <w:rsid w:val="00782AB7"/>
    <w:rsid w:val="00782D36"/>
    <w:rsid w:val="00783DF2"/>
    <w:rsid w:val="00783E10"/>
    <w:rsid w:val="00784344"/>
    <w:rsid w:val="007844EB"/>
    <w:rsid w:val="0078482E"/>
    <w:rsid w:val="007853B1"/>
    <w:rsid w:val="007854F2"/>
    <w:rsid w:val="00785D1E"/>
    <w:rsid w:val="0078690F"/>
    <w:rsid w:val="007873DE"/>
    <w:rsid w:val="00787E2E"/>
    <w:rsid w:val="00790181"/>
    <w:rsid w:val="007902B6"/>
    <w:rsid w:val="00791134"/>
    <w:rsid w:val="007918BA"/>
    <w:rsid w:val="0079249E"/>
    <w:rsid w:val="0079292E"/>
    <w:rsid w:val="00793065"/>
    <w:rsid w:val="00795439"/>
    <w:rsid w:val="007962DA"/>
    <w:rsid w:val="00796401"/>
    <w:rsid w:val="00796792"/>
    <w:rsid w:val="0079687C"/>
    <w:rsid w:val="00796DF3"/>
    <w:rsid w:val="00796E0A"/>
    <w:rsid w:val="00797D55"/>
    <w:rsid w:val="007A0165"/>
    <w:rsid w:val="007A11A6"/>
    <w:rsid w:val="007A1D9C"/>
    <w:rsid w:val="007A2041"/>
    <w:rsid w:val="007A226E"/>
    <w:rsid w:val="007A259C"/>
    <w:rsid w:val="007A2B04"/>
    <w:rsid w:val="007A2EAC"/>
    <w:rsid w:val="007A3D83"/>
    <w:rsid w:val="007A3EFA"/>
    <w:rsid w:val="007A4A5A"/>
    <w:rsid w:val="007A4A81"/>
    <w:rsid w:val="007A5AA8"/>
    <w:rsid w:val="007A5CC3"/>
    <w:rsid w:val="007A65A7"/>
    <w:rsid w:val="007A66C3"/>
    <w:rsid w:val="007A751D"/>
    <w:rsid w:val="007B0C2A"/>
    <w:rsid w:val="007B0FD9"/>
    <w:rsid w:val="007B1917"/>
    <w:rsid w:val="007B2C09"/>
    <w:rsid w:val="007B3E94"/>
    <w:rsid w:val="007B4116"/>
    <w:rsid w:val="007B4510"/>
    <w:rsid w:val="007B46AF"/>
    <w:rsid w:val="007B48D7"/>
    <w:rsid w:val="007B498D"/>
    <w:rsid w:val="007B520E"/>
    <w:rsid w:val="007B6639"/>
    <w:rsid w:val="007B6B5E"/>
    <w:rsid w:val="007C00B3"/>
    <w:rsid w:val="007C03E0"/>
    <w:rsid w:val="007C1F6B"/>
    <w:rsid w:val="007C1F91"/>
    <w:rsid w:val="007C1FF9"/>
    <w:rsid w:val="007C2068"/>
    <w:rsid w:val="007C2C22"/>
    <w:rsid w:val="007C2FB7"/>
    <w:rsid w:val="007C3920"/>
    <w:rsid w:val="007C3993"/>
    <w:rsid w:val="007C4015"/>
    <w:rsid w:val="007C4135"/>
    <w:rsid w:val="007C44F9"/>
    <w:rsid w:val="007C58F6"/>
    <w:rsid w:val="007C5D00"/>
    <w:rsid w:val="007C6128"/>
    <w:rsid w:val="007C61FF"/>
    <w:rsid w:val="007C64C6"/>
    <w:rsid w:val="007C695B"/>
    <w:rsid w:val="007C6C33"/>
    <w:rsid w:val="007C73F9"/>
    <w:rsid w:val="007C7787"/>
    <w:rsid w:val="007D057D"/>
    <w:rsid w:val="007D0A6B"/>
    <w:rsid w:val="007D1437"/>
    <w:rsid w:val="007D1799"/>
    <w:rsid w:val="007D22B3"/>
    <w:rsid w:val="007D279A"/>
    <w:rsid w:val="007D3823"/>
    <w:rsid w:val="007D3AFD"/>
    <w:rsid w:val="007D3B77"/>
    <w:rsid w:val="007D3C8F"/>
    <w:rsid w:val="007D4509"/>
    <w:rsid w:val="007D4C4E"/>
    <w:rsid w:val="007D51B3"/>
    <w:rsid w:val="007D52A3"/>
    <w:rsid w:val="007D7070"/>
    <w:rsid w:val="007D7484"/>
    <w:rsid w:val="007D76B7"/>
    <w:rsid w:val="007D7CD2"/>
    <w:rsid w:val="007D7D87"/>
    <w:rsid w:val="007E0128"/>
    <w:rsid w:val="007E1330"/>
    <w:rsid w:val="007E21B4"/>
    <w:rsid w:val="007E22C3"/>
    <w:rsid w:val="007E2E81"/>
    <w:rsid w:val="007E34AA"/>
    <w:rsid w:val="007E3725"/>
    <w:rsid w:val="007E4284"/>
    <w:rsid w:val="007E430E"/>
    <w:rsid w:val="007E45D8"/>
    <w:rsid w:val="007E4EDF"/>
    <w:rsid w:val="007E6294"/>
    <w:rsid w:val="007E6AF2"/>
    <w:rsid w:val="007E7029"/>
    <w:rsid w:val="007E782B"/>
    <w:rsid w:val="007F043A"/>
    <w:rsid w:val="007F08E1"/>
    <w:rsid w:val="007F0B2D"/>
    <w:rsid w:val="007F0CFF"/>
    <w:rsid w:val="007F0F47"/>
    <w:rsid w:val="007F157C"/>
    <w:rsid w:val="007F20BF"/>
    <w:rsid w:val="007F26E6"/>
    <w:rsid w:val="007F27A0"/>
    <w:rsid w:val="007F27FD"/>
    <w:rsid w:val="007F379F"/>
    <w:rsid w:val="007F462D"/>
    <w:rsid w:val="007F4BD6"/>
    <w:rsid w:val="007F4C1C"/>
    <w:rsid w:val="007F52AE"/>
    <w:rsid w:val="007F64BD"/>
    <w:rsid w:val="007F6852"/>
    <w:rsid w:val="007F6B44"/>
    <w:rsid w:val="007F7067"/>
    <w:rsid w:val="0080060A"/>
    <w:rsid w:val="008006A3"/>
    <w:rsid w:val="00801F59"/>
    <w:rsid w:val="008045A8"/>
    <w:rsid w:val="00804B8C"/>
    <w:rsid w:val="00805EEC"/>
    <w:rsid w:val="008062E1"/>
    <w:rsid w:val="00806700"/>
    <w:rsid w:val="0081007F"/>
    <w:rsid w:val="0081107C"/>
    <w:rsid w:val="00811F87"/>
    <w:rsid w:val="00812C4E"/>
    <w:rsid w:val="008132EB"/>
    <w:rsid w:val="00813551"/>
    <w:rsid w:val="0081381D"/>
    <w:rsid w:val="00813E1E"/>
    <w:rsid w:val="00815160"/>
    <w:rsid w:val="008158E4"/>
    <w:rsid w:val="00816129"/>
    <w:rsid w:val="00820225"/>
    <w:rsid w:val="00820635"/>
    <w:rsid w:val="008207C8"/>
    <w:rsid w:val="008208A6"/>
    <w:rsid w:val="0082090D"/>
    <w:rsid w:val="00821AB2"/>
    <w:rsid w:val="0082248C"/>
    <w:rsid w:val="0082275D"/>
    <w:rsid w:val="00822BFC"/>
    <w:rsid w:val="00822D1A"/>
    <w:rsid w:val="0082312F"/>
    <w:rsid w:val="0082356E"/>
    <w:rsid w:val="008238B5"/>
    <w:rsid w:val="00823A4D"/>
    <w:rsid w:val="00824D51"/>
    <w:rsid w:val="008252C5"/>
    <w:rsid w:val="008255B5"/>
    <w:rsid w:val="008263BA"/>
    <w:rsid w:val="00826655"/>
    <w:rsid w:val="00826715"/>
    <w:rsid w:val="00826C1F"/>
    <w:rsid w:val="00830012"/>
    <w:rsid w:val="00830A60"/>
    <w:rsid w:val="00830E4A"/>
    <w:rsid w:val="0083116D"/>
    <w:rsid w:val="00832256"/>
    <w:rsid w:val="00832699"/>
    <w:rsid w:val="00832A20"/>
    <w:rsid w:val="0083306C"/>
    <w:rsid w:val="00833099"/>
    <w:rsid w:val="0083378D"/>
    <w:rsid w:val="00834790"/>
    <w:rsid w:val="008349B6"/>
    <w:rsid w:val="00834AD8"/>
    <w:rsid w:val="00834B2C"/>
    <w:rsid w:val="00834D3B"/>
    <w:rsid w:val="0083500F"/>
    <w:rsid w:val="00836764"/>
    <w:rsid w:val="008368AF"/>
    <w:rsid w:val="00836AE0"/>
    <w:rsid w:val="00836CF3"/>
    <w:rsid w:val="00837A5B"/>
    <w:rsid w:val="00837C5F"/>
    <w:rsid w:val="00840236"/>
    <w:rsid w:val="00840296"/>
    <w:rsid w:val="0084161F"/>
    <w:rsid w:val="00841824"/>
    <w:rsid w:val="00841C5C"/>
    <w:rsid w:val="00842212"/>
    <w:rsid w:val="008424FD"/>
    <w:rsid w:val="00842706"/>
    <w:rsid w:val="00842BBD"/>
    <w:rsid w:val="00842C39"/>
    <w:rsid w:val="00843346"/>
    <w:rsid w:val="008435F0"/>
    <w:rsid w:val="008436D2"/>
    <w:rsid w:val="00843D8E"/>
    <w:rsid w:val="00843F1F"/>
    <w:rsid w:val="00844CB9"/>
    <w:rsid w:val="00845131"/>
    <w:rsid w:val="00845646"/>
    <w:rsid w:val="00846313"/>
    <w:rsid w:val="00847238"/>
    <w:rsid w:val="0084738D"/>
    <w:rsid w:val="00847948"/>
    <w:rsid w:val="00847AC1"/>
    <w:rsid w:val="00847DA3"/>
    <w:rsid w:val="00850D52"/>
    <w:rsid w:val="0085175B"/>
    <w:rsid w:val="0085195B"/>
    <w:rsid w:val="00851B3F"/>
    <w:rsid w:val="00852E4C"/>
    <w:rsid w:val="00855962"/>
    <w:rsid w:val="00855A71"/>
    <w:rsid w:val="00856383"/>
    <w:rsid w:val="008566FF"/>
    <w:rsid w:val="0085688F"/>
    <w:rsid w:val="008568EE"/>
    <w:rsid w:val="00856CF0"/>
    <w:rsid w:val="00856DA7"/>
    <w:rsid w:val="00857811"/>
    <w:rsid w:val="00860713"/>
    <w:rsid w:val="00861F7B"/>
    <w:rsid w:val="00861FAA"/>
    <w:rsid w:val="00863352"/>
    <w:rsid w:val="00863436"/>
    <w:rsid w:val="00863D4A"/>
    <w:rsid w:val="00864F22"/>
    <w:rsid w:val="008650DC"/>
    <w:rsid w:val="0086544F"/>
    <w:rsid w:val="00865E58"/>
    <w:rsid w:val="008667D6"/>
    <w:rsid w:val="008669C7"/>
    <w:rsid w:val="00866C9B"/>
    <w:rsid w:val="008672AF"/>
    <w:rsid w:val="0086730A"/>
    <w:rsid w:val="00867EE1"/>
    <w:rsid w:val="008700AB"/>
    <w:rsid w:val="00870607"/>
    <w:rsid w:val="008710D8"/>
    <w:rsid w:val="00871143"/>
    <w:rsid w:val="00871676"/>
    <w:rsid w:val="00871A85"/>
    <w:rsid w:val="00871F67"/>
    <w:rsid w:val="008721F2"/>
    <w:rsid w:val="00873648"/>
    <w:rsid w:val="008736EE"/>
    <w:rsid w:val="00873883"/>
    <w:rsid w:val="008741A4"/>
    <w:rsid w:val="00874235"/>
    <w:rsid w:val="00874CD9"/>
    <w:rsid w:val="008754D0"/>
    <w:rsid w:val="00875B13"/>
    <w:rsid w:val="00875E00"/>
    <w:rsid w:val="008765D9"/>
    <w:rsid w:val="00876AEB"/>
    <w:rsid w:val="00877796"/>
    <w:rsid w:val="00877F02"/>
    <w:rsid w:val="0088001E"/>
    <w:rsid w:val="008817E3"/>
    <w:rsid w:val="008818D8"/>
    <w:rsid w:val="00881ACB"/>
    <w:rsid w:val="00882EDA"/>
    <w:rsid w:val="008831AA"/>
    <w:rsid w:val="008832E4"/>
    <w:rsid w:val="008835A6"/>
    <w:rsid w:val="00883CCC"/>
    <w:rsid w:val="00884072"/>
    <w:rsid w:val="00884182"/>
    <w:rsid w:val="0088476C"/>
    <w:rsid w:val="008850A0"/>
    <w:rsid w:val="00886E69"/>
    <w:rsid w:val="008877D9"/>
    <w:rsid w:val="0089014A"/>
    <w:rsid w:val="008904B4"/>
    <w:rsid w:val="00891682"/>
    <w:rsid w:val="00891FD1"/>
    <w:rsid w:val="008922F5"/>
    <w:rsid w:val="008935B8"/>
    <w:rsid w:val="008936D8"/>
    <w:rsid w:val="00894E3B"/>
    <w:rsid w:val="00895EE7"/>
    <w:rsid w:val="00896243"/>
    <w:rsid w:val="00896343"/>
    <w:rsid w:val="0089646B"/>
    <w:rsid w:val="00896AE4"/>
    <w:rsid w:val="00896B98"/>
    <w:rsid w:val="00896E2F"/>
    <w:rsid w:val="008973A8"/>
    <w:rsid w:val="008A09B0"/>
    <w:rsid w:val="008A09C4"/>
    <w:rsid w:val="008A15BF"/>
    <w:rsid w:val="008A24B5"/>
    <w:rsid w:val="008A2617"/>
    <w:rsid w:val="008A2970"/>
    <w:rsid w:val="008A2F8B"/>
    <w:rsid w:val="008A3B5B"/>
    <w:rsid w:val="008A4619"/>
    <w:rsid w:val="008A4F63"/>
    <w:rsid w:val="008A51E1"/>
    <w:rsid w:val="008A56B8"/>
    <w:rsid w:val="008A5C40"/>
    <w:rsid w:val="008A6858"/>
    <w:rsid w:val="008B000F"/>
    <w:rsid w:val="008B02C8"/>
    <w:rsid w:val="008B0851"/>
    <w:rsid w:val="008B0B01"/>
    <w:rsid w:val="008B0C68"/>
    <w:rsid w:val="008B0E97"/>
    <w:rsid w:val="008B1131"/>
    <w:rsid w:val="008B1397"/>
    <w:rsid w:val="008B1807"/>
    <w:rsid w:val="008B1DA2"/>
    <w:rsid w:val="008B26C8"/>
    <w:rsid w:val="008B2AB4"/>
    <w:rsid w:val="008B3906"/>
    <w:rsid w:val="008B3C0B"/>
    <w:rsid w:val="008B4348"/>
    <w:rsid w:val="008B4E17"/>
    <w:rsid w:val="008B55A2"/>
    <w:rsid w:val="008B560A"/>
    <w:rsid w:val="008B57EB"/>
    <w:rsid w:val="008B6480"/>
    <w:rsid w:val="008B65B9"/>
    <w:rsid w:val="008B7067"/>
    <w:rsid w:val="008B7BF8"/>
    <w:rsid w:val="008C0929"/>
    <w:rsid w:val="008C0EA0"/>
    <w:rsid w:val="008C10D3"/>
    <w:rsid w:val="008C1407"/>
    <w:rsid w:val="008C16D1"/>
    <w:rsid w:val="008C2491"/>
    <w:rsid w:val="008C28AB"/>
    <w:rsid w:val="008C2CC6"/>
    <w:rsid w:val="008C331D"/>
    <w:rsid w:val="008C33B2"/>
    <w:rsid w:val="008C361D"/>
    <w:rsid w:val="008C3B4A"/>
    <w:rsid w:val="008C3C3C"/>
    <w:rsid w:val="008C3C50"/>
    <w:rsid w:val="008C4750"/>
    <w:rsid w:val="008C5368"/>
    <w:rsid w:val="008C5B53"/>
    <w:rsid w:val="008C619D"/>
    <w:rsid w:val="008C6AEB"/>
    <w:rsid w:val="008C6F0C"/>
    <w:rsid w:val="008C712D"/>
    <w:rsid w:val="008C71B7"/>
    <w:rsid w:val="008D0608"/>
    <w:rsid w:val="008D08D1"/>
    <w:rsid w:val="008D0B64"/>
    <w:rsid w:val="008D0DDA"/>
    <w:rsid w:val="008D0E57"/>
    <w:rsid w:val="008D12C1"/>
    <w:rsid w:val="008D1456"/>
    <w:rsid w:val="008D1821"/>
    <w:rsid w:val="008D2974"/>
    <w:rsid w:val="008D2EB9"/>
    <w:rsid w:val="008D310D"/>
    <w:rsid w:val="008D3ADC"/>
    <w:rsid w:val="008D3E7B"/>
    <w:rsid w:val="008D3F0C"/>
    <w:rsid w:val="008D4631"/>
    <w:rsid w:val="008D540E"/>
    <w:rsid w:val="008D5891"/>
    <w:rsid w:val="008D757F"/>
    <w:rsid w:val="008D773F"/>
    <w:rsid w:val="008D774A"/>
    <w:rsid w:val="008D7D9A"/>
    <w:rsid w:val="008E0193"/>
    <w:rsid w:val="008E122F"/>
    <w:rsid w:val="008E1628"/>
    <w:rsid w:val="008E1E71"/>
    <w:rsid w:val="008E27AE"/>
    <w:rsid w:val="008E44DD"/>
    <w:rsid w:val="008E4B47"/>
    <w:rsid w:val="008E4B5F"/>
    <w:rsid w:val="008E5BB1"/>
    <w:rsid w:val="008E5BDF"/>
    <w:rsid w:val="008E5CCA"/>
    <w:rsid w:val="008E6132"/>
    <w:rsid w:val="008E6669"/>
    <w:rsid w:val="008F1FC2"/>
    <w:rsid w:val="008F30F1"/>
    <w:rsid w:val="008F360F"/>
    <w:rsid w:val="008F4005"/>
    <w:rsid w:val="008F43EC"/>
    <w:rsid w:val="008F5D3E"/>
    <w:rsid w:val="008F602A"/>
    <w:rsid w:val="008F6905"/>
    <w:rsid w:val="008F6B38"/>
    <w:rsid w:val="00900286"/>
    <w:rsid w:val="00900B3F"/>
    <w:rsid w:val="00900DBE"/>
    <w:rsid w:val="00900F6B"/>
    <w:rsid w:val="0090182D"/>
    <w:rsid w:val="00901880"/>
    <w:rsid w:val="00901A0B"/>
    <w:rsid w:val="009026C5"/>
    <w:rsid w:val="009026D3"/>
    <w:rsid w:val="00902770"/>
    <w:rsid w:val="0090308A"/>
    <w:rsid w:val="009030BC"/>
    <w:rsid w:val="00903863"/>
    <w:rsid w:val="009039B3"/>
    <w:rsid w:val="00903D49"/>
    <w:rsid w:val="009042C9"/>
    <w:rsid w:val="0090443A"/>
    <w:rsid w:val="009053FC"/>
    <w:rsid w:val="00905A1D"/>
    <w:rsid w:val="00906825"/>
    <w:rsid w:val="00906865"/>
    <w:rsid w:val="0090707E"/>
    <w:rsid w:val="0090733C"/>
    <w:rsid w:val="00907C7B"/>
    <w:rsid w:val="00907D1C"/>
    <w:rsid w:val="00907D8A"/>
    <w:rsid w:val="00910232"/>
    <w:rsid w:val="00911229"/>
    <w:rsid w:val="00911257"/>
    <w:rsid w:val="0091257C"/>
    <w:rsid w:val="00912F97"/>
    <w:rsid w:val="00913C10"/>
    <w:rsid w:val="00914183"/>
    <w:rsid w:val="00914263"/>
    <w:rsid w:val="00914944"/>
    <w:rsid w:val="00914C0A"/>
    <w:rsid w:val="00914E7B"/>
    <w:rsid w:val="00915D52"/>
    <w:rsid w:val="009160CC"/>
    <w:rsid w:val="00917BF2"/>
    <w:rsid w:val="00917D07"/>
    <w:rsid w:val="00917FCE"/>
    <w:rsid w:val="009203D3"/>
    <w:rsid w:val="00920859"/>
    <w:rsid w:val="009209C1"/>
    <w:rsid w:val="00920AFA"/>
    <w:rsid w:val="009210B4"/>
    <w:rsid w:val="00921C1B"/>
    <w:rsid w:val="0092282F"/>
    <w:rsid w:val="00922D91"/>
    <w:rsid w:val="009231C4"/>
    <w:rsid w:val="00923387"/>
    <w:rsid w:val="00923544"/>
    <w:rsid w:val="00923613"/>
    <w:rsid w:val="009244A8"/>
    <w:rsid w:val="009244F5"/>
    <w:rsid w:val="00924B6A"/>
    <w:rsid w:val="009265B1"/>
    <w:rsid w:val="0092660A"/>
    <w:rsid w:val="00926C77"/>
    <w:rsid w:val="00927AD7"/>
    <w:rsid w:val="00927DE9"/>
    <w:rsid w:val="00930076"/>
    <w:rsid w:val="009302E8"/>
    <w:rsid w:val="00930AEE"/>
    <w:rsid w:val="009314B6"/>
    <w:rsid w:val="00931AE8"/>
    <w:rsid w:val="009324DC"/>
    <w:rsid w:val="00932CC2"/>
    <w:rsid w:val="00932FEE"/>
    <w:rsid w:val="00934641"/>
    <w:rsid w:val="009352A8"/>
    <w:rsid w:val="00935403"/>
    <w:rsid w:val="00935B86"/>
    <w:rsid w:val="00935C7F"/>
    <w:rsid w:val="009364CF"/>
    <w:rsid w:val="00936E42"/>
    <w:rsid w:val="0093730A"/>
    <w:rsid w:val="00941EB0"/>
    <w:rsid w:val="009426F0"/>
    <w:rsid w:val="00942709"/>
    <w:rsid w:val="0094362E"/>
    <w:rsid w:val="00943B11"/>
    <w:rsid w:val="00943F29"/>
    <w:rsid w:val="00944A7F"/>
    <w:rsid w:val="009501CB"/>
    <w:rsid w:val="009523DB"/>
    <w:rsid w:val="00952BF8"/>
    <w:rsid w:val="0095318B"/>
    <w:rsid w:val="00953916"/>
    <w:rsid w:val="00954FC1"/>
    <w:rsid w:val="009554BF"/>
    <w:rsid w:val="009555DA"/>
    <w:rsid w:val="00955646"/>
    <w:rsid w:val="00955732"/>
    <w:rsid w:val="00955C9E"/>
    <w:rsid w:val="009564D7"/>
    <w:rsid w:val="00957563"/>
    <w:rsid w:val="00957F7D"/>
    <w:rsid w:val="009601E5"/>
    <w:rsid w:val="0096066A"/>
    <w:rsid w:val="009611DB"/>
    <w:rsid w:val="00961FCB"/>
    <w:rsid w:val="0096232E"/>
    <w:rsid w:val="009625E4"/>
    <w:rsid w:val="009627DE"/>
    <w:rsid w:val="00962A02"/>
    <w:rsid w:val="00962FAE"/>
    <w:rsid w:val="009632ED"/>
    <w:rsid w:val="0096360A"/>
    <w:rsid w:val="00963DA9"/>
    <w:rsid w:val="009654C6"/>
    <w:rsid w:val="00965B80"/>
    <w:rsid w:val="00966301"/>
    <w:rsid w:val="00966A4A"/>
    <w:rsid w:val="00966D8B"/>
    <w:rsid w:val="00967E08"/>
    <w:rsid w:val="0097054D"/>
    <w:rsid w:val="009707A5"/>
    <w:rsid w:val="00971522"/>
    <w:rsid w:val="0097249A"/>
    <w:rsid w:val="00972AC4"/>
    <w:rsid w:val="0097397B"/>
    <w:rsid w:val="0097556A"/>
    <w:rsid w:val="00975B9B"/>
    <w:rsid w:val="00975D43"/>
    <w:rsid w:val="0097623A"/>
    <w:rsid w:val="009777E2"/>
    <w:rsid w:val="00977F55"/>
    <w:rsid w:val="00980C76"/>
    <w:rsid w:val="00980ECD"/>
    <w:rsid w:val="00983B60"/>
    <w:rsid w:val="00983B99"/>
    <w:rsid w:val="00983D85"/>
    <w:rsid w:val="009840F3"/>
    <w:rsid w:val="0098512E"/>
    <w:rsid w:val="00985142"/>
    <w:rsid w:val="00986366"/>
    <w:rsid w:val="00986E8C"/>
    <w:rsid w:val="0098705B"/>
    <w:rsid w:val="009877DC"/>
    <w:rsid w:val="00987B4E"/>
    <w:rsid w:val="00990313"/>
    <w:rsid w:val="00990A3E"/>
    <w:rsid w:val="00990BA1"/>
    <w:rsid w:val="00990DE6"/>
    <w:rsid w:val="009921AA"/>
    <w:rsid w:val="00992458"/>
    <w:rsid w:val="00992E39"/>
    <w:rsid w:val="00994075"/>
    <w:rsid w:val="00995D03"/>
    <w:rsid w:val="00996065"/>
    <w:rsid w:val="00996E6D"/>
    <w:rsid w:val="009A0E99"/>
    <w:rsid w:val="009A0F5D"/>
    <w:rsid w:val="009A17BE"/>
    <w:rsid w:val="009A1F69"/>
    <w:rsid w:val="009A2315"/>
    <w:rsid w:val="009A239B"/>
    <w:rsid w:val="009A3DC8"/>
    <w:rsid w:val="009A406C"/>
    <w:rsid w:val="009A4749"/>
    <w:rsid w:val="009A49BC"/>
    <w:rsid w:val="009A5323"/>
    <w:rsid w:val="009A5A3A"/>
    <w:rsid w:val="009A63DC"/>
    <w:rsid w:val="009A6C9F"/>
    <w:rsid w:val="009A7361"/>
    <w:rsid w:val="009B031B"/>
    <w:rsid w:val="009B10AF"/>
    <w:rsid w:val="009B1164"/>
    <w:rsid w:val="009B19B2"/>
    <w:rsid w:val="009B1F92"/>
    <w:rsid w:val="009B20F9"/>
    <w:rsid w:val="009B2C98"/>
    <w:rsid w:val="009B2E25"/>
    <w:rsid w:val="009B3496"/>
    <w:rsid w:val="009B3737"/>
    <w:rsid w:val="009B39BD"/>
    <w:rsid w:val="009B3C34"/>
    <w:rsid w:val="009B3D6E"/>
    <w:rsid w:val="009B4F32"/>
    <w:rsid w:val="009B4F3A"/>
    <w:rsid w:val="009B5759"/>
    <w:rsid w:val="009B6B35"/>
    <w:rsid w:val="009B6D7C"/>
    <w:rsid w:val="009B6ED1"/>
    <w:rsid w:val="009B6FEC"/>
    <w:rsid w:val="009B7493"/>
    <w:rsid w:val="009B7FAA"/>
    <w:rsid w:val="009C0847"/>
    <w:rsid w:val="009C0D93"/>
    <w:rsid w:val="009C1357"/>
    <w:rsid w:val="009C1763"/>
    <w:rsid w:val="009C1998"/>
    <w:rsid w:val="009C1D2C"/>
    <w:rsid w:val="009C2022"/>
    <w:rsid w:val="009C225E"/>
    <w:rsid w:val="009C274A"/>
    <w:rsid w:val="009C2AC0"/>
    <w:rsid w:val="009C3435"/>
    <w:rsid w:val="009C4120"/>
    <w:rsid w:val="009C51AB"/>
    <w:rsid w:val="009C5301"/>
    <w:rsid w:val="009C5A3E"/>
    <w:rsid w:val="009C5A77"/>
    <w:rsid w:val="009C6339"/>
    <w:rsid w:val="009C65C1"/>
    <w:rsid w:val="009D0FA6"/>
    <w:rsid w:val="009D148A"/>
    <w:rsid w:val="009D1A6C"/>
    <w:rsid w:val="009D1DC9"/>
    <w:rsid w:val="009D2783"/>
    <w:rsid w:val="009D28F1"/>
    <w:rsid w:val="009D2DDC"/>
    <w:rsid w:val="009D3E3A"/>
    <w:rsid w:val="009D436D"/>
    <w:rsid w:val="009D4CE6"/>
    <w:rsid w:val="009D55B2"/>
    <w:rsid w:val="009D5795"/>
    <w:rsid w:val="009D60FB"/>
    <w:rsid w:val="009D6A3C"/>
    <w:rsid w:val="009D7487"/>
    <w:rsid w:val="009D7E01"/>
    <w:rsid w:val="009D7E5C"/>
    <w:rsid w:val="009E03DB"/>
    <w:rsid w:val="009E1585"/>
    <w:rsid w:val="009E15B4"/>
    <w:rsid w:val="009E1A4B"/>
    <w:rsid w:val="009E1DD6"/>
    <w:rsid w:val="009E35F7"/>
    <w:rsid w:val="009E4107"/>
    <w:rsid w:val="009E48C1"/>
    <w:rsid w:val="009E4C23"/>
    <w:rsid w:val="009E54DB"/>
    <w:rsid w:val="009E55D3"/>
    <w:rsid w:val="009E5E33"/>
    <w:rsid w:val="009E60F7"/>
    <w:rsid w:val="009E65B1"/>
    <w:rsid w:val="009E6780"/>
    <w:rsid w:val="009E6854"/>
    <w:rsid w:val="009E72E5"/>
    <w:rsid w:val="009E7487"/>
    <w:rsid w:val="009E75CE"/>
    <w:rsid w:val="009F0535"/>
    <w:rsid w:val="009F064F"/>
    <w:rsid w:val="009F06FE"/>
    <w:rsid w:val="009F17C5"/>
    <w:rsid w:val="009F1E46"/>
    <w:rsid w:val="009F255E"/>
    <w:rsid w:val="009F2DF8"/>
    <w:rsid w:val="009F3343"/>
    <w:rsid w:val="009F3CED"/>
    <w:rsid w:val="009F400F"/>
    <w:rsid w:val="009F40AD"/>
    <w:rsid w:val="009F480F"/>
    <w:rsid w:val="009F4F47"/>
    <w:rsid w:val="009F521A"/>
    <w:rsid w:val="009F55C9"/>
    <w:rsid w:val="009F5CFC"/>
    <w:rsid w:val="009F65FD"/>
    <w:rsid w:val="009F6D31"/>
    <w:rsid w:val="009F6DA9"/>
    <w:rsid w:val="00A001F6"/>
    <w:rsid w:val="00A01422"/>
    <w:rsid w:val="00A01558"/>
    <w:rsid w:val="00A01A97"/>
    <w:rsid w:val="00A02490"/>
    <w:rsid w:val="00A02516"/>
    <w:rsid w:val="00A03AA6"/>
    <w:rsid w:val="00A03D06"/>
    <w:rsid w:val="00A04018"/>
    <w:rsid w:val="00A04429"/>
    <w:rsid w:val="00A04588"/>
    <w:rsid w:val="00A04951"/>
    <w:rsid w:val="00A05B23"/>
    <w:rsid w:val="00A0706E"/>
    <w:rsid w:val="00A1075F"/>
    <w:rsid w:val="00A10849"/>
    <w:rsid w:val="00A12FDB"/>
    <w:rsid w:val="00A13792"/>
    <w:rsid w:val="00A13D07"/>
    <w:rsid w:val="00A14863"/>
    <w:rsid w:val="00A16863"/>
    <w:rsid w:val="00A172EE"/>
    <w:rsid w:val="00A1781F"/>
    <w:rsid w:val="00A17915"/>
    <w:rsid w:val="00A179C2"/>
    <w:rsid w:val="00A17D7A"/>
    <w:rsid w:val="00A17E91"/>
    <w:rsid w:val="00A20F23"/>
    <w:rsid w:val="00A2164D"/>
    <w:rsid w:val="00A21F76"/>
    <w:rsid w:val="00A22421"/>
    <w:rsid w:val="00A22B3C"/>
    <w:rsid w:val="00A22C9A"/>
    <w:rsid w:val="00A22D42"/>
    <w:rsid w:val="00A22D96"/>
    <w:rsid w:val="00A237CC"/>
    <w:rsid w:val="00A23817"/>
    <w:rsid w:val="00A23D6E"/>
    <w:rsid w:val="00A24C7F"/>
    <w:rsid w:val="00A26064"/>
    <w:rsid w:val="00A26279"/>
    <w:rsid w:val="00A26286"/>
    <w:rsid w:val="00A26D0C"/>
    <w:rsid w:val="00A26E21"/>
    <w:rsid w:val="00A26F32"/>
    <w:rsid w:val="00A2770E"/>
    <w:rsid w:val="00A279F4"/>
    <w:rsid w:val="00A30031"/>
    <w:rsid w:val="00A30A09"/>
    <w:rsid w:val="00A32F98"/>
    <w:rsid w:val="00A33643"/>
    <w:rsid w:val="00A339F0"/>
    <w:rsid w:val="00A33A0C"/>
    <w:rsid w:val="00A33C84"/>
    <w:rsid w:val="00A33F53"/>
    <w:rsid w:val="00A343F3"/>
    <w:rsid w:val="00A3501E"/>
    <w:rsid w:val="00A3545D"/>
    <w:rsid w:val="00A367D2"/>
    <w:rsid w:val="00A36B5C"/>
    <w:rsid w:val="00A37EFB"/>
    <w:rsid w:val="00A4027B"/>
    <w:rsid w:val="00A40C3E"/>
    <w:rsid w:val="00A418B2"/>
    <w:rsid w:val="00A42B6F"/>
    <w:rsid w:val="00A43524"/>
    <w:rsid w:val="00A43846"/>
    <w:rsid w:val="00A44ACB"/>
    <w:rsid w:val="00A451F3"/>
    <w:rsid w:val="00A45517"/>
    <w:rsid w:val="00A455C6"/>
    <w:rsid w:val="00A45972"/>
    <w:rsid w:val="00A45BDC"/>
    <w:rsid w:val="00A46262"/>
    <w:rsid w:val="00A46E37"/>
    <w:rsid w:val="00A4752E"/>
    <w:rsid w:val="00A478EF"/>
    <w:rsid w:val="00A47FA8"/>
    <w:rsid w:val="00A50A43"/>
    <w:rsid w:val="00A50FE1"/>
    <w:rsid w:val="00A519D8"/>
    <w:rsid w:val="00A51BF0"/>
    <w:rsid w:val="00A521B5"/>
    <w:rsid w:val="00A52553"/>
    <w:rsid w:val="00A53A8A"/>
    <w:rsid w:val="00A53B41"/>
    <w:rsid w:val="00A55F7A"/>
    <w:rsid w:val="00A56530"/>
    <w:rsid w:val="00A565BF"/>
    <w:rsid w:val="00A567BB"/>
    <w:rsid w:val="00A56B30"/>
    <w:rsid w:val="00A56BBB"/>
    <w:rsid w:val="00A5706A"/>
    <w:rsid w:val="00A61181"/>
    <w:rsid w:val="00A61BFB"/>
    <w:rsid w:val="00A61D16"/>
    <w:rsid w:val="00A626F2"/>
    <w:rsid w:val="00A6321B"/>
    <w:rsid w:val="00A63DEB"/>
    <w:rsid w:val="00A646BF"/>
    <w:rsid w:val="00A64813"/>
    <w:rsid w:val="00A659DF"/>
    <w:rsid w:val="00A664CB"/>
    <w:rsid w:val="00A673CD"/>
    <w:rsid w:val="00A675B6"/>
    <w:rsid w:val="00A676F2"/>
    <w:rsid w:val="00A67C15"/>
    <w:rsid w:val="00A70A86"/>
    <w:rsid w:val="00A7103B"/>
    <w:rsid w:val="00A71312"/>
    <w:rsid w:val="00A7160E"/>
    <w:rsid w:val="00A71683"/>
    <w:rsid w:val="00A717CD"/>
    <w:rsid w:val="00A72FFD"/>
    <w:rsid w:val="00A73384"/>
    <w:rsid w:val="00A74C0F"/>
    <w:rsid w:val="00A753BB"/>
    <w:rsid w:val="00A7557F"/>
    <w:rsid w:val="00A75862"/>
    <w:rsid w:val="00A77B4B"/>
    <w:rsid w:val="00A800BF"/>
    <w:rsid w:val="00A80374"/>
    <w:rsid w:val="00A80613"/>
    <w:rsid w:val="00A807A4"/>
    <w:rsid w:val="00A80C02"/>
    <w:rsid w:val="00A817B3"/>
    <w:rsid w:val="00A8200B"/>
    <w:rsid w:val="00A8277B"/>
    <w:rsid w:val="00A83740"/>
    <w:rsid w:val="00A83F1E"/>
    <w:rsid w:val="00A8402A"/>
    <w:rsid w:val="00A846DD"/>
    <w:rsid w:val="00A84C97"/>
    <w:rsid w:val="00A84D33"/>
    <w:rsid w:val="00A85157"/>
    <w:rsid w:val="00A85466"/>
    <w:rsid w:val="00A85969"/>
    <w:rsid w:val="00A861D3"/>
    <w:rsid w:val="00A86A7D"/>
    <w:rsid w:val="00A86DE1"/>
    <w:rsid w:val="00A86F79"/>
    <w:rsid w:val="00A874EA"/>
    <w:rsid w:val="00A87E00"/>
    <w:rsid w:val="00A9007D"/>
    <w:rsid w:val="00A90096"/>
    <w:rsid w:val="00A91A62"/>
    <w:rsid w:val="00A92153"/>
    <w:rsid w:val="00A92782"/>
    <w:rsid w:val="00A93AD2"/>
    <w:rsid w:val="00A94652"/>
    <w:rsid w:val="00A948B7"/>
    <w:rsid w:val="00A94D56"/>
    <w:rsid w:val="00A951CE"/>
    <w:rsid w:val="00A95E43"/>
    <w:rsid w:val="00A96205"/>
    <w:rsid w:val="00A96BEF"/>
    <w:rsid w:val="00AA040A"/>
    <w:rsid w:val="00AA08F6"/>
    <w:rsid w:val="00AA0990"/>
    <w:rsid w:val="00AA0F39"/>
    <w:rsid w:val="00AA18CF"/>
    <w:rsid w:val="00AA1D78"/>
    <w:rsid w:val="00AA24A8"/>
    <w:rsid w:val="00AA274A"/>
    <w:rsid w:val="00AA352E"/>
    <w:rsid w:val="00AA3DC5"/>
    <w:rsid w:val="00AA40CE"/>
    <w:rsid w:val="00AA5BB4"/>
    <w:rsid w:val="00AA6669"/>
    <w:rsid w:val="00AA683E"/>
    <w:rsid w:val="00AA6AAB"/>
    <w:rsid w:val="00AA7306"/>
    <w:rsid w:val="00AB0221"/>
    <w:rsid w:val="00AB0C0A"/>
    <w:rsid w:val="00AB0C1C"/>
    <w:rsid w:val="00AB0EE1"/>
    <w:rsid w:val="00AB0F65"/>
    <w:rsid w:val="00AB1A60"/>
    <w:rsid w:val="00AB24B9"/>
    <w:rsid w:val="00AB34FC"/>
    <w:rsid w:val="00AB3AA0"/>
    <w:rsid w:val="00AB3CA7"/>
    <w:rsid w:val="00AB4D70"/>
    <w:rsid w:val="00AB4E13"/>
    <w:rsid w:val="00AB4FC0"/>
    <w:rsid w:val="00AB5C5E"/>
    <w:rsid w:val="00AB5EAA"/>
    <w:rsid w:val="00AB5F8D"/>
    <w:rsid w:val="00AB6683"/>
    <w:rsid w:val="00AB6AE7"/>
    <w:rsid w:val="00AB6EF7"/>
    <w:rsid w:val="00AB7404"/>
    <w:rsid w:val="00AB77E4"/>
    <w:rsid w:val="00AC1399"/>
    <w:rsid w:val="00AC1627"/>
    <w:rsid w:val="00AC1682"/>
    <w:rsid w:val="00AC2F83"/>
    <w:rsid w:val="00AC343B"/>
    <w:rsid w:val="00AC3E49"/>
    <w:rsid w:val="00AC45D2"/>
    <w:rsid w:val="00AC4640"/>
    <w:rsid w:val="00AC53BB"/>
    <w:rsid w:val="00AC557E"/>
    <w:rsid w:val="00AC56A4"/>
    <w:rsid w:val="00AC6070"/>
    <w:rsid w:val="00AC60F4"/>
    <w:rsid w:val="00AC6307"/>
    <w:rsid w:val="00AC689E"/>
    <w:rsid w:val="00AC6E65"/>
    <w:rsid w:val="00AC767E"/>
    <w:rsid w:val="00AC781F"/>
    <w:rsid w:val="00AD00DA"/>
    <w:rsid w:val="00AD03BF"/>
    <w:rsid w:val="00AD0C19"/>
    <w:rsid w:val="00AD1041"/>
    <w:rsid w:val="00AD1506"/>
    <w:rsid w:val="00AD1F7D"/>
    <w:rsid w:val="00AD2499"/>
    <w:rsid w:val="00AD26E6"/>
    <w:rsid w:val="00AD2786"/>
    <w:rsid w:val="00AD2C4A"/>
    <w:rsid w:val="00AD3854"/>
    <w:rsid w:val="00AD4B46"/>
    <w:rsid w:val="00AD52C0"/>
    <w:rsid w:val="00AD54CA"/>
    <w:rsid w:val="00AD56FB"/>
    <w:rsid w:val="00AD5B03"/>
    <w:rsid w:val="00AD63C9"/>
    <w:rsid w:val="00AD6552"/>
    <w:rsid w:val="00AD7640"/>
    <w:rsid w:val="00AE09E1"/>
    <w:rsid w:val="00AE26B5"/>
    <w:rsid w:val="00AE3245"/>
    <w:rsid w:val="00AE3AC6"/>
    <w:rsid w:val="00AE4209"/>
    <w:rsid w:val="00AE496C"/>
    <w:rsid w:val="00AE4FBA"/>
    <w:rsid w:val="00AE55F8"/>
    <w:rsid w:val="00AE6E86"/>
    <w:rsid w:val="00AE6F72"/>
    <w:rsid w:val="00AE7032"/>
    <w:rsid w:val="00AE79A8"/>
    <w:rsid w:val="00AE7F0B"/>
    <w:rsid w:val="00AF0C36"/>
    <w:rsid w:val="00AF1126"/>
    <w:rsid w:val="00AF132A"/>
    <w:rsid w:val="00AF149F"/>
    <w:rsid w:val="00AF22C6"/>
    <w:rsid w:val="00AF29A9"/>
    <w:rsid w:val="00AF2A60"/>
    <w:rsid w:val="00AF2AAB"/>
    <w:rsid w:val="00AF41D8"/>
    <w:rsid w:val="00AF4CA3"/>
    <w:rsid w:val="00AF4D35"/>
    <w:rsid w:val="00AF5ACB"/>
    <w:rsid w:val="00AF624B"/>
    <w:rsid w:val="00AF6797"/>
    <w:rsid w:val="00AF7606"/>
    <w:rsid w:val="00AF783B"/>
    <w:rsid w:val="00B00203"/>
    <w:rsid w:val="00B0161F"/>
    <w:rsid w:val="00B01E4E"/>
    <w:rsid w:val="00B03021"/>
    <w:rsid w:val="00B0303A"/>
    <w:rsid w:val="00B034FC"/>
    <w:rsid w:val="00B03D11"/>
    <w:rsid w:val="00B03F19"/>
    <w:rsid w:val="00B03F9D"/>
    <w:rsid w:val="00B06248"/>
    <w:rsid w:val="00B067AF"/>
    <w:rsid w:val="00B068AC"/>
    <w:rsid w:val="00B06CC7"/>
    <w:rsid w:val="00B07222"/>
    <w:rsid w:val="00B07390"/>
    <w:rsid w:val="00B10B64"/>
    <w:rsid w:val="00B10FFF"/>
    <w:rsid w:val="00B1150B"/>
    <w:rsid w:val="00B11C14"/>
    <w:rsid w:val="00B11FFC"/>
    <w:rsid w:val="00B1217F"/>
    <w:rsid w:val="00B123D5"/>
    <w:rsid w:val="00B12E84"/>
    <w:rsid w:val="00B132B7"/>
    <w:rsid w:val="00B13623"/>
    <w:rsid w:val="00B1497E"/>
    <w:rsid w:val="00B14A49"/>
    <w:rsid w:val="00B14B64"/>
    <w:rsid w:val="00B14EA8"/>
    <w:rsid w:val="00B163A0"/>
    <w:rsid w:val="00B16561"/>
    <w:rsid w:val="00B2068A"/>
    <w:rsid w:val="00B20D2B"/>
    <w:rsid w:val="00B21A26"/>
    <w:rsid w:val="00B21AF8"/>
    <w:rsid w:val="00B23D46"/>
    <w:rsid w:val="00B24A9F"/>
    <w:rsid w:val="00B25F87"/>
    <w:rsid w:val="00B2661C"/>
    <w:rsid w:val="00B266A0"/>
    <w:rsid w:val="00B26DF8"/>
    <w:rsid w:val="00B2702C"/>
    <w:rsid w:val="00B27033"/>
    <w:rsid w:val="00B271ED"/>
    <w:rsid w:val="00B27E58"/>
    <w:rsid w:val="00B306FB"/>
    <w:rsid w:val="00B30728"/>
    <w:rsid w:val="00B3095D"/>
    <w:rsid w:val="00B30A5B"/>
    <w:rsid w:val="00B32A13"/>
    <w:rsid w:val="00B32DA7"/>
    <w:rsid w:val="00B359E7"/>
    <w:rsid w:val="00B35A85"/>
    <w:rsid w:val="00B36365"/>
    <w:rsid w:val="00B3680B"/>
    <w:rsid w:val="00B36AA7"/>
    <w:rsid w:val="00B37370"/>
    <w:rsid w:val="00B374FC"/>
    <w:rsid w:val="00B37ED1"/>
    <w:rsid w:val="00B403BD"/>
    <w:rsid w:val="00B40B4B"/>
    <w:rsid w:val="00B41DA9"/>
    <w:rsid w:val="00B41F65"/>
    <w:rsid w:val="00B41FBD"/>
    <w:rsid w:val="00B41FD9"/>
    <w:rsid w:val="00B42624"/>
    <w:rsid w:val="00B42FA7"/>
    <w:rsid w:val="00B431AF"/>
    <w:rsid w:val="00B438A6"/>
    <w:rsid w:val="00B43DE6"/>
    <w:rsid w:val="00B446EC"/>
    <w:rsid w:val="00B44725"/>
    <w:rsid w:val="00B4530E"/>
    <w:rsid w:val="00B4564B"/>
    <w:rsid w:val="00B4588A"/>
    <w:rsid w:val="00B46DB4"/>
    <w:rsid w:val="00B46F7F"/>
    <w:rsid w:val="00B470B0"/>
    <w:rsid w:val="00B50950"/>
    <w:rsid w:val="00B51319"/>
    <w:rsid w:val="00B51776"/>
    <w:rsid w:val="00B51DA6"/>
    <w:rsid w:val="00B52797"/>
    <w:rsid w:val="00B52873"/>
    <w:rsid w:val="00B52CF0"/>
    <w:rsid w:val="00B537D7"/>
    <w:rsid w:val="00B53C1F"/>
    <w:rsid w:val="00B54020"/>
    <w:rsid w:val="00B5657C"/>
    <w:rsid w:val="00B56A0A"/>
    <w:rsid w:val="00B56E33"/>
    <w:rsid w:val="00B56FD6"/>
    <w:rsid w:val="00B60293"/>
    <w:rsid w:val="00B61493"/>
    <w:rsid w:val="00B61E8D"/>
    <w:rsid w:val="00B6274A"/>
    <w:rsid w:val="00B6297F"/>
    <w:rsid w:val="00B63CB1"/>
    <w:rsid w:val="00B64D5F"/>
    <w:rsid w:val="00B64D9C"/>
    <w:rsid w:val="00B64F20"/>
    <w:rsid w:val="00B65078"/>
    <w:rsid w:val="00B6522E"/>
    <w:rsid w:val="00B653B3"/>
    <w:rsid w:val="00B65408"/>
    <w:rsid w:val="00B657CE"/>
    <w:rsid w:val="00B65991"/>
    <w:rsid w:val="00B6661C"/>
    <w:rsid w:val="00B66771"/>
    <w:rsid w:val="00B66806"/>
    <w:rsid w:val="00B66CD4"/>
    <w:rsid w:val="00B67087"/>
    <w:rsid w:val="00B670F3"/>
    <w:rsid w:val="00B701BC"/>
    <w:rsid w:val="00B70B11"/>
    <w:rsid w:val="00B70B77"/>
    <w:rsid w:val="00B70BC0"/>
    <w:rsid w:val="00B70C44"/>
    <w:rsid w:val="00B71690"/>
    <w:rsid w:val="00B71EAA"/>
    <w:rsid w:val="00B72164"/>
    <w:rsid w:val="00B72CCA"/>
    <w:rsid w:val="00B738FA"/>
    <w:rsid w:val="00B74180"/>
    <w:rsid w:val="00B74424"/>
    <w:rsid w:val="00B75398"/>
    <w:rsid w:val="00B75D87"/>
    <w:rsid w:val="00B76541"/>
    <w:rsid w:val="00B765C5"/>
    <w:rsid w:val="00B76946"/>
    <w:rsid w:val="00B76B73"/>
    <w:rsid w:val="00B773BB"/>
    <w:rsid w:val="00B77F13"/>
    <w:rsid w:val="00B80100"/>
    <w:rsid w:val="00B80730"/>
    <w:rsid w:val="00B81417"/>
    <w:rsid w:val="00B81444"/>
    <w:rsid w:val="00B82C34"/>
    <w:rsid w:val="00B82C76"/>
    <w:rsid w:val="00B82CEF"/>
    <w:rsid w:val="00B83CB9"/>
    <w:rsid w:val="00B843A9"/>
    <w:rsid w:val="00B8463C"/>
    <w:rsid w:val="00B84748"/>
    <w:rsid w:val="00B84ABE"/>
    <w:rsid w:val="00B84CA8"/>
    <w:rsid w:val="00B84E04"/>
    <w:rsid w:val="00B84E52"/>
    <w:rsid w:val="00B85217"/>
    <w:rsid w:val="00B861CB"/>
    <w:rsid w:val="00B86258"/>
    <w:rsid w:val="00B86887"/>
    <w:rsid w:val="00B8691B"/>
    <w:rsid w:val="00B86CFF"/>
    <w:rsid w:val="00B8725E"/>
    <w:rsid w:val="00B87A7A"/>
    <w:rsid w:val="00B87ABA"/>
    <w:rsid w:val="00B87D96"/>
    <w:rsid w:val="00B87F66"/>
    <w:rsid w:val="00B903EC"/>
    <w:rsid w:val="00B90C30"/>
    <w:rsid w:val="00B911D9"/>
    <w:rsid w:val="00B91906"/>
    <w:rsid w:val="00B92521"/>
    <w:rsid w:val="00B92A0D"/>
    <w:rsid w:val="00B937C3"/>
    <w:rsid w:val="00B94630"/>
    <w:rsid w:val="00B94DF5"/>
    <w:rsid w:val="00B96735"/>
    <w:rsid w:val="00B96BD4"/>
    <w:rsid w:val="00B9769C"/>
    <w:rsid w:val="00BA172D"/>
    <w:rsid w:val="00BA19E8"/>
    <w:rsid w:val="00BA276E"/>
    <w:rsid w:val="00BA2804"/>
    <w:rsid w:val="00BA2A62"/>
    <w:rsid w:val="00BA2D14"/>
    <w:rsid w:val="00BA2F29"/>
    <w:rsid w:val="00BA3901"/>
    <w:rsid w:val="00BA3923"/>
    <w:rsid w:val="00BA3EDE"/>
    <w:rsid w:val="00BA477D"/>
    <w:rsid w:val="00BA50E1"/>
    <w:rsid w:val="00BA55C3"/>
    <w:rsid w:val="00BA57BB"/>
    <w:rsid w:val="00BA5834"/>
    <w:rsid w:val="00BA592A"/>
    <w:rsid w:val="00BA5F3B"/>
    <w:rsid w:val="00BA67F7"/>
    <w:rsid w:val="00BA6A96"/>
    <w:rsid w:val="00BA7F7B"/>
    <w:rsid w:val="00BB016C"/>
    <w:rsid w:val="00BB0933"/>
    <w:rsid w:val="00BB289A"/>
    <w:rsid w:val="00BB2D8A"/>
    <w:rsid w:val="00BB3362"/>
    <w:rsid w:val="00BB47D7"/>
    <w:rsid w:val="00BB5FA8"/>
    <w:rsid w:val="00BB62E5"/>
    <w:rsid w:val="00BB6A32"/>
    <w:rsid w:val="00BB6A7C"/>
    <w:rsid w:val="00BB6CCF"/>
    <w:rsid w:val="00BB7BC6"/>
    <w:rsid w:val="00BB7EBD"/>
    <w:rsid w:val="00BB7F40"/>
    <w:rsid w:val="00BC050D"/>
    <w:rsid w:val="00BC0B5D"/>
    <w:rsid w:val="00BC127A"/>
    <w:rsid w:val="00BC1D5C"/>
    <w:rsid w:val="00BC2B04"/>
    <w:rsid w:val="00BC2D93"/>
    <w:rsid w:val="00BC3261"/>
    <w:rsid w:val="00BC3827"/>
    <w:rsid w:val="00BC43E4"/>
    <w:rsid w:val="00BC4EB9"/>
    <w:rsid w:val="00BC676B"/>
    <w:rsid w:val="00BC6C84"/>
    <w:rsid w:val="00BC6E82"/>
    <w:rsid w:val="00BC7651"/>
    <w:rsid w:val="00BC77FA"/>
    <w:rsid w:val="00BD0440"/>
    <w:rsid w:val="00BD0728"/>
    <w:rsid w:val="00BD0BDF"/>
    <w:rsid w:val="00BD0F4E"/>
    <w:rsid w:val="00BD10FB"/>
    <w:rsid w:val="00BD134A"/>
    <w:rsid w:val="00BD1C23"/>
    <w:rsid w:val="00BD1FFF"/>
    <w:rsid w:val="00BD22BD"/>
    <w:rsid w:val="00BD2736"/>
    <w:rsid w:val="00BD559E"/>
    <w:rsid w:val="00BD5868"/>
    <w:rsid w:val="00BD5F20"/>
    <w:rsid w:val="00BD639D"/>
    <w:rsid w:val="00BD68DB"/>
    <w:rsid w:val="00BD6D55"/>
    <w:rsid w:val="00BD724F"/>
    <w:rsid w:val="00BD78A4"/>
    <w:rsid w:val="00BD7C7C"/>
    <w:rsid w:val="00BE1844"/>
    <w:rsid w:val="00BE1E7E"/>
    <w:rsid w:val="00BE23E9"/>
    <w:rsid w:val="00BE2EA7"/>
    <w:rsid w:val="00BE3142"/>
    <w:rsid w:val="00BE46EA"/>
    <w:rsid w:val="00BE5738"/>
    <w:rsid w:val="00BE59CC"/>
    <w:rsid w:val="00BE5AE9"/>
    <w:rsid w:val="00BE6A6B"/>
    <w:rsid w:val="00BF03AC"/>
    <w:rsid w:val="00BF10F1"/>
    <w:rsid w:val="00BF1951"/>
    <w:rsid w:val="00BF1E8D"/>
    <w:rsid w:val="00BF2984"/>
    <w:rsid w:val="00BF3C7E"/>
    <w:rsid w:val="00BF3D31"/>
    <w:rsid w:val="00BF3E83"/>
    <w:rsid w:val="00BF419E"/>
    <w:rsid w:val="00BF41DB"/>
    <w:rsid w:val="00BF4B38"/>
    <w:rsid w:val="00BF4C30"/>
    <w:rsid w:val="00BF70DB"/>
    <w:rsid w:val="00BF7BA2"/>
    <w:rsid w:val="00C001C3"/>
    <w:rsid w:val="00C006F3"/>
    <w:rsid w:val="00C0194F"/>
    <w:rsid w:val="00C0213C"/>
    <w:rsid w:val="00C02CF8"/>
    <w:rsid w:val="00C031E3"/>
    <w:rsid w:val="00C03216"/>
    <w:rsid w:val="00C03546"/>
    <w:rsid w:val="00C03C61"/>
    <w:rsid w:val="00C04584"/>
    <w:rsid w:val="00C0537F"/>
    <w:rsid w:val="00C05B44"/>
    <w:rsid w:val="00C07B7D"/>
    <w:rsid w:val="00C07D29"/>
    <w:rsid w:val="00C07ED5"/>
    <w:rsid w:val="00C10281"/>
    <w:rsid w:val="00C11026"/>
    <w:rsid w:val="00C12EB3"/>
    <w:rsid w:val="00C1306C"/>
    <w:rsid w:val="00C135CD"/>
    <w:rsid w:val="00C13604"/>
    <w:rsid w:val="00C14094"/>
    <w:rsid w:val="00C15132"/>
    <w:rsid w:val="00C15222"/>
    <w:rsid w:val="00C160B9"/>
    <w:rsid w:val="00C1629D"/>
    <w:rsid w:val="00C164B4"/>
    <w:rsid w:val="00C164DA"/>
    <w:rsid w:val="00C175B8"/>
    <w:rsid w:val="00C20083"/>
    <w:rsid w:val="00C20252"/>
    <w:rsid w:val="00C2051C"/>
    <w:rsid w:val="00C2074D"/>
    <w:rsid w:val="00C212F0"/>
    <w:rsid w:val="00C21680"/>
    <w:rsid w:val="00C21B71"/>
    <w:rsid w:val="00C2225D"/>
    <w:rsid w:val="00C22EB3"/>
    <w:rsid w:val="00C22F60"/>
    <w:rsid w:val="00C23BE4"/>
    <w:rsid w:val="00C23D9C"/>
    <w:rsid w:val="00C24D8C"/>
    <w:rsid w:val="00C2589F"/>
    <w:rsid w:val="00C25BC2"/>
    <w:rsid w:val="00C26609"/>
    <w:rsid w:val="00C268CA"/>
    <w:rsid w:val="00C26E13"/>
    <w:rsid w:val="00C275DD"/>
    <w:rsid w:val="00C27A5A"/>
    <w:rsid w:val="00C301F6"/>
    <w:rsid w:val="00C305F7"/>
    <w:rsid w:val="00C30932"/>
    <w:rsid w:val="00C30FE5"/>
    <w:rsid w:val="00C31781"/>
    <w:rsid w:val="00C32023"/>
    <w:rsid w:val="00C3226A"/>
    <w:rsid w:val="00C3251C"/>
    <w:rsid w:val="00C3451F"/>
    <w:rsid w:val="00C36048"/>
    <w:rsid w:val="00C36705"/>
    <w:rsid w:val="00C36813"/>
    <w:rsid w:val="00C36F0D"/>
    <w:rsid w:val="00C37103"/>
    <w:rsid w:val="00C3761F"/>
    <w:rsid w:val="00C40058"/>
    <w:rsid w:val="00C40328"/>
    <w:rsid w:val="00C40C89"/>
    <w:rsid w:val="00C41C0C"/>
    <w:rsid w:val="00C4227F"/>
    <w:rsid w:val="00C42A36"/>
    <w:rsid w:val="00C43175"/>
    <w:rsid w:val="00C4390B"/>
    <w:rsid w:val="00C4393C"/>
    <w:rsid w:val="00C43D42"/>
    <w:rsid w:val="00C44B98"/>
    <w:rsid w:val="00C44B9F"/>
    <w:rsid w:val="00C44ED5"/>
    <w:rsid w:val="00C44F13"/>
    <w:rsid w:val="00C454E6"/>
    <w:rsid w:val="00C45642"/>
    <w:rsid w:val="00C45D14"/>
    <w:rsid w:val="00C4623C"/>
    <w:rsid w:val="00C47062"/>
    <w:rsid w:val="00C477C9"/>
    <w:rsid w:val="00C5051C"/>
    <w:rsid w:val="00C50727"/>
    <w:rsid w:val="00C508F6"/>
    <w:rsid w:val="00C50D6B"/>
    <w:rsid w:val="00C50DD2"/>
    <w:rsid w:val="00C512CE"/>
    <w:rsid w:val="00C535B8"/>
    <w:rsid w:val="00C54478"/>
    <w:rsid w:val="00C54901"/>
    <w:rsid w:val="00C54EA2"/>
    <w:rsid w:val="00C54F4C"/>
    <w:rsid w:val="00C54F5E"/>
    <w:rsid w:val="00C56E43"/>
    <w:rsid w:val="00C56F99"/>
    <w:rsid w:val="00C57979"/>
    <w:rsid w:val="00C607E2"/>
    <w:rsid w:val="00C61147"/>
    <w:rsid w:val="00C612F9"/>
    <w:rsid w:val="00C61C99"/>
    <w:rsid w:val="00C61D01"/>
    <w:rsid w:val="00C61E25"/>
    <w:rsid w:val="00C622BE"/>
    <w:rsid w:val="00C6248C"/>
    <w:rsid w:val="00C62A22"/>
    <w:rsid w:val="00C64082"/>
    <w:rsid w:val="00C65286"/>
    <w:rsid w:val="00C65838"/>
    <w:rsid w:val="00C66053"/>
    <w:rsid w:val="00C66670"/>
    <w:rsid w:val="00C666E7"/>
    <w:rsid w:val="00C67BDD"/>
    <w:rsid w:val="00C67C63"/>
    <w:rsid w:val="00C67E1F"/>
    <w:rsid w:val="00C70545"/>
    <w:rsid w:val="00C707CF"/>
    <w:rsid w:val="00C709AB"/>
    <w:rsid w:val="00C70C59"/>
    <w:rsid w:val="00C71164"/>
    <w:rsid w:val="00C71D09"/>
    <w:rsid w:val="00C72268"/>
    <w:rsid w:val="00C737A7"/>
    <w:rsid w:val="00C74A43"/>
    <w:rsid w:val="00C74DFC"/>
    <w:rsid w:val="00C74E06"/>
    <w:rsid w:val="00C752F2"/>
    <w:rsid w:val="00C75EF1"/>
    <w:rsid w:val="00C7604A"/>
    <w:rsid w:val="00C77019"/>
    <w:rsid w:val="00C7735E"/>
    <w:rsid w:val="00C776E2"/>
    <w:rsid w:val="00C8005D"/>
    <w:rsid w:val="00C80277"/>
    <w:rsid w:val="00C8156A"/>
    <w:rsid w:val="00C81870"/>
    <w:rsid w:val="00C81F01"/>
    <w:rsid w:val="00C82A00"/>
    <w:rsid w:val="00C82E8A"/>
    <w:rsid w:val="00C832C6"/>
    <w:rsid w:val="00C835A8"/>
    <w:rsid w:val="00C83CB8"/>
    <w:rsid w:val="00C83CFA"/>
    <w:rsid w:val="00C842AE"/>
    <w:rsid w:val="00C8469B"/>
    <w:rsid w:val="00C84722"/>
    <w:rsid w:val="00C84CCF"/>
    <w:rsid w:val="00C853DA"/>
    <w:rsid w:val="00C85D8C"/>
    <w:rsid w:val="00C86105"/>
    <w:rsid w:val="00C865D3"/>
    <w:rsid w:val="00C86F4C"/>
    <w:rsid w:val="00C878CF"/>
    <w:rsid w:val="00C87F5C"/>
    <w:rsid w:val="00C903D9"/>
    <w:rsid w:val="00C905A3"/>
    <w:rsid w:val="00C90D03"/>
    <w:rsid w:val="00C92288"/>
    <w:rsid w:val="00C92477"/>
    <w:rsid w:val="00C9250D"/>
    <w:rsid w:val="00C9295D"/>
    <w:rsid w:val="00C92ACD"/>
    <w:rsid w:val="00C92C15"/>
    <w:rsid w:val="00C92EE0"/>
    <w:rsid w:val="00C935AE"/>
    <w:rsid w:val="00C93930"/>
    <w:rsid w:val="00C943DD"/>
    <w:rsid w:val="00C94988"/>
    <w:rsid w:val="00C954CD"/>
    <w:rsid w:val="00C969A2"/>
    <w:rsid w:val="00C96C60"/>
    <w:rsid w:val="00C96D0E"/>
    <w:rsid w:val="00C9718A"/>
    <w:rsid w:val="00C971EB"/>
    <w:rsid w:val="00C976BE"/>
    <w:rsid w:val="00C97728"/>
    <w:rsid w:val="00C97EB5"/>
    <w:rsid w:val="00CA0DC9"/>
    <w:rsid w:val="00CA0F80"/>
    <w:rsid w:val="00CA1008"/>
    <w:rsid w:val="00CA1991"/>
    <w:rsid w:val="00CA1DC5"/>
    <w:rsid w:val="00CA22A8"/>
    <w:rsid w:val="00CA2599"/>
    <w:rsid w:val="00CA31F9"/>
    <w:rsid w:val="00CA3865"/>
    <w:rsid w:val="00CA399B"/>
    <w:rsid w:val="00CA3C4B"/>
    <w:rsid w:val="00CA3D4F"/>
    <w:rsid w:val="00CA3F87"/>
    <w:rsid w:val="00CA445B"/>
    <w:rsid w:val="00CA4855"/>
    <w:rsid w:val="00CA4D75"/>
    <w:rsid w:val="00CA5806"/>
    <w:rsid w:val="00CA64E4"/>
    <w:rsid w:val="00CA6927"/>
    <w:rsid w:val="00CA6C1E"/>
    <w:rsid w:val="00CA7985"/>
    <w:rsid w:val="00CB064D"/>
    <w:rsid w:val="00CB112E"/>
    <w:rsid w:val="00CB13F7"/>
    <w:rsid w:val="00CB172B"/>
    <w:rsid w:val="00CB1E00"/>
    <w:rsid w:val="00CB2942"/>
    <w:rsid w:val="00CB2EA8"/>
    <w:rsid w:val="00CB3098"/>
    <w:rsid w:val="00CB32E8"/>
    <w:rsid w:val="00CB3DC4"/>
    <w:rsid w:val="00CB4266"/>
    <w:rsid w:val="00CB6A52"/>
    <w:rsid w:val="00CB6C4D"/>
    <w:rsid w:val="00CB7043"/>
    <w:rsid w:val="00CB7A09"/>
    <w:rsid w:val="00CB7E32"/>
    <w:rsid w:val="00CC0B68"/>
    <w:rsid w:val="00CC16FD"/>
    <w:rsid w:val="00CC19F9"/>
    <w:rsid w:val="00CC2A6A"/>
    <w:rsid w:val="00CC3368"/>
    <w:rsid w:val="00CC364F"/>
    <w:rsid w:val="00CC3793"/>
    <w:rsid w:val="00CC38A7"/>
    <w:rsid w:val="00CC3CD1"/>
    <w:rsid w:val="00CC4477"/>
    <w:rsid w:val="00CC493E"/>
    <w:rsid w:val="00CC54CE"/>
    <w:rsid w:val="00CC5A72"/>
    <w:rsid w:val="00CC5EFD"/>
    <w:rsid w:val="00CC649A"/>
    <w:rsid w:val="00CC7080"/>
    <w:rsid w:val="00CC742C"/>
    <w:rsid w:val="00CC790D"/>
    <w:rsid w:val="00CC7A6A"/>
    <w:rsid w:val="00CD0391"/>
    <w:rsid w:val="00CD0C3E"/>
    <w:rsid w:val="00CD0C7F"/>
    <w:rsid w:val="00CD0CE6"/>
    <w:rsid w:val="00CD1257"/>
    <w:rsid w:val="00CD1858"/>
    <w:rsid w:val="00CD186C"/>
    <w:rsid w:val="00CD228D"/>
    <w:rsid w:val="00CD40D2"/>
    <w:rsid w:val="00CD4A9F"/>
    <w:rsid w:val="00CD547F"/>
    <w:rsid w:val="00CD5B29"/>
    <w:rsid w:val="00CD627A"/>
    <w:rsid w:val="00CD6396"/>
    <w:rsid w:val="00CD6A34"/>
    <w:rsid w:val="00CD74C0"/>
    <w:rsid w:val="00CE1134"/>
    <w:rsid w:val="00CE1790"/>
    <w:rsid w:val="00CE188D"/>
    <w:rsid w:val="00CE1D22"/>
    <w:rsid w:val="00CE2B48"/>
    <w:rsid w:val="00CE2C9B"/>
    <w:rsid w:val="00CE3E0C"/>
    <w:rsid w:val="00CE48E9"/>
    <w:rsid w:val="00CE501A"/>
    <w:rsid w:val="00CE533D"/>
    <w:rsid w:val="00CE5961"/>
    <w:rsid w:val="00CE5AF8"/>
    <w:rsid w:val="00CE5CB4"/>
    <w:rsid w:val="00CE6142"/>
    <w:rsid w:val="00CE71DD"/>
    <w:rsid w:val="00CE75EC"/>
    <w:rsid w:val="00CF0752"/>
    <w:rsid w:val="00CF0E9A"/>
    <w:rsid w:val="00CF1FC1"/>
    <w:rsid w:val="00CF22E1"/>
    <w:rsid w:val="00CF2682"/>
    <w:rsid w:val="00CF286E"/>
    <w:rsid w:val="00CF3823"/>
    <w:rsid w:val="00CF3C2A"/>
    <w:rsid w:val="00CF4225"/>
    <w:rsid w:val="00CF445C"/>
    <w:rsid w:val="00CF4611"/>
    <w:rsid w:val="00CF47A4"/>
    <w:rsid w:val="00CF4B70"/>
    <w:rsid w:val="00CF4CC8"/>
    <w:rsid w:val="00CF5042"/>
    <w:rsid w:val="00CF55F0"/>
    <w:rsid w:val="00CF63B2"/>
    <w:rsid w:val="00CF63E4"/>
    <w:rsid w:val="00CF73C5"/>
    <w:rsid w:val="00CF76D6"/>
    <w:rsid w:val="00CF7718"/>
    <w:rsid w:val="00D00812"/>
    <w:rsid w:val="00D00DA8"/>
    <w:rsid w:val="00D00E12"/>
    <w:rsid w:val="00D01014"/>
    <w:rsid w:val="00D0103B"/>
    <w:rsid w:val="00D01C9F"/>
    <w:rsid w:val="00D029EB"/>
    <w:rsid w:val="00D02B5A"/>
    <w:rsid w:val="00D032E0"/>
    <w:rsid w:val="00D0378D"/>
    <w:rsid w:val="00D03847"/>
    <w:rsid w:val="00D04214"/>
    <w:rsid w:val="00D04425"/>
    <w:rsid w:val="00D04590"/>
    <w:rsid w:val="00D0487D"/>
    <w:rsid w:val="00D0625B"/>
    <w:rsid w:val="00D07159"/>
    <w:rsid w:val="00D07B51"/>
    <w:rsid w:val="00D07CFB"/>
    <w:rsid w:val="00D07ED9"/>
    <w:rsid w:val="00D1013E"/>
    <w:rsid w:val="00D1071D"/>
    <w:rsid w:val="00D107D5"/>
    <w:rsid w:val="00D1121C"/>
    <w:rsid w:val="00D11678"/>
    <w:rsid w:val="00D11685"/>
    <w:rsid w:val="00D12517"/>
    <w:rsid w:val="00D12738"/>
    <w:rsid w:val="00D13725"/>
    <w:rsid w:val="00D13931"/>
    <w:rsid w:val="00D139E4"/>
    <w:rsid w:val="00D139E9"/>
    <w:rsid w:val="00D13A49"/>
    <w:rsid w:val="00D14296"/>
    <w:rsid w:val="00D1450B"/>
    <w:rsid w:val="00D1452F"/>
    <w:rsid w:val="00D14837"/>
    <w:rsid w:val="00D154E1"/>
    <w:rsid w:val="00D15D0C"/>
    <w:rsid w:val="00D15DC0"/>
    <w:rsid w:val="00D16F4D"/>
    <w:rsid w:val="00D1797E"/>
    <w:rsid w:val="00D17A98"/>
    <w:rsid w:val="00D17CE7"/>
    <w:rsid w:val="00D20863"/>
    <w:rsid w:val="00D20A52"/>
    <w:rsid w:val="00D20C3A"/>
    <w:rsid w:val="00D2208B"/>
    <w:rsid w:val="00D22B93"/>
    <w:rsid w:val="00D22D36"/>
    <w:rsid w:val="00D23664"/>
    <w:rsid w:val="00D23E7B"/>
    <w:rsid w:val="00D24A6B"/>
    <w:rsid w:val="00D24C82"/>
    <w:rsid w:val="00D24D4A"/>
    <w:rsid w:val="00D25402"/>
    <w:rsid w:val="00D2555D"/>
    <w:rsid w:val="00D25CDB"/>
    <w:rsid w:val="00D25F88"/>
    <w:rsid w:val="00D2669A"/>
    <w:rsid w:val="00D27984"/>
    <w:rsid w:val="00D30B4D"/>
    <w:rsid w:val="00D30E23"/>
    <w:rsid w:val="00D32175"/>
    <w:rsid w:val="00D32406"/>
    <w:rsid w:val="00D3288B"/>
    <w:rsid w:val="00D32E45"/>
    <w:rsid w:val="00D33020"/>
    <w:rsid w:val="00D33D0C"/>
    <w:rsid w:val="00D33D34"/>
    <w:rsid w:val="00D3474F"/>
    <w:rsid w:val="00D34911"/>
    <w:rsid w:val="00D3549C"/>
    <w:rsid w:val="00D3583A"/>
    <w:rsid w:val="00D36361"/>
    <w:rsid w:val="00D369FE"/>
    <w:rsid w:val="00D36CE3"/>
    <w:rsid w:val="00D36DEB"/>
    <w:rsid w:val="00D377D1"/>
    <w:rsid w:val="00D406AD"/>
    <w:rsid w:val="00D41E80"/>
    <w:rsid w:val="00D42584"/>
    <w:rsid w:val="00D42E66"/>
    <w:rsid w:val="00D43EDD"/>
    <w:rsid w:val="00D43F7F"/>
    <w:rsid w:val="00D446B8"/>
    <w:rsid w:val="00D45AC9"/>
    <w:rsid w:val="00D46FDB"/>
    <w:rsid w:val="00D4750C"/>
    <w:rsid w:val="00D47C6F"/>
    <w:rsid w:val="00D50678"/>
    <w:rsid w:val="00D50921"/>
    <w:rsid w:val="00D50C52"/>
    <w:rsid w:val="00D51420"/>
    <w:rsid w:val="00D51852"/>
    <w:rsid w:val="00D51EF8"/>
    <w:rsid w:val="00D51FBA"/>
    <w:rsid w:val="00D522F5"/>
    <w:rsid w:val="00D5319B"/>
    <w:rsid w:val="00D53289"/>
    <w:rsid w:val="00D53743"/>
    <w:rsid w:val="00D538C0"/>
    <w:rsid w:val="00D543C9"/>
    <w:rsid w:val="00D563F6"/>
    <w:rsid w:val="00D56B38"/>
    <w:rsid w:val="00D5706C"/>
    <w:rsid w:val="00D570A9"/>
    <w:rsid w:val="00D572B7"/>
    <w:rsid w:val="00D60AF3"/>
    <w:rsid w:val="00D60F8D"/>
    <w:rsid w:val="00D611E4"/>
    <w:rsid w:val="00D619C9"/>
    <w:rsid w:val="00D619D1"/>
    <w:rsid w:val="00D61B81"/>
    <w:rsid w:val="00D622B6"/>
    <w:rsid w:val="00D62880"/>
    <w:rsid w:val="00D62B94"/>
    <w:rsid w:val="00D62F9E"/>
    <w:rsid w:val="00D62FA6"/>
    <w:rsid w:val="00D63C8B"/>
    <w:rsid w:val="00D64066"/>
    <w:rsid w:val="00D6470E"/>
    <w:rsid w:val="00D64B27"/>
    <w:rsid w:val="00D66197"/>
    <w:rsid w:val="00D66448"/>
    <w:rsid w:val="00D66AEE"/>
    <w:rsid w:val="00D679CC"/>
    <w:rsid w:val="00D70540"/>
    <w:rsid w:val="00D70730"/>
    <w:rsid w:val="00D70F64"/>
    <w:rsid w:val="00D7143C"/>
    <w:rsid w:val="00D71AAE"/>
    <w:rsid w:val="00D720AD"/>
    <w:rsid w:val="00D7217A"/>
    <w:rsid w:val="00D7219C"/>
    <w:rsid w:val="00D72205"/>
    <w:rsid w:val="00D7263E"/>
    <w:rsid w:val="00D72715"/>
    <w:rsid w:val="00D72A93"/>
    <w:rsid w:val="00D72E41"/>
    <w:rsid w:val="00D72F9B"/>
    <w:rsid w:val="00D72FCE"/>
    <w:rsid w:val="00D75066"/>
    <w:rsid w:val="00D75362"/>
    <w:rsid w:val="00D76210"/>
    <w:rsid w:val="00D76484"/>
    <w:rsid w:val="00D764F5"/>
    <w:rsid w:val="00D768E1"/>
    <w:rsid w:val="00D76BEF"/>
    <w:rsid w:val="00D779AE"/>
    <w:rsid w:val="00D809FA"/>
    <w:rsid w:val="00D80A9C"/>
    <w:rsid w:val="00D80B03"/>
    <w:rsid w:val="00D814EE"/>
    <w:rsid w:val="00D81575"/>
    <w:rsid w:val="00D82005"/>
    <w:rsid w:val="00D8241D"/>
    <w:rsid w:val="00D82438"/>
    <w:rsid w:val="00D8262E"/>
    <w:rsid w:val="00D8282A"/>
    <w:rsid w:val="00D82BA3"/>
    <w:rsid w:val="00D82D1D"/>
    <w:rsid w:val="00D83535"/>
    <w:rsid w:val="00D835DE"/>
    <w:rsid w:val="00D8377E"/>
    <w:rsid w:val="00D850D5"/>
    <w:rsid w:val="00D85311"/>
    <w:rsid w:val="00D8544B"/>
    <w:rsid w:val="00D85488"/>
    <w:rsid w:val="00D858DD"/>
    <w:rsid w:val="00D85D1C"/>
    <w:rsid w:val="00D86341"/>
    <w:rsid w:val="00D86684"/>
    <w:rsid w:val="00D87543"/>
    <w:rsid w:val="00D87779"/>
    <w:rsid w:val="00D90A2E"/>
    <w:rsid w:val="00D90D38"/>
    <w:rsid w:val="00D90E7E"/>
    <w:rsid w:val="00D90FA6"/>
    <w:rsid w:val="00D917F5"/>
    <w:rsid w:val="00D91824"/>
    <w:rsid w:val="00D91AB9"/>
    <w:rsid w:val="00D91C10"/>
    <w:rsid w:val="00D924DA"/>
    <w:rsid w:val="00D92D32"/>
    <w:rsid w:val="00D92F11"/>
    <w:rsid w:val="00D9331C"/>
    <w:rsid w:val="00D939F9"/>
    <w:rsid w:val="00D93CAA"/>
    <w:rsid w:val="00D93E39"/>
    <w:rsid w:val="00D946CB"/>
    <w:rsid w:val="00D94A77"/>
    <w:rsid w:val="00D94AA4"/>
    <w:rsid w:val="00D94B25"/>
    <w:rsid w:val="00D94F88"/>
    <w:rsid w:val="00D95A18"/>
    <w:rsid w:val="00D95F1C"/>
    <w:rsid w:val="00D96BDF"/>
    <w:rsid w:val="00D96C93"/>
    <w:rsid w:val="00DA098C"/>
    <w:rsid w:val="00DA09C6"/>
    <w:rsid w:val="00DA0A8A"/>
    <w:rsid w:val="00DA1251"/>
    <w:rsid w:val="00DA16E8"/>
    <w:rsid w:val="00DA1835"/>
    <w:rsid w:val="00DA3185"/>
    <w:rsid w:val="00DA387B"/>
    <w:rsid w:val="00DA3F8E"/>
    <w:rsid w:val="00DA441D"/>
    <w:rsid w:val="00DA45CD"/>
    <w:rsid w:val="00DA4645"/>
    <w:rsid w:val="00DA4BC4"/>
    <w:rsid w:val="00DA4F1D"/>
    <w:rsid w:val="00DA4F54"/>
    <w:rsid w:val="00DA7343"/>
    <w:rsid w:val="00DA7553"/>
    <w:rsid w:val="00DA7CB7"/>
    <w:rsid w:val="00DA7D57"/>
    <w:rsid w:val="00DB06EA"/>
    <w:rsid w:val="00DB0AD3"/>
    <w:rsid w:val="00DB0B13"/>
    <w:rsid w:val="00DB0E90"/>
    <w:rsid w:val="00DB1086"/>
    <w:rsid w:val="00DB171C"/>
    <w:rsid w:val="00DB1B28"/>
    <w:rsid w:val="00DB279C"/>
    <w:rsid w:val="00DB2D8D"/>
    <w:rsid w:val="00DB307F"/>
    <w:rsid w:val="00DB3A26"/>
    <w:rsid w:val="00DB3E3D"/>
    <w:rsid w:val="00DB44E1"/>
    <w:rsid w:val="00DB454E"/>
    <w:rsid w:val="00DB4E26"/>
    <w:rsid w:val="00DB5AED"/>
    <w:rsid w:val="00DB5D94"/>
    <w:rsid w:val="00DB5EB3"/>
    <w:rsid w:val="00DB62F3"/>
    <w:rsid w:val="00DB666B"/>
    <w:rsid w:val="00DB6D2D"/>
    <w:rsid w:val="00DB7344"/>
    <w:rsid w:val="00DC00D3"/>
    <w:rsid w:val="00DC07ED"/>
    <w:rsid w:val="00DC115F"/>
    <w:rsid w:val="00DC14EA"/>
    <w:rsid w:val="00DC1EE8"/>
    <w:rsid w:val="00DC2987"/>
    <w:rsid w:val="00DC3128"/>
    <w:rsid w:val="00DC32B4"/>
    <w:rsid w:val="00DC381E"/>
    <w:rsid w:val="00DC3881"/>
    <w:rsid w:val="00DC4AE0"/>
    <w:rsid w:val="00DC5D82"/>
    <w:rsid w:val="00DC619F"/>
    <w:rsid w:val="00DC6D2A"/>
    <w:rsid w:val="00DC703B"/>
    <w:rsid w:val="00DC7B0E"/>
    <w:rsid w:val="00DD02D7"/>
    <w:rsid w:val="00DD04F3"/>
    <w:rsid w:val="00DD0D1E"/>
    <w:rsid w:val="00DD2B9D"/>
    <w:rsid w:val="00DD2FAE"/>
    <w:rsid w:val="00DD3191"/>
    <w:rsid w:val="00DD3518"/>
    <w:rsid w:val="00DD3936"/>
    <w:rsid w:val="00DD397E"/>
    <w:rsid w:val="00DD3ABB"/>
    <w:rsid w:val="00DD3D4C"/>
    <w:rsid w:val="00DD44FC"/>
    <w:rsid w:val="00DD4948"/>
    <w:rsid w:val="00DD4BB1"/>
    <w:rsid w:val="00DD4BBC"/>
    <w:rsid w:val="00DD6BAD"/>
    <w:rsid w:val="00DD7555"/>
    <w:rsid w:val="00DE0325"/>
    <w:rsid w:val="00DE0CCA"/>
    <w:rsid w:val="00DE0FC2"/>
    <w:rsid w:val="00DE15E7"/>
    <w:rsid w:val="00DE1832"/>
    <w:rsid w:val="00DE2C4F"/>
    <w:rsid w:val="00DE2FEE"/>
    <w:rsid w:val="00DE3774"/>
    <w:rsid w:val="00DE38D6"/>
    <w:rsid w:val="00DE3ED7"/>
    <w:rsid w:val="00DE4832"/>
    <w:rsid w:val="00DE4849"/>
    <w:rsid w:val="00DE4E3B"/>
    <w:rsid w:val="00DE5136"/>
    <w:rsid w:val="00DE6F41"/>
    <w:rsid w:val="00DE7062"/>
    <w:rsid w:val="00DF0769"/>
    <w:rsid w:val="00DF1073"/>
    <w:rsid w:val="00DF1914"/>
    <w:rsid w:val="00DF2021"/>
    <w:rsid w:val="00DF342F"/>
    <w:rsid w:val="00DF37D3"/>
    <w:rsid w:val="00DF38AF"/>
    <w:rsid w:val="00DF394D"/>
    <w:rsid w:val="00DF4078"/>
    <w:rsid w:val="00DF4214"/>
    <w:rsid w:val="00DF452A"/>
    <w:rsid w:val="00DF48F1"/>
    <w:rsid w:val="00DF5011"/>
    <w:rsid w:val="00DF564C"/>
    <w:rsid w:val="00DF5D9B"/>
    <w:rsid w:val="00DF5F1C"/>
    <w:rsid w:val="00DF6041"/>
    <w:rsid w:val="00DF6B14"/>
    <w:rsid w:val="00DF6E57"/>
    <w:rsid w:val="00DF74C3"/>
    <w:rsid w:val="00DF7632"/>
    <w:rsid w:val="00DF7B50"/>
    <w:rsid w:val="00DF7BFA"/>
    <w:rsid w:val="00E002DD"/>
    <w:rsid w:val="00E01073"/>
    <w:rsid w:val="00E0181D"/>
    <w:rsid w:val="00E01924"/>
    <w:rsid w:val="00E02793"/>
    <w:rsid w:val="00E03633"/>
    <w:rsid w:val="00E037E5"/>
    <w:rsid w:val="00E0455D"/>
    <w:rsid w:val="00E04E35"/>
    <w:rsid w:val="00E05AE9"/>
    <w:rsid w:val="00E06D6D"/>
    <w:rsid w:val="00E073F1"/>
    <w:rsid w:val="00E0749B"/>
    <w:rsid w:val="00E10000"/>
    <w:rsid w:val="00E1018D"/>
    <w:rsid w:val="00E11A3A"/>
    <w:rsid w:val="00E12194"/>
    <w:rsid w:val="00E123EB"/>
    <w:rsid w:val="00E12E6B"/>
    <w:rsid w:val="00E141AD"/>
    <w:rsid w:val="00E141C1"/>
    <w:rsid w:val="00E14725"/>
    <w:rsid w:val="00E14B2F"/>
    <w:rsid w:val="00E14FAC"/>
    <w:rsid w:val="00E16D9A"/>
    <w:rsid w:val="00E17869"/>
    <w:rsid w:val="00E17C88"/>
    <w:rsid w:val="00E17F2E"/>
    <w:rsid w:val="00E20549"/>
    <w:rsid w:val="00E227E1"/>
    <w:rsid w:val="00E22A28"/>
    <w:rsid w:val="00E22AA2"/>
    <w:rsid w:val="00E22AF8"/>
    <w:rsid w:val="00E2325D"/>
    <w:rsid w:val="00E23835"/>
    <w:rsid w:val="00E25292"/>
    <w:rsid w:val="00E2549E"/>
    <w:rsid w:val="00E25EED"/>
    <w:rsid w:val="00E26F4F"/>
    <w:rsid w:val="00E27D35"/>
    <w:rsid w:val="00E27E4C"/>
    <w:rsid w:val="00E3092A"/>
    <w:rsid w:val="00E31D4A"/>
    <w:rsid w:val="00E32597"/>
    <w:rsid w:val="00E32B25"/>
    <w:rsid w:val="00E32CCC"/>
    <w:rsid w:val="00E32D9F"/>
    <w:rsid w:val="00E32F6B"/>
    <w:rsid w:val="00E342F3"/>
    <w:rsid w:val="00E3450D"/>
    <w:rsid w:val="00E347D2"/>
    <w:rsid w:val="00E350E3"/>
    <w:rsid w:val="00E35522"/>
    <w:rsid w:val="00E360EF"/>
    <w:rsid w:val="00E367CD"/>
    <w:rsid w:val="00E36D31"/>
    <w:rsid w:val="00E37344"/>
    <w:rsid w:val="00E37C5A"/>
    <w:rsid w:val="00E37E98"/>
    <w:rsid w:val="00E41F4C"/>
    <w:rsid w:val="00E4209A"/>
    <w:rsid w:val="00E423B0"/>
    <w:rsid w:val="00E434D9"/>
    <w:rsid w:val="00E436C9"/>
    <w:rsid w:val="00E43A8E"/>
    <w:rsid w:val="00E43B21"/>
    <w:rsid w:val="00E44109"/>
    <w:rsid w:val="00E4472A"/>
    <w:rsid w:val="00E4485E"/>
    <w:rsid w:val="00E44B84"/>
    <w:rsid w:val="00E457A9"/>
    <w:rsid w:val="00E45E80"/>
    <w:rsid w:val="00E47CBD"/>
    <w:rsid w:val="00E50C5D"/>
    <w:rsid w:val="00E5216E"/>
    <w:rsid w:val="00E525B3"/>
    <w:rsid w:val="00E52BCF"/>
    <w:rsid w:val="00E52EB4"/>
    <w:rsid w:val="00E5355D"/>
    <w:rsid w:val="00E53828"/>
    <w:rsid w:val="00E53D1C"/>
    <w:rsid w:val="00E5456D"/>
    <w:rsid w:val="00E54DCC"/>
    <w:rsid w:val="00E54E1A"/>
    <w:rsid w:val="00E551F9"/>
    <w:rsid w:val="00E5536B"/>
    <w:rsid w:val="00E55736"/>
    <w:rsid w:val="00E55A91"/>
    <w:rsid w:val="00E55F06"/>
    <w:rsid w:val="00E5620D"/>
    <w:rsid w:val="00E571FD"/>
    <w:rsid w:val="00E5722B"/>
    <w:rsid w:val="00E57583"/>
    <w:rsid w:val="00E577EB"/>
    <w:rsid w:val="00E60ABF"/>
    <w:rsid w:val="00E61550"/>
    <w:rsid w:val="00E61A91"/>
    <w:rsid w:val="00E61FD5"/>
    <w:rsid w:val="00E62038"/>
    <w:rsid w:val="00E6269C"/>
    <w:rsid w:val="00E627FA"/>
    <w:rsid w:val="00E6376E"/>
    <w:rsid w:val="00E64417"/>
    <w:rsid w:val="00E64A13"/>
    <w:rsid w:val="00E64E0A"/>
    <w:rsid w:val="00E6539A"/>
    <w:rsid w:val="00E6542F"/>
    <w:rsid w:val="00E664AA"/>
    <w:rsid w:val="00E66D23"/>
    <w:rsid w:val="00E679CE"/>
    <w:rsid w:val="00E67E58"/>
    <w:rsid w:val="00E700FA"/>
    <w:rsid w:val="00E70F48"/>
    <w:rsid w:val="00E72101"/>
    <w:rsid w:val="00E72639"/>
    <w:rsid w:val="00E73674"/>
    <w:rsid w:val="00E74421"/>
    <w:rsid w:val="00E744C7"/>
    <w:rsid w:val="00E75338"/>
    <w:rsid w:val="00E7534C"/>
    <w:rsid w:val="00E75FE6"/>
    <w:rsid w:val="00E76099"/>
    <w:rsid w:val="00E76197"/>
    <w:rsid w:val="00E766B3"/>
    <w:rsid w:val="00E76B3E"/>
    <w:rsid w:val="00E76B87"/>
    <w:rsid w:val="00E774AE"/>
    <w:rsid w:val="00E80EC3"/>
    <w:rsid w:val="00E81C8D"/>
    <w:rsid w:val="00E81E18"/>
    <w:rsid w:val="00E820EE"/>
    <w:rsid w:val="00E8255B"/>
    <w:rsid w:val="00E83369"/>
    <w:rsid w:val="00E84014"/>
    <w:rsid w:val="00E84D21"/>
    <w:rsid w:val="00E85056"/>
    <w:rsid w:val="00E855F6"/>
    <w:rsid w:val="00E85E9D"/>
    <w:rsid w:val="00E8795A"/>
    <w:rsid w:val="00E87B67"/>
    <w:rsid w:val="00E90043"/>
    <w:rsid w:val="00E904F9"/>
    <w:rsid w:val="00E90903"/>
    <w:rsid w:val="00E91432"/>
    <w:rsid w:val="00E91AE1"/>
    <w:rsid w:val="00E91BDE"/>
    <w:rsid w:val="00E91CB3"/>
    <w:rsid w:val="00E91E4A"/>
    <w:rsid w:val="00E92D2B"/>
    <w:rsid w:val="00E934BF"/>
    <w:rsid w:val="00E93561"/>
    <w:rsid w:val="00E9465D"/>
    <w:rsid w:val="00E95137"/>
    <w:rsid w:val="00E9660A"/>
    <w:rsid w:val="00E96C54"/>
    <w:rsid w:val="00E96EB4"/>
    <w:rsid w:val="00E96F23"/>
    <w:rsid w:val="00E970B7"/>
    <w:rsid w:val="00E97B85"/>
    <w:rsid w:val="00E97D02"/>
    <w:rsid w:val="00EA0215"/>
    <w:rsid w:val="00EA089C"/>
    <w:rsid w:val="00EA0E0B"/>
    <w:rsid w:val="00EA135A"/>
    <w:rsid w:val="00EA15C7"/>
    <w:rsid w:val="00EA17A5"/>
    <w:rsid w:val="00EA1A72"/>
    <w:rsid w:val="00EA1D37"/>
    <w:rsid w:val="00EA2EA0"/>
    <w:rsid w:val="00EA3383"/>
    <w:rsid w:val="00EA400D"/>
    <w:rsid w:val="00EA4727"/>
    <w:rsid w:val="00EA5028"/>
    <w:rsid w:val="00EA536F"/>
    <w:rsid w:val="00EA7946"/>
    <w:rsid w:val="00EA7A39"/>
    <w:rsid w:val="00EB0800"/>
    <w:rsid w:val="00EB0833"/>
    <w:rsid w:val="00EB097C"/>
    <w:rsid w:val="00EB1382"/>
    <w:rsid w:val="00EB1915"/>
    <w:rsid w:val="00EB2160"/>
    <w:rsid w:val="00EB2401"/>
    <w:rsid w:val="00EB383D"/>
    <w:rsid w:val="00EB47D2"/>
    <w:rsid w:val="00EB4CAD"/>
    <w:rsid w:val="00EB4EBC"/>
    <w:rsid w:val="00EB4FB6"/>
    <w:rsid w:val="00EB5D3A"/>
    <w:rsid w:val="00EB63FC"/>
    <w:rsid w:val="00EB70F8"/>
    <w:rsid w:val="00EB7DAE"/>
    <w:rsid w:val="00EC019B"/>
    <w:rsid w:val="00EC0ADF"/>
    <w:rsid w:val="00EC11DB"/>
    <w:rsid w:val="00EC1803"/>
    <w:rsid w:val="00EC18B1"/>
    <w:rsid w:val="00EC1981"/>
    <w:rsid w:val="00EC1FF2"/>
    <w:rsid w:val="00EC2FF8"/>
    <w:rsid w:val="00EC3379"/>
    <w:rsid w:val="00EC3763"/>
    <w:rsid w:val="00EC44E4"/>
    <w:rsid w:val="00EC543E"/>
    <w:rsid w:val="00EC5484"/>
    <w:rsid w:val="00EC5679"/>
    <w:rsid w:val="00EC59FA"/>
    <w:rsid w:val="00EC5EBC"/>
    <w:rsid w:val="00EC6A4A"/>
    <w:rsid w:val="00EC6CCB"/>
    <w:rsid w:val="00EC70ED"/>
    <w:rsid w:val="00EC7FAD"/>
    <w:rsid w:val="00ED05B9"/>
    <w:rsid w:val="00ED09D7"/>
    <w:rsid w:val="00ED1891"/>
    <w:rsid w:val="00ED1A2A"/>
    <w:rsid w:val="00ED1F05"/>
    <w:rsid w:val="00ED27ED"/>
    <w:rsid w:val="00ED2C78"/>
    <w:rsid w:val="00ED34C1"/>
    <w:rsid w:val="00ED3808"/>
    <w:rsid w:val="00ED3A6D"/>
    <w:rsid w:val="00ED4E2E"/>
    <w:rsid w:val="00ED52A5"/>
    <w:rsid w:val="00ED540A"/>
    <w:rsid w:val="00ED5A3D"/>
    <w:rsid w:val="00ED642E"/>
    <w:rsid w:val="00ED6FAE"/>
    <w:rsid w:val="00ED707F"/>
    <w:rsid w:val="00ED70F1"/>
    <w:rsid w:val="00ED71BB"/>
    <w:rsid w:val="00EE03B2"/>
    <w:rsid w:val="00EE0C06"/>
    <w:rsid w:val="00EE0E1B"/>
    <w:rsid w:val="00EE20BF"/>
    <w:rsid w:val="00EE2CF0"/>
    <w:rsid w:val="00EE2DFF"/>
    <w:rsid w:val="00EE388C"/>
    <w:rsid w:val="00EE459E"/>
    <w:rsid w:val="00EE47FF"/>
    <w:rsid w:val="00EE4C33"/>
    <w:rsid w:val="00EE5025"/>
    <w:rsid w:val="00EE55B6"/>
    <w:rsid w:val="00EE5F26"/>
    <w:rsid w:val="00EE7E4C"/>
    <w:rsid w:val="00EE7FB1"/>
    <w:rsid w:val="00EF03E8"/>
    <w:rsid w:val="00EF0FE3"/>
    <w:rsid w:val="00EF3F84"/>
    <w:rsid w:val="00EF4369"/>
    <w:rsid w:val="00EF4EA2"/>
    <w:rsid w:val="00EF5561"/>
    <w:rsid w:val="00EF5AAD"/>
    <w:rsid w:val="00EF6160"/>
    <w:rsid w:val="00EF62F4"/>
    <w:rsid w:val="00EF672D"/>
    <w:rsid w:val="00EF70DD"/>
    <w:rsid w:val="00EF71EF"/>
    <w:rsid w:val="00EF7609"/>
    <w:rsid w:val="00EF7642"/>
    <w:rsid w:val="00EF7C54"/>
    <w:rsid w:val="00F00961"/>
    <w:rsid w:val="00F00DFE"/>
    <w:rsid w:val="00F03267"/>
    <w:rsid w:val="00F04EA2"/>
    <w:rsid w:val="00F058AD"/>
    <w:rsid w:val="00F061D9"/>
    <w:rsid w:val="00F064D8"/>
    <w:rsid w:val="00F06B4E"/>
    <w:rsid w:val="00F06C9E"/>
    <w:rsid w:val="00F07268"/>
    <w:rsid w:val="00F0737E"/>
    <w:rsid w:val="00F10027"/>
    <w:rsid w:val="00F110BA"/>
    <w:rsid w:val="00F11116"/>
    <w:rsid w:val="00F1136C"/>
    <w:rsid w:val="00F11395"/>
    <w:rsid w:val="00F113CF"/>
    <w:rsid w:val="00F1193E"/>
    <w:rsid w:val="00F11F86"/>
    <w:rsid w:val="00F125EC"/>
    <w:rsid w:val="00F129A1"/>
    <w:rsid w:val="00F12E46"/>
    <w:rsid w:val="00F133B5"/>
    <w:rsid w:val="00F1366F"/>
    <w:rsid w:val="00F13BB0"/>
    <w:rsid w:val="00F1452F"/>
    <w:rsid w:val="00F1486E"/>
    <w:rsid w:val="00F14A45"/>
    <w:rsid w:val="00F15090"/>
    <w:rsid w:val="00F15299"/>
    <w:rsid w:val="00F15697"/>
    <w:rsid w:val="00F15B4A"/>
    <w:rsid w:val="00F15CFD"/>
    <w:rsid w:val="00F15D64"/>
    <w:rsid w:val="00F17581"/>
    <w:rsid w:val="00F17845"/>
    <w:rsid w:val="00F17C12"/>
    <w:rsid w:val="00F17DC1"/>
    <w:rsid w:val="00F17EE0"/>
    <w:rsid w:val="00F200AF"/>
    <w:rsid w:val="00F21042"/>
    <w:rsid w:val="00F214B7"/>
    <w:rsid w:val="00F21D72"/>
    <w:rsid w:val="00F2240B"/>
    <w:rsid w:val="00F22C92"/>
    <w:rsid w:val="00F235AA"/>
    <w:rsid w:val="00F23FBE"/>
    <w:rsid w:val="00F248C3"/>
    <w:rsid w:val="00F24AB3"/>
    <w:rsid w:val="00F25198"/>
    <w:rsid w:val="00F2578F"/>
    <w:rsid w:val="00F25B06"/>
    <w:rsid w:val="00F25C04"/>
    <w:rsid w:val="00F26176"/>
    <w:rsid w:val="00F26908"/>
    <w:rsid w:val="00F26AF4"/>
    <w:rsid w:val="00F27939"/>
    <w:rsid w:val="00F305A6"/>
    <w:rsid w:val="00F31511"/>
    <w:rsid w:val="00F31B6C"/>
    <w:rsid w:val="00F333EF"/>
    <w:rsid w:val="00F334AA"/>
    <w:rsid w:val="00F34DB2"/>
    <w:rsid w:val="00F3523E"/>
    <w:rsid w:val="00F35B80"/>
    <w:rsid w:val="00F35CE4"/>
    <w:rsid w:val="00F35D0E"/>
    <w:rsid w:val="00F36121"/>
    <w:rsid w:val="00F36416"/>
    <w:rsid w:val="00F36909"/>
    <w:rsid w:val="00F369AC"/>
    <w:rsid w:val="00F36A91"/>
    <w:rsid w:val="00F36C8B"/>
    <w:rsid w:val="00F37AA4"/>
    <w:rsid w:val="00F37E16"/>
    <w:rsid w:val="00F40D75"/>
    <w:rsid w:val="00F40DD9"/>
    <w:rsid w:val="00F4148F"/>
    <w:rsid w:val="00F41950"/>
    <w:rsid w:val="00F426CF"/>
    <w:rsid w:val="00F4275F"/>
    <w:rsid w:val="00F42864"/>
    <w:rsid w:val="00F42BC6"/>
    <w:rsid w:val="00F43D6C"/>
    <w:rsid w:val="00F44C76"/>
    <w:rsid w:val="00F4547E"/>
    <w:rsid w:val="00F45A83"/>
    <w:rsid w:val="00F45B4D"/>
    <w:rsid w:val="00F45F96"/>
    <w:rsid w:val="00F46295"/>
    <w:rsid w:val="00F47569"/>
    <w:rsid w:val="00F47E9E"/>
    <w:rsid w:val="00F5168F"/>
    <w:rsid w:val="00F51C9A"/>
    <w:rsid w:val="00F51F32"/>
    <w:rsid w:val="00F5240E"/>
    <w:rsid w:val="00F528CD"/>
    <w:rsid w:val="00F5295D"/>
    <w:rsid w:val="00F53B16"/>
    <w:rsid w:val="00F5425B"/>
    <w:rsid w:val="00F54892"/>
    <w:rsid w:val="00F54CD1"/>
    <w:rsid w:val="00F555E6"/>
    <w:rsid w:val="00F56658"/>
    <w:rsid w:val="00F56D08"/>
    <w:rsid w:val="00F5726F"/>
    <w:rsid w:val="00F57698"/>
    <w:rsid w:val="00F57A9B"/>
    <w:rsid w:val="00F60B3F"/>
    <w:rsid w:val="00F61AFC"/>
    <w:rsid w:val="00F63837"/>
    <w:rsid w:val="00F64149"/>
    <w:rsid w:val="00F644B8"/>
    <w:rsid w:val="00F65429"/>
    <w:rsid w:val="00F657C9"/>
    <w:rsid w:val="00F65881"/>
    <w:rsid w:val="00F65CB1"/>
    <w:rsid w:val="00F6671D"/>
    <w:rsid w:val="00F66C7A"/>
    <w:rsid w:val="00F672E0"/>
    <w:rsid w:val="00F703DE"/>
    <w:rsid w:val="00F70D32"/>
    <w:rsid w:val="00F71029"/>
    <w:rsid w:val="00F712E8"/>
    <w:rsid w:val="00F71426"/>
    <w:rsid w:val="00F7158D"/>
    <w:rsid w:val="00F71E17"/>
    <w:rsid w:val="00F725D7"/>
    <w:rsid w:val="00F726AE"/>
    <w:rsid w:val="00F729B4"/>
    <w:rsid w:val="00F72AFC"/>
    <w:rsid w:val="00F73645"/>
    <w:rsid w:val="00F74716"/>
    <w:rsid w:val="00F74CFE"/>
    <w:rsid w:val="00F75115"/>
    <w:rsid w:val="00F75136"/>
    <w:rsid w:val="00F7543E"/>
    <w:rsid w:val="00F75719"/>
    <w:rsid w:val="00F75AC8"/>
    <w:rsid w:val="00F7634E"/>
    <w:rsid w:val="00F77AE2"/>
    <w:rsid w:val="00F77B07"/>
    <w:rsid w:val="00F8076D"/>
    <w:rsid w:val="00F80DF9"/>
    <w:rsid w:val="00F816D4"/>
    <w:rsid w:val="00F82A4D"/>
    <w:rsid w:val="00F82E32"/>
    <w:rsid w:val="00F83255"/>
    <w:rsid w:val="00F848F1"/>
    <w:rsid w:val="00F84C43"/>
    <w:rsid w:val="00F85A53"/>
    <w:rsid w:val="00F860DC"/>
    <w:rsid w:val="00F865D2"/>
    <w:rsid w:val="00F87132"/>
    <w:rsid w:val="00F87676"/>
    <w:rsid w:val="00F87C3A"/>
    <w:rsid w:val="00F9066E"/>
    <w:rsid w:val="00F906ED"/>
    <w:rsid w:val="00F92E3A"/>
    <w:rsid w:val="00F93045"/>
    <w:rsid w:val="00F939BE"/>
    <w:rsid w:val="00F93DA9"/>
    <w:rsid w:val="00F94156"/>
    <w:rsid w:val="00F948CB"/>
    <w:rsid w:val="00F95266"/>
    <w:rsid w:val="00F95A39"/>
    <w:rsid w:val="00F9610F"/>
    <w:rsid w:val="00F96E40"/>
    <w:rsid w:val="00F973B1"/>
    <w:rsid w:val="00F97472"/>
    <w:rsid w:val="00F979DB"/>
    <w:rsid w:val="00FA0503"/>
    <w:rsid w:val="00FA08EE"/>
    <w:rsid w:val="00FA1616"/>
    <w:rsid w:val="00FA1F54"/>
    <w:rsid w:val="00FA200F"/>
    <w:rsid w:val="00FA2485"/>
    <w:rsid w:val="00FA2FEC"/>
    <w:rsid w:val="00FA351F"/>
    <w:rsid w:val="00FA36B6"/>
    <w:rsid w:val="00FA42B6"/>
    <w:rsid w:val="00FA43AA"/>
    <w:rsid w:val="00FA47CE"/>
    <w:rsid w:val="00FA4A43"/>
    <w:rsid w:val="00FA574A"/>
    <w:rsid w:val="00FA5952"/>
    <w:rsid w:val="00FA62D7"/>
    <w:rsid w:val="00FA6963"/>
    <w:rsid w:val="00FA6A64"/>
    <w:rsid w:val="00FA700E"/>
    <w:rsid w:val="00FB04C8"/>
    <w:rsid w:val="00FB0655"/>
    <w:rsid w:val="00FB072C"/>
    <w:rsid w:val="00FB17F0"/>
    <w:rsid w:val="00FB27BA"/>
    <w:rsid w:val="00FB28FD"/>
    <w:rsid w:val="00FB2C33"/>
    <w:rsid w:val="00FB2C9E"/>
    <w:rsid w:val="00FB2F38"/>
    <w:rsid w:val="00FB3B6F"/>
    <w:rsid w:val="00FB3CBE"/>
    <w:rsid w:val="00FB432A"/>
    <w:rsid w:val="00FB4CD0"/>
    <w:rsid w:val="00FB5385"/>
    <w:rsid w:val="00FB540A"/>
    <w:rsid w:val="00FB583C"/>
    <w:rsid w:val="00FB5F93"/>
    <w:rsid w:val="00FB6B8A"/>
    <w:rsid w:val="00FB7731"/>
    <w:rsid w:val="00FC044F"/>
    <w:rsid w:val="00FC0515"/>
    <w:rsid w:val="00FC0BE8"/>
    <w:rsid w:val="00FC0CF3"/>
    <w:rsid w:val="00FC1041"/>
    <w:rsid w:val="00FC118F"/>
    <w:rsid w:val="00FC165A"/>
    <w:rsid w:val="00FC1C24"/>
    <w:rsid w:val="00FC30B4"/>
    <w:rsid w:val="00FC3458"/>
    <w:rsid w:val="00FC3722"/>
    <w:rsid w:val="00FC3FA5"/>
    <w:rsid w:val="00FC42D7"/>
    <w:rsid w:val="00FC46B2"/>
    <w:rsid w:val="00FC50F0"/>
    <w:rsid w:val="00FC5440"/>
    <w:rsid w:val="00FC5A82"/>
    <w:rsid w:val="00FC5B92"/>
    <w:rsid w:val="00FC5C41"/>
    <w:rsid w:val="00FC6215"/>
    <w:rsid w:val="00FC68A1"/>
    <w:rsid w:val="00FC68F5"/>
    <w:rsid w:val="00FC6FEE"/>
    <w:rsid w:val="00FC7D7C"/>
    <w:rsid w:val="00FD0635"/>
    <w:rsid w:val="00FD0773"/>
    <w:rsid w:val="00FD0A88"/>
    <w:rsid w:val="00FD0B17"/>
    <w:rsid w:val="00FD0D50"/>
    <w:rsid w:val="00FD103C"/>
    <w:rsid w:val="00FD110D"/>
    <w:rsid w:val="00FD1570"/>
    <w:rsid w:val="00FD23CF"/>
    <w:rsid w:val="00FD264A"/>
    <w:rsid w:val="00FD28A5"/>
    <w:rsid w:val="00FD2B1F"/>
    <w:rsid w:val="00FD2B98"/>
    <w:rsid w:val="00FD2FFC"/>
    <w:rsid w:val="00FD3304"/>
    <w:rsid w:val="00FD3660"/>
    <w:rsid w:val="00FD398C"/>
    <w:rsid w:val="00FD3C8E"/>
    <w:rsid w:val="00FD402C"/>
    <w:rsid w:val="00FD42E0"/>
    <w:rsid w:val="00FD6175"/>
    <w:rsid w:val="00FD637B"/>
    <w:rsid w:val="00FD7226"/>
    <w:rsid w:val="00FD72E1"/>
    <w:rsid w:val="00FD737A"/>
    <w:rsid w:val="00FD7395"/>
    <w:rsid w:val="00FD79A4"/>
    <w:rsid w:val="00FE0337"/>
    <w:rsid w:val="00FE0DAD"/>
    <w:rsid w:val="00FE0E69"/>
    <w:rsid w:val="00FE2559"/>
    <w:rsid w:val="00FE2921"/>
    <w:rsid w:val="00FE2FF2"/>
    <w:rsid w:val="00FE342E"/>
    <w:rsid w:val="00FE450D"/>
    <w:rsid w:val="00FE5181"/>
    <w:rsid w:val="00FE58B5"/>
    <w:rsid w:val="00FE5BDD"/>
    <w:rsid w:val="00FE6A42"/>
    <w:rsid w:val="00FE7084"/>
    <w:rsid w:val="00FE7158"/>
    <w:rsid w:val="00FE7941"/>
    <w:rsid w:val="00FE79BB"/>
    <w:rsid w:val="00FE7F07"/>
    <w:rsid w:val="00FF05C1"/>
    <w:rsid w:val="00FF0777"/>
    <w:rsid w:val="00FF0A0F"/>
    <w:rsid w:val="00FF0A4B"/>
    <w:rsid w:val="00FF0C5B"/>
    <w:rsid w:val="00FF2696"/>
    <w:rsid w:val="00FF27E9"/>
    <w:rsid w:val="00FF3D7B"/>
    <w:rsid w:val="00FF3D7E"/>
    <w:rsid w:val="00FF4A77"/>
    <w:rsid w:val="00FF5255"/>
    <w:rsid w:val="00FF5869"/>
    <w:rsid w:val="00FF5EF6"/>
    <w:rsid w:val="00FF5F9F"/>
    <w:rsid w:val="00FF60E4"/>
    <w:rsid w:val="00FF6C4A"/>
    <w:rsid w:val="00FF715B"/>
    <w:rsid w:val="00FF73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06026"/>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uiPriority w:val="9"/>
    <w:qFormat/>
    <w:rsid w:val="00325CCF"/>
    <w:pPr>
      <w:keepNext/>
      <w:spacing w:before="240" w:after="60"/>
      <w:outlineLvl w:val="0"/>
    </w:pPr>
    <w:rPr>
      <w:rFonts w:ascii="Cambria" w:hAnsi="Cambria"/>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qFormat/>
    <w:rsid w:val="000F4DBC"/>
    <w:pPr>
      <w:keepNext/>
      <w:spacing w:before="240" w:after="60"/>
      <w:outlineLvl w:val="1"/>
    </w:pPr>
    <w:rPr>
      <w:rFonts w:ascii="Arial" w:hAnsi="Arial"/>
      <w:b/>
      <w:bCs/>
      <w:i/>
      <w:iCs/>
      <w:color w:val="76923C"/>
      <w:sz w:val="28"/>
      <w:szCs w:val="28"/>
    </w:rPr>
  </w:style>
  <w:style w:type="paragraph" w:styleId="Nadpis3">
    <w:name w:val="heading 3"/>
    <w:basedOn w:val="Normln"/>
    <w:next w:val="Normln"/>
    <w:link w:val="Nadpis3Char"/>
    <w:qFormat/>
    <w:rsid w:val="000F2A6C"/>
    <w:pPr>
      <w:keepNext/>
      <w:spacing w:before="240" w:after="60"/>
      <w:outlineLvl w:val="2"/>
    </w:pPr>
    <w:rPr>
      <w:b/>
      <w:bCs/>
      <w:color w:val="4F6228" w:themeColor="accent3" w:themeShade="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325CCF"/>
    <w:rPr>
      <w:rFonts w:ascii="Cambria" w:hAnsi="Cambria"/>
      <w:b/>
      <w:kern w:val="32"/>
      <w:sz w:val="32"/>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link w:val="Nadpis2"/>
    <w:uiPriority w:val="9"/>
    <w:rsid w:val="000F4DBC"/>
    <w:rPr>
      <w:rFonts w:ascii="Arial" w:hAnsi="Arial"/>
      <w:b/>
      <w:i/>
      <w:color w:val="76923C"/>
      <w:sz w:val="28"/>
    </w:rPr>
  </w:style>
  <w:style w:type="character" w:customStyle="1" w:styleId="Nadpis3Char">
    <w:name w:val="Nadpis 3 Char"/>
    <w:link w:val="Nadpis3"/>
    <w:rsid w:val="000F2A6C"/>
    <w:rPr>
      <w:b/>
      <w:bCs/>
      <w:color w:val="4F6228" w:themeColor="accent3" w:themeShade="80"/>
      <w:sz w:val="24"/>
      <w:szCs w:val="24"/>
    </w:rPr>
  </w:style>
  <w:style w:type="table" w:styleId="Mkatabulky">
    <w:name w:val="Table Grid"/>
    <w:basedOn w:val="Normlntabulka"/>
    <w:uiPriority w:val="59"/>
    <w:rsid w:val="007A3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ln"/>
    <w:rsid w:val="00F65CB1"/>
    <w:pPr>
      <w:spacing w:after="160" w:line="240" w:lineRule="exact"/>
    </w:pPr>
    <w:rPr>
      <w:rFonts w:ascii="Times New Roman Bold" w:hAnsi="Times New Roman Bold"/>
      <w:sz w:val="22"/>
      <w:szCs w:val="26"/>
      <w:lang w:val="sk-SK" w:eastAsia="en-US"/>
    </w:rPr>
  </w:style>
  <w:style w:type="character" w:styleId="Odkaznakoment">
    <w:name w:val="annotation reference"/>
    <w:basedOn w:val="Standardnpsmoodstavce"/>
    <w:uiPriority w:val="99"/>
    <w:semiHidden/>
    <w:rsid w:val="00A343F3"/>
    <w:rPr>
      <w:sz w:val="16"/>
    </w:rPr>
  </w:style>
  <w:style w:type="paragraph" w:styleId="Textkomente">
    <w:name w:val="annotation text"/>
    <w:basedOn w:val="Normln"/>
    <w:link w:val="TextkomenteChar"/>
    <w:uiPriority w:val="99"/>
    <w:semiHidden/>
    <w:rsid w:val="00A343F3"/>
  </w:style>
  <w:style w:type="character" w:customStyle="1" w:styleId="TextkomenteChar">
    <w:name w:val="Text komentáře Char"/>
    <w:basedOn w:val="Standardnpsmoodstavce"/>
    <w:link w:val="Textkomente"/>
    <w:uiPriority w:val="99"/>
    <w:semiHidden/>
    <w:rsid w:val="000F4DBC"/>
    <w:rPr>
      <w:rFonts w:cs="Times New Roman"/>
    </w:rPr>
  </w:style>
  <w:style w:type="paragraph" w:styleId="Textbubliny">
    <w:name w:val="Balloon Text"/>
    <w:basedOn w:val="Normln"/>
    <w:semiHidden/>
    <w:rsid w:val="00A343F3"/>
    <w:rPr>
      <w:rFonts w:ascii="Tahoma" w:hAnsi="Tahoma" w:cs="Tahoma"/>
      <w:sz w:val="16"/>
      <w:szCs w:val="16"/>
    </w:rPr>
  </w:style>
  <w:style w:type="paragraph" w:styleId="Zpat">
    <w:name w:val="footer"/>
    <w:basedOn w:val="Normln"/>
    <w:link w:val="ZpatChar"/>
    <w:uiPriority w:val="99"/>
    <w:rsid w:val="008831AA"/>
    <w:pPr>
      <w:tabs>
        <w:tab w:val="center" w:pos="4536"/>
        <w:tab w:val="right" w:pos="9072"/>
      </w:tabs>
    </w:pPr>
  </w:style>
  <w:style w:type="character" w:customStyle="1" w:styleId="ZpatChar">
    <w:name w:val="Zápatí Char"/>
    <w:link w:val="Zpat"/>
    <w:uiPriority w:val="99"/>
    <w:rsid w:val="0077415D"/>
  </w:style>
  <w:style w:type="character" w:styleId="slostrnky">
    <w:name w:val="page number"/>
    <w:basedOn w:val="Standardnpsmoodstavce"/>
    <w:rsid w:val="008831AA"/>
    <w:rPr>
      <w:rFonts w:cs="Times New Roman"/>
    </w:rPr>
  </w:style>
  <w:style w:type="paragraph" w:styleId="Zhlav">
    <w:name w:val="header"/>
    <w:basedOn w:val="Normln"/>
    <w:link w:val="ZhlavChar"/>
    <w:rsid w:val="008831AA"/>
    <w:pPr>
      <w:tabs>
        <w:tab w:val="center" w:pos="4536"/>
        <w:tab w:val="right" w:pos="9072"/>
      </w:tabs>
    </w:pPr>
  </w:style>
  <w:style w:type="character" w:customStyle="1" w:styleId="ZhlavChar">
    <w:name w:val="Záhlaví Char"/>
    <w:link w:val="Zhlav"/>
    <w:rsid w:val="0077415D"/>
  </w:style>
  <w:style w:type="paragraph" w:styleId="Pedmtkomente">
    <w:name w:val="annotation subject"/>
    <w:basedOn w:val="Textkomente"/>
    <w:next w:val="Textkomente"/>
    <w:semiHidden/>
    <w:rsid w:val="00485160"/>
    <w:rPr>
      <w:b/>
      <w:bCs/>
    </w:rPr>
  </w:style>
  <w:style w:type="paragraph" w:customStyle="1" w:styleId="CharChar1">
    <w:name w:val="Char Char1"/>
    <w:basedOn w:val="Normln"/>
    <w:rsid w:val="00AF4D35"/>
    <w:pPr>
      <w:spacing w:after="160" w:line="240" w:lineRule="exact"/>
    </w:pPr>
    <w:rPr>
      <w:rFonts w:ascii="Times New Roman Bold" w:hAnsi="Times New Roman Bold"/>
      <w:b/>
      <w:sz w:val="26"/>
      <w:szCs w:val="26"/>
      <w:lang w:val="sk-SK" w:eastAsia="en-US"/>
    </w:rPr>
  </w:style>
  <w:style w:type="character" w:styleId="Hypertextovodkaz">
    <w:name w:val="Hyperlink"/>
    <w:basedOn w:val="Standardnpsmoodstavce"/>
    <w:uiPriority w:val="99"/>
    <w:rsid w:val="00FC165A"/>
    <w:rPr>
      <w:color w:val="0000FF"/>
      <w:u w:val="single"/>
    </w:rPr>
  </w:style>
  <w:style w:type="paragraph" w:customStyle="1" w:styleId="Odstavecseseznamem1">
    <w:name w:val="Odstavec se seznamem1"/>
    <w:basedOn w:val="Normln"/>
    <w:link w:val="ListParagraphChar"/>
    <w:rsid w:val="00FC165A"/>
    <w:pPr>
      <w:ind w:left="708"/>
    </w:pPr>
  </w:style>
  <w:style w:type="character" w:customStyle="1" w:styleId="ListParagraphChar">
    <w:name w:val="List Paragraph Char"/>
    <w:link w:val="Odstavecseseznamem1"/>
    <w:rsid w:val="00395FA0"/>
  </w:style>
  <w:style w:type="character" w:customStyle="1" w:styleId="slovnik">
    <w:name w:val="slovnik"/>
    <w:rsid w:val="00924B6A"/>
  </w:style>
  <w:style w:type="character" w:styleId="Siln">
    <w:name w:val="Strong"/>
    <w:basedOn w:val="Standardnpsmoodstavce"/>
    <w:uiPriority w:val="22"/>
    <w:qFormat/>
    <w:rsid w:val="00924B6A"/>
    <w:rPr>
      <w:b/>
    </w:rPr>
  </w:style>
  <w:style w:type="character" w:styleId="Znakapoznpodarou">
    <w:name w:val="footnote reference"/>
    <w:aliases w:val="PGI Fußnote Ziffer"/>
    <w:basedOn w:val="Standardnpsmoodstavce"/>
    <w:rsid w:val="000F4DBC"/>
    <w:rPr>
      <w:vertAlign w:val="superscript"/>
    </w:rPr>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1"/>
    <w:uiPriority w:val="99"/>
    <w:semiHidden/>
    <w:rsid w:val="000F4DBC"/>
  </w:style>
  <w:style w:type="character" w:customStyle="1" w:styleId="TextpoznpodarouChar1">
    <w:name w:val="Text pozn. pod čarou Char1"/>
    <w:aliases w:val="Schriftart: 9 pt Char,Schriftart: 10 pt Char,Schriftart: 8 pt Char,pozn. pod čarou Char,Text poznámky pod čiarou 007 Char,Fußnotentextf Char,Geneva 9 Char,Font: Geneva 9 Char,Boston 10 Char,f Char,Podrozdział Char"/>
    <w:link w:val="Textpoznpodarou"/>
    <w:uiPriority w:val="99"/>
    <w:semiHidden/>
    <w:rsid w:val="000F4DBC"/>
  </w:style>
  <w:style w:type="character" w:customStyle="1" w:styleId="TextpoznpodarouChar">
    <w:name w:val="Text pozn. pod čarou Char"/>
    <w:basedOn w:val="Standardnpsmoodstavce"/>
    <w:uiPriority w:val="99"/>
    <w:semiHidden/>
    <w:rsid w:val="000F4DBC"/>
    <w:rPr>
      <w:rFonts w:cs="Times New Roman"/>
    </w:rPr>
  </w:style>
  <w:style w:type="paragraph" w:customStyle="1" w:styleId="tabulka">
    <w:name w:val="tabulka"/>
    <w:basedOn w:val="Normln"/>
    <w:next w:val="Normln"/>
    <w:qFormat/>
    <w:rsid w:val="000F4DBC"/>
    <w:pPr>
      <w:keepNext/>
    </w:pPr>
    <w:rPr>
      <w:b/>
      <w:szCs w:val="24"/>
    </w:rPr>
  </w:style>
  <w:style w:type="paragraph" w:styleId="Normlnweb">
    <w:name w:val="Normal (Web)"/>
    <w:basedOn w:val="Normln"/>
    <w:uiPriority w:val="99"/>
    <w:rsid w:val="001C4850"/>
    <w:pPr>
      <w:spacing w:after="240"/>
    </w:pPr>
    <w:rPr>
      <w:rFonts w:ascii="Arial" w:hAnsi="Arial" w:cs="Arial"/>
      <w:sz w:val="24"/>
      <w:szCs w:val="24"/>
    </w:rPr>
  </w:style>
  <w:style w:type="character" w:customStyle="1" w:styleId="ProsttextChar">
    <w:name w:val="Prostý text Char"/>
    <w:link w:val="Prosttext"/>
    <w:uiPriority w:val="99"/>
    <w:rsid w:val="00597974"/>
    <w:rPr>
      <w:rFonts w:ascii="Consolas" w:hAnsi="Consolas"/>
      <w:sz w:val="21"/>
    </w:rPr>
  </w:style>
  <w:style w:type="paragraph" w:styleId="Prosttext">
    <w:name w:val="Plain Text"/>
    <w:basedOn w:val="Normln"/>
    <w:link w:val="ProsttextChar"/>
    <w:uiPriority w:val="99"/>
    <w:rsid w:val="00597974"/>
    <w:rPr>
      <w:rFonts w:ascii="Consolas" w:hAnsi="Consolas"/>
      <w:sz w:val="21"/>
      <w:szCs w:val="21"/>
    </w:rPr>
  </w:style>
  <w:style w:type="character" w:customStyle="1" w:styleId="ProsttextChar1">
    <w:name w:val="Prostý text Char1"/>
    <w:semiHidden/>
    <w:rsid w:val="00597974"/>
    <w:rPr>
      <w:rFonts w:ascii="Courier New" w:hAnsi="Courier New"/>
    </w:rPr>
  </w:style>
  <w:style w:type="paragraph" w:customStyle="1" w:styleId="Graf">
    <w:name w:val="Graf"/>
    <w:basedOn w:val="tabulka"/>
    <w:next w:val="Normln"/>
    <w:qFormat/>
    <w:rsid w:val="00DF342F"/>
    <w:pPr>
      <w:numPr>
        <w:numId w:val="47"/>
      </w:numPr>
      <w:jc w:val="center"/>
    </w:pPr>
  </w:style>
  <w:style w:type="character" w:customStyle="1" w:styleId="Texttabulka">
    <w:name w:val="Text tabulka"/>
    <w:rsid w:val="002D12EC"/>
    <w:rPr>
      <w:rFonts w:ascii="Arial" w:hAnsi="Arial"/>
    </w:rPr>
  </w:style>
  <w:style w:type="paragraph" w:customStyle="1" w:styleId="Pa12">
    <w:name w:val="Pa12"/>
    <w:basedOn w:val="Normln"/>
    <w:next w:val="Normln"/>
    <w:rsid w:val="00BA50E1"/>
    <w:pPr>
      <w:autoSpaceDE w:val="0"/>
      <w:autoSpaceDN w:val="0"/>
      <w:adjustRightInd w:val="0"/>
      <w:spacing w:line="191" w:lineRule="atLeast"/>
    </w:pPr>
    <w:rPr>
      <w:rFonts w:ascii="Arial" w:hAnsi="Arial" w:cs="Arial"/>
      <w:sz w:val="24"/>
      <w:szCs w:val="24"/>
    </w:rPr>
  </w:style>
  <w:style w:type="paragraph" w:customStyle="1" w:styleId="Pa17">
    <w:name w:val="Pa17"/>
    <w:basedOn w:val="Normln"/>
    <w:next w:val="Normln"/>
    <w:rsid w:val="00BA50E1"/>
    <w:pPr>
      <w:autoSpaceDE w:val="0"/>
      <w:autoSpaceDN w:val="0"/>
      <w:adjustRightInd w:val="0"/>
      <w:spacing w:line="191" w:lineRule="atLeast"/>
    </w:pPr>
    <w:rPr>
      <w:rFonts w:ascii="Arial" w:hAnsi="Arial" w:cs="Arial"/>
      <w:sz w:val="24"/>
      <w:szCs w:val="24"/>
    </w:rPr>
  </w:style>
  <w:style w:type="paragraph" w:customStyle="1" w:styleId="Pa14">
    <w:name w:val="Pa14"/>
    <w:basedOn w:val="Normln"/>
    <w:next w:val="Normln"/>
    <w:rsid w:val="00BA50E1"/>
    <w:pPr>
      <w:autoSpaceDE w:val="0"/>
      <w:autoSpaceDN w:val="0"/>
      <w:adjustRightInd w:val="0"/>
      <w:spacing w:line="191" w:lineRule="atLeast"/>
    </w:pPr>
    <w:rPr>
      <w:rFonts w:ascii="Arial" w:hAnsi="Arial" w:cs="Arial"/>
      <w:sz w:val="24"/>
      <w:szCs w:val="24"/>
    </w:rPr>
  </w:style>
  <w:style w:type="character" w:customStyle="1" w:styleId="A10">
    <w:name w:val="A10"/>
    <w:rsid w:val="00BA50E1"/>
    <w:rPr>
      <w:color w:val="000000"/>
      <w:sz w:val="12"/>
    </w:rPr>
  </w:style>
  <w:style w:type="table" w:customStyle="1" w:styleId="Mkatabulky1">
    <w:name w:val="Mřížka tabulky1"/>
    <w:rsid w:val="00647DD8"/>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odtitul">
    <w:name w:val="Subtitle"/>
    <w:aliases w:val="Dílčí odstavce"/>
    <w:basedOn w:val="Normln"/>
    <w:link w:val="PodtitulChar"/>
    <w:qFormat/>
    <w:rsid w:val="00395FA0"/>
    <w:pPr>
      <w:spacing w:before="120" w:after="480" w:line="276" w:lineRule="auto"/>
      <w:jc w:val="center"/>
      <w:outlineLvl w:val="1"/>
    </w:pPr>
    <w:rPr>
      <w:rFonts w:ascii="Arial" w:hAnsi="Arial"/>
      <w:b/>
      <w:sz w:val="28"/>
      <w:szCs w:val="24"/>
    </w:rPr>
  </w:style>
  <w:style w:type="character" w:customStyle="1" w:styleId="PodtitulChar">
    <w:name w:val="Podtitul Char"/>
    <w:aliases w:val="Dílčí odstavce Char"/>
    <w:link w:val="Podtitul"/>
    <w:rsid w:val="00395FA0"/>
    <w:rPr>
      <w:rFonts w:ascii="Arial" w:hAnsi="Arial"/>
      <w:b/>
      <w:sz w:val="24"/>
    </w:rPr>
  </w:style>
  <w:style w:type="paragraph" w:customStyle="1" w:styleId="TextNOK">
    <w:name w:val="Text NOK"/>
    <w:basedOn w:val="Normln"/>
    <w:link w:val="TextNOKChar"/>
    <w:rsid w:val="0077415D"/>
    <w:pPr>
      <w:spacing w:line="312" w:lineRule="auto"/>
      <w:jc w:val="both"/>
    </w:pPr>
    <w:rPr>
      <w:sz w:val="22"/>
      <w:szCs w:val="24"/>
    </w:rPr>
  </w:style>
  <w:style w:type="character" w:customStyle="1" w:styleId="TextNOKChar">
    <w:name w:val="Text NOK Char"/>
    <w:link w:val="TextNOK"/>
    <w:rsid w:val="0077415D"/>
    <w:rPr>
      <w:sz w:val="24"/>
    </w:rPr>
  </w:style>
  <w:style w:type="paragraph" w:styleId="Obsah1">
    <w:name w:val="toc 1"/>
    <w:basedOn w:val="Normln"/>
    <w:next w:val="Normln"/>
    <w:autoRedefine/>
    <w:uiPriority w:val="39"/>
    <w:rsid w:val="00373B03"/>
    <w:pPr>
      <w:tabs>
        <w:tab w:val="left" w:pos="1540"/>
        <w:tab w:val="right" w:leader="dot" w:pos="9062"/>
      </w:tabs>
    </w:pPr>
  </w:style>
  <w:style w:type="paragraph" w:styleId="Obsah2">
    <w:name w:val="toc 2"/>
    <w:basedOn w:val="Normln"/>
    <w:next w:val="Normln"/>
    <w:autoRedefine/>
    <w:uiPriority w:val="39"/>
    <w:rsid w:val="0077415D"/>
    <w:pPr>
      <w:ind w:left="200"/>
    </w:pPr>
  </w:style>
  <w:style w:type="paragraph" w:styleId="Obsah3">
    <w:name w:val="toc 3"/>
    <w:basedOn w:val="Normln"/>
    <w:next w:val="Normln"/>
    <w:autoRedefine/>
    <w:uiPriority w:val="39"/>
    <w:rsid w:val="00902770"/>
    <w:pPr>
      <w:tabs>
        <w:tab w:val="right" w:leader="dot" w:pos="9062"/>
      </w:tabs>
    </w:pPr>
    <w:rPr>
      <w:bCs/>
      <w:noProof/>
    </w:rPr>
  </w:style>
  <w:style w:type="character" w:styleId="Sledovanodkaz">
    <w:name w:val="FollowedHyperlink"/>
    <w:basedOn w:val="Standardnpsmoodstavce"/>
    <w:semiHidden/>
    <w:rsid w:val="006078B2"/>
    <w:rPr>
      <w:color w:val="800080"/>
      <w:u w:val="single"/>
    </w:rPr>
  </w:style>
  <w:style w:type="character" w:customStyle="1" w:styleId="hword">
    <w:name w:val="h_word"/>
    <w:rsid w:val="00AD54CA"/>
  </w:style>
  <w:style w:type="paragraph" w:customStyle="1" w:styleId="Default">
    <w:name w:val="Default"/>
    <w:rsid w:val="00B90C30"/>
    <w:pPr>
      <w:autoSpaceDE w:val="0"/>
      <w:autoSpaceDN w:val="0"/>
      <w:adjustRightInd w:val="0"/>
    </w:pPr>
    <w:rPr>
      <w:color w:val="000000"/>
      <w:sz w:val="24"/>
      <w:szCs w:val="24"/>
    </w:rPr>
  </w:style>
  <w:style w:type="paragraph" w:styleId="Seznam2">
    <w:name w:val="List 2"/>
    <w:basedOn w:val="Normln"/>
    <w:rsid w:val="00A664CB"/>
    <w:pPr>
      <w:ind w:left="566" w:hanging="283"/>
    </w:pPr>
  </w:style>
  <w:style w:type="paragraph" w:customStyle="1" w:styleId="Revize1">
    <w:name w:val="Revize1"/>
    <w:hidden/>
    <w:semiHidden/>
    <w:rsid w:val="00E85056"/>
  </w:style>
  <w:style w:type="paragraph" w:styleId="Odstavecseseznamem">
    <w:name w:val="List Paragraph"/>
    <w:basedOn w:val="Normln"/>
    <w:link w:val="OdstavecseseznamemChar"/>
    <w:uiPriority w:val="34"/>
    <w:qFormat/>
    <w:rsid w:val="00EC70ED"/>
    <w:pPr>
      <w:ind w:left="720"/>
      <w:contextualSpacing/>
    </w:pPr>
  </w:style>
  <w:style w:type="character" w:customStyle="1" w:styleId="OdstavecseseznamemChar">
    <w:name w:val="Odstavec se seznamem Char"/>
    <w:basedOn w:val="Standardnpsmoodstavce"/>
    <w:link w:val="Odstavecseseznamem"/>
    <w:uiPriority w:val="34"/>
    <w:locked/>
    <w:rsid w:val="00701FB5"/>
  </w:style>
  <w:style w:type="paragraph" w:styleId="Revize">
    <w:name w:val="Revision"/>
    <w:hidden/>
    <w:uiPriority w:val="99"/>
    <w:semiHidden/>
    <w:rsid w:val="00DA098C"/>
  </w:style>
  <w:style w:type="paragraph" w:styleId="Nadpisobsahu">
    <w:name w:val="TOC Heading"/>
    <w:basedOn w:val="Nadpis1"/>
    <w:next w:val="Normln"/>
    <w:uiPriority w:val="39"/>
    <w:semiHidden/>
    <w:unhideWhenUsed/>
    <w:qFormat/>
    <w:rsid w:val="005F4A7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Zkladntext">
    <w:name w:val="Body Text"/>
    <w:basedOn w:val="Normln"/>
    <w:link w:val="ZkladntextChar"/>
    <w:rsid w:val="00323D53"/>
    <w:pPr>
      <w:spacing w:after="120"/>
    </w:pPr>
  </w:style>
  <w:style w:type="character" w:customStyle="1" w:styleId="ZkladntextChar">
    <w:name w:val="Základní text Char"/>
    <w:basedOn w:val="Standardnpsmoodstavce"/>
    <w:link w:val="Zkladntext"/>
    <w:rsid w:val="00323D53"/>
  </w:style>
  <w:style w:type="character" w:customStyle="1" w:styleId="apple-converted-space">
    <w:name w:val="apple-converted-space"/>
    <w:rsid w:val="00635B5D"/>
  </w:style>
  <w:style w:type="character" w:customStyle="1" w:styleId="highlightdictwords">
    <w:name w:val="highlight_dict_words"/>
    <w:basedOn w:val="Standardnpsmoodstavce"/>
    <w:rsid w:val="00FD1570"/>
  </w:style>
  <w:style w:type="paragraph" w:customStyle="1" w:styleId="text">
    <w:name w:val="* text"/>
    <w:basedOn w:val="Normln"/>
    <w:link w:val="textChar"/>
    <w:rsid w:val="00A753BB"/>
    <w:pPr>
      <w:spacing w:before="120" w:after="120"/>
      <w:jc w:val="both"/>
    </w:pPr>
    <w:rPr>
      <w:rFonts w:ascii="Century Gothic" w:hAnsi="Century Gothic"/>
      <w:sz w:val="22"/>
      <w:szCs w:val="24"/>
    </w:rPr>
  </w:style>
  <w:style w:type="character" w:customStyle="1" w:styleId="textChar">
    <w:name w:val="* text Char"/>
    <w:link w:val="text"/>
    <w:rsid w:val="00A753BB"/>
    <w:rPr>
      <w:rFonts w:ascii="Century Gothic" w:hAnsi="Century Gothic"/>
      <w:sz w:val="22"/>
      <w:szCs w:val="24"/>
    </w:rPr>
  </w:style>
  <w:style w:type="paragraph" w:customStyle="1" w:styleId="minikapitolka">
    <w:name w:val="* minikapitolka"/>
    <w:basedOn w:val="Normln"/>
    <w:next w:val="text"/>
    <w:link w:val="minikapitolkaChar"/>
    <w:rsid w:val="00C9250D"/>
    <w:pPr>
      <w:spacing w:before="120" w:after="120"/>
    </w:pPr>
    <w:rPr>
      <w:rFonts w:ascii="Century Gothic" w:hAnsi="Century Gothic"/>
      <w:b/>
      <w:sz w:val="22"/>
      <w:szCs w:val="24"/>
    </w:rPr>
  </w:style>
  <w:style w:type="character" w:customStyle="1" w:styleId="minikapitolkaChar">
    <w:name w:val="* minikapitolka Char"/>
    <w:link w:val="minikapitolka"/>
    <w:rsid w:val="00C9250D"/>
    <w:rPr>
      <w:rFonts w:ascii="Century Gothic" w:hAnsi="Century Gothic"/>
      <w:b/>
      <w:sz w:val="22"/>
      <w:szCs w:val="24"/>
    </w:rPr>
  </w:style>
  <w:style w:type="paragraph" w:customStyle="1" w:styleId="odrka">
    <w:name w:val="* odrážka"/>
    <w:basedOn w:val="Normln"/>
    <w:rsid w:val="00C9250D"/>
    <w:pPr>
      <w:numPr>
        <w:numId w:val="30"/>
      </w:numPr>
    </w:pPr>
    <w:rPr>
      <w:rFonts w:ascii="Century Gothic" w:hAnsi="Century Gothic"/>
      <w:sz w:val="22"/>
      <w:szCs w:val="24"/>
    </w:rPr>
  </w:style>
  <w:style w:type="character" w:customStyle="1" w:styleId="styltun">
    <w:name w:val="* styl tučně"/>
    <w:rsid w:val="0013183D"/>
    <w:rPr>
      <w:rFonts w:ascii="Arial" w:hAnsi="Arial"/>
      <w:b/>
      <w:bCs/>
      <w:sz w:val="22"/>
    </w:rPr>
  </w:style>
  <w:style w:type="paragraph" w:customStyle="1" w:styleId="textPDIOP">
    <w:name w:val="textPD IOP"/>
    <w:basedOn w:val="Normln"/>
    <w:qFormat/>
    <w:rsid w:val="00326C44"/>
    <w:pPr>
      <w:spacing w:after="240" w:line="312" w:lineRule="auto"/>
      <w:jc w:val="both"/>
    </w:pPr>
    <w:rPr>
      <w:rFonts w:ascii="Arial" w:hAnsi="Arial" w:cs="Arial"/>
      <w:lang w:eastAsia="en-US" w:bidi="en-US"/>
    </w:rPr>
  </w:style>
  <w:style w:type="character" w:customStyle="1" w:styleId="integra-normalniChar">
    <w:name w:val="integra - normalni Char"/>
    <w:link w:val="integra-normalni"/>
    <w:locked/>
    <w:rsid w:val="004655F9"/>
    <w:rPr>
      <w:rFonts w:ascii="Corbel" w:hAnsi="Corbel"/>
    </w:rPr>
  </w:style>
  <w:style w:type="paragraph" w:customStyle="1" w:styleId="integra-normalni">
    <w:name w:val="integra - normalni"/>
    <w:basedOn w:val="Normln"/>
    <w:link w:val="integra-normalniChar"/>
    <w:rsid w:val="004655F9"/>
    <w:pPr>
      <w:overflowPunct w:val="0"/>
      <w:autoSpaceDE w:val="0"/>
      <w:autoSpaceDN w:val="0"/>
      <w:adjustRightInd w:val="0"/>
      <w:spacing w:after="120" w:line="264" w:lineRule="auto"/>
      <w:jc w:val="both"/>
    </w:pPr>
    <w:rPr>
      <w:rFonts w:ascii="Corbel" w:hAnsi="Corbel"/>
    </w:rPr>
  </w:style>
  <w:style w:type="paragraph" w:customStyle="1" w:styleId="Bntext">
    <w:name w:val="*Běžný text"/>
    <w:basedOn w:val="Normln"/>
    <w:uiPriority w:val="99"/>
    <w:rsid w:val="004655F9"/>
    <w:pPr>
      <w:spacing w:after="120"/>
      <w:jc w:val="both"/>
    </w:pPr>
    <w:rPr>
      <w:sz w:val="24"/>
      <w:szCs w:val="24"/>
    </w:rPr>
  </w:style>
  <w:style w:type="paragraph" w:customStyle="1" w:styleId="Nzevkapitoly">
    <w:name w:val="*Název kapitoly"/>
    <w:basedOn w:val="Zkladntext"/>
    <w:uiPriority w:val="99"/>
    <w:rsid w:val="004655F9"/>
    <w:pPr>
      <w:spacing w:before="120"/>
      <w:jc w:val="both"/>
      <w:outlineLvl w:val="0"/>
    </w:pPr>
    <w:rPr>
      <w:rFonts w:ascii="Arial" w:hAnsi="Arial" w:cs="Arial"/>
      <w:b/>
      <w:bCs/>
      <w:sz w:val="28"/>
      <w:szCs w:val="28"/>
      <w:lang w:val="en-GB" w:eastAsia="en-US"/>
    </w:rPr>
  </w:style>
  <w:style w:type="paragraph" w:customStyle="1" w:styleId="text0">
    <w:name w:val="text"/>
    <w:basedOn w:val="Prosttext"/>
    <w:qFormat/>
    <w:rsid w:val="004655F9"/>
    <w:pPr>
      <w:spacing w:before="120" w:after="120" w:line="276" w:lineRule="auto"/>
      <w:jc w:val="both"/>
    </w:pPr>
    <w:rPr>
      <w:rFonts w:asciiTheme="minorHAnsi" w:hAnsiTheme="minorHAnsi"/>
      <w:sz w:val="22"/>
    </w:rPr>
  </w:style>
  <w:style w:type="paragraph" w:customStyle="1" w:styleId="Nadpis">
    <w:name w:val="Nadpis"/>
    <w:basedOn w:val="Prosttext"/>
    <w:qFormat/>
    <w:rsid w:val="00DD3191"/>
    <w:pPr>
      <w:spacing w:before="480" w:after="120" w:line="276" w:lineRule="auto"/>
      <w:jc w:val="both"/>
    </w:pPr>
    <w:rPr>
      <w:rFonts w:ascii="Cambria" w:hAnsi="Cambria"/>
      <w:b/>
      <w:i/>
      <w:iCs/>
      <w:sz w:val="26"/>
      <w:szCs w:val="26"/>
      <w:u w:val="single"/>
    </w:rPr>
  </w:style>
  <w:style w:type="paragraph" w:customStyle="1" w:styleId="odrky2">
    <w:name w:val="odrážky2"/>
    <w:basedOn w:val="Odstavecseseznamem"/>
    <w:qFormat/>
    <w:rsid w:val="0076695A"/>
    <w:pPr>
      <w:spacing w:before="60" w:line="276" w:lineRule="auto"/>
      <w:ind w:left="1440" w:hanging="360"/>
      <w:contextualSpacing w:val="0"/>
      <w:jc w:val="both"/>
    </w:pPr>
    <w:rPr>
      <w:rFonts w:ascii="Calibri" w:hAnsi="Calibri" w:cs="Calibri"/>
      <w:sz w:val="24"/>
      <w:szCs w:val="22"/>
      <w:lang w:eastAsia="en-US"/>
    </w:rPr>
  </w:style>
  <w:style w:type="paragraph" w:customStyle="1" w:styleId="text1">
    <w:name w:val="*text"/>
    <w:basedOn w:val="Normln"/>
    <w:link w:val="textChar0"/>
    <w:rsid w:val="00457E7F"/>
    <w:pPr>
      <w:spacing w:before="120" w:after="120"/>
      <w:jc w:val="both"/>
    </w:pPr>
    <w:rPr>
      <w:rFonts w:ascii="Century Gothic" w:hAnsi="Century Gothic"/>
      <w:sz w:val="22"/>
      <w:szCs w:val="24"/>
    </w:rPr>
  </w:style>
  <w:style w:type="character" w:customStyle="1" w:styleId="textChar0">
    <w:name w:val="*text Char"/>
    <w:link w:val="text1"/>
    <w:rsid w:val="00457E7F"/>
    <w:rPr>
      <w:rFonts w:ascii="Century Gothic" w:hAnsi="Century Gothic"/>
      <w:sz w:val="22"/>
      <w:szCs w:val="24"/>
    </w:rPr>
  </w:style>
  <w:style w:type="paragraph" w:customStyle="1" w:styleId="nazevgrafu">
    <w:name w:val="* nazev grafu"/>
    <w:basedOn w:val="Normln"/>
    <w:rsid w:val="00457E7F"/>
    <w:pPr>
      <w:spacing w:before="120" w:after="120"/>
      <w:jc w:val="both"/>
    </w:pPr>
    <w:rPr>
      <w:rFonts w:ascii="Century Gothic" w:hAnsi="Century Gothic"/>
      <w:b/>
      <w:sz w:val="22"/>
      <w:szCs w:val="24"/>
    </w:rPr>
  </w:style>
  <w:style w:type="paragraph" w:customStyle="1" w:styleId="poznmka">
    <w:name w:val="* poznámka"/>
    <w:basedOn w:val="Normln"/>
    <w:link w:val="poznmkaChar"/>
    <w:rsid w:val="00457E7F"/>
    <w:rPr>
      <w:rFonts w:ascii="Century Gothic" w:hAnsi="Century Gothic"/>
      <w:i/>
      <w:sz w:val="16"/>
      <w:szCs w:val="24"/>
    </w:rPr>
  </w:style>
  <w:style w:type="character" w:customStyle="1" w:styleId="poznmkaChar">
    <w:name w:val="* poznámka Char"/>
    <w:link w:val="poznmka"/>
    <w:rsid w:val="00457E7F"/>
    <w:rPr>
      <w:rFonts w:ascii="Century Gothic" w:hAnsi="Century Gothic"/>
      <w:i/>
      <w:sz w:val="16"/>
      <w:szCs w:val="24"/>
    </w:rPr>
  </w:style>
  <w:style w:type="paragraph" w:styleId="Obsah4">
    <w:name w:val="toc 4"/>
    <w:basedOn w:val="Normln"/>
    <w:next w:val="Normln"/>
    <w:autoRedefine/>
    <w:uiPriority w:val="39"/>
    <w:unhideWhenUsed/>
    <w:rsid w:val="00092AF9"/>
    <w:pPr>
      <w:spacing w:after="100" w:line="276" w:lineRule="auto"/>
      <w:ind w:left="660"/>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092AF9"/>
    <w:pPr>
      <w:spacing w:after="100" w:line="276"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092AF9"/>
    <w:pPr>
      <w:spacing w:after="100" w:line="276"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092AF9"/>
    <w:pPr>
      <w:spacing w:after="100" w:line="276"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092AF9"/>
    <w:pPr>
      <w:spacing w:after="100" w:line="276"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092AF9"/>
    <w:pPr>
      <w:spacing w:after="100" w:line="276" w:lineRule="auto"/>
      <w:ind w:left="1760"/>
    </w:pPr>
    <w:rPr>
      <w:rFonts w:asciiTheme="minorHAnsi" w:eastAsiaTheme="minorEastAsia" w:hAnsiTheme="minorHAnsi" w:cstheme="minorBidi"/>
      <w:sz w:val="22"/>
      <w:szCs w:val="22"/>
    </w:rPr>
  </w:style>
  <w:style w:type="character" w:customStyle="1" w:styleId="normlnChar2">
    <w:name w:val="normální Char2"/>
    <w:basedOn w:val="Standardnpsmoodstavce"/>
    <w:link w:val="normln0"/>
    <w:uiPriority w:val="99"/>
    <w:locked/>
    <w:rsid w:val="00A30A09"/>
  </w:style>
  <w:style w:type="paragraph" w:customStyle="1" w:styleId="normln0">
    <w:name w:val="normální"/>
    <w:basedOn w:val="Normln"/>
    <w:link w:val="normlnChar2"/>
    <w:uiPriority w:val="99"/>
    <w:rsid w:val="00A30A09"/>
    <w:pPr>
      <w:jc w:val="both"/>
    </w:pPr>
  </w:style>
  <w:style w:type="paragraph" w:customStyle="1" w:styleId="Tabulkanzev">
    <w:name w:val="Tabulka název"/>
    <w:basedOn w:val="Normln"/>
    <w:next w:val="Normln"/>
    <w:qFormat/>
    <w:rsid w:val="005A55CF"/>
    <w:pPr>
      <w:numPr>
        <w:numId w:val="50"/>
      </w:numPr>
      <w:jc w:val="center"/>
    </w:pPr>
    <w:rPr>
      <w:b/>
    </w:rPr>
  </w:style>
  <w:style w:type="character" w:customStyle="1" w:styleId="TitulekChar">
    <w:name w:val="Titulek Char"/>
    <w:basedOn w:val="Standardnpsmoodstavce"/>
    <w:link w:val="Titulek"/>
    <w:uiPriority w:val="35"/>
    <w:semiHidden/>
    <w:locked/>
    <w:rsid w:val="00FB0655"/>
    <w:rPr>
      <w:b/>
      <w:bCs/>
    </w:rPr>
  </w:style>
  <w:style w:type="paragraph" w:styleId="Titulek">
    <w:name w:val="caption"/>
    <w:basedOn w:val="Normln"/>
    <w:link w:val="TitulekChar"/>
    <w:uiPriority w:val="35"/>
    <w:semiHidden/>
    <w:unhideWhenUsed/>
    <w:qFormat/>
    <w:rsid w:val="00FB065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06026"/>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uiPriority w:val="9"/>
    <w:qFormat/>
    <w:rsid w:val="00325CCF"/>
    <w:pPr>
      <w:keepNext/>
      <w:spacing w:before="240" w:after="60"/>
      <w:outlineLvl w:val="0"/>
    </w:pPr>
    <w:rPr>
      <w:rFonts w:ascii="Cambria" w:hAnsi="Cambria"/>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qFormat/>
    <w:rsid w:val="000F4DBC"/>
    <w:pPr>
      <w:keepNext/>
      <w:spacing w:before="240" w:after="60"/>
      <w:outlineLvl w:val="1"/>
    </w:pPr>
    <w:rPr>
      <w:rFonts w:ascii="Arial" w:hAnsi="Arial"/>
      <w:b/>
      <w:bCs/>
      <w:i/>
      <w:iCs/>
      <w:color w:val="76923C"/>
      <w:sz w:val="28"/>
      <w:szCs w:val="28"/>
    </w:rPr>
  </w:style>
  <w:style w:type="paragraph" w:styleId="Nadpis3">
    <w:name w:val="heading 3"/>
    <w:basedOn w:val="Normln"/>
    <w:next w:val="Normln"/>
    <w:link w:val="Nadpis3Char"/>
    <w:qFormat/>
    <w:rsid w:val="000F2A6C"/>
    <w:pPr>
      <w:keepNext/>
      <w:spacing w:before="240" w:after="60"/>
      <w:outlineLvl w:val="2"/>
    </w:pPr>
    <w:rPr>
      <w:b/>
      <w:bCs/>
      <w:color w:val="4F6228" w:themeColor="accent3" w:themeShade="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325CCF"/>
    <w:rPr>
      <w:rFonts w:ascii="Cambria" w:hAnsi="Cambria"/>
      <w:b/>
      <w:kern w:val="32"/>
      <w:sz w:val="32"/>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link w:val="Nadpis2"/>
    <w:uiPriority w:val="9"/>
    <w:rsid w:val="000F4DBC"/>
    <w:rPr>
      <w:rFonts w:ascii="Arial" w:hAnsi="Arial"/>
      <w:b/>
      <w:i/>
      <w:color w:val="76923C"/>
      <w:sz w:val="28"/>
    </w:rPr>
  </w:style>
  <w:style w:type="character" w:customStyle="1" w:styleId="Nadpis3Char">
    <w:name w:val="Nadpis 3 Char"/>
    <w:link w:val="Nadpis3"/>
    <w:rsid w:val="000F2A6C"/>
    <w:rPr>
      <w:b/>
      <w:bCs/>
      <w:color w:val="4F6228" w:themeColor="accent3" w:themeShade="80"/>
      <w:sz w:val="24"/>
      <w:szCs w:val="24"/>
    </w:rPr>
  </w:style>
  <w:style w:type="table" w:styleId="Mkatabulky">
    <w:name w:val="Table Grid"/>
    <w:basedOn w:val="Normlntabulka"/>
    <w:uiPriority w:val="59"/>
    <w:rsid w:val="007A3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ln"/>
    <w:rsid w:val="00F65CB1"/>
    <w:pPr>
      <w:spacing w:after="160" w:line="240" w:lineRule="exact"/>
    </w:pPr>
    <w:rPr>
      <w:rFonts w:ascii="Times New Roman Bold" w:hAnsi="Times New Roman Bold"/>
      <w:sz w:val="22"/>
      <w:szCs w:val="26"/>
      <w:lang w:val="sk-SK" w:eastAsia="en-US"/>
    </w:rPr>
  </w:style>
  <w:style w:type="character" w:styleId="Odkaznakoment">
    <w:name w:val="annotation reference"/>
    <w:basedOn w:val="Standardnpsmoodstavce"/>
    <w:uiPriority w:val="99"/>
    <w:semiHidden/>
    <w:rsid w:val="00A343F3"/>
    <w:rPr>
      <w:sz w:val="16"/>
    </w:rPr>
  </w:style>
  <w:style w:type="paragraph" w:styleId="Textkomente">
    <w:name w:val="annotation text"/>
    <w:basedOn w:val="Normln"/>
    <w:link w:val="TextkomenteChar"/>
    <w:uiPriority w:val="99"/>
    <w:semiHidden/>
    <w:rsid w:val="00A343F3"/>
  </w:style>
  <w:style w:type="character" w:customStyle="1" w:styleId="TextkomenteChar">
    <w:name w:val="Text komentáře Char"/>
    <w:basedOn w:val="Standardnpsmoodstavce"/>
    <w:link w:val="Textkomente"/>
    <w:uiPriority w:val="99"/>
    <w:semiHidden/>
    <w:rsid w:val="000F4DBC"/>
    <w:rPr>
      <w:rFonts w:cs="Times New Roman"/>
    </w:rPr>
  </w:style>
  <w:style w:type="paragraph" w:styleId="Textbubliny">
    <w:name w:val="Balloon Text"/>
    <w:basedOn w:val="Normln"/>
    <w:semiHidden/>
    <w:rsid w:val="00A343F3"/>
    <w:rPr>
      <w:rFonts w:ascii="Tahoma" w:hAnsi="Tahoma" w:cs="Tahoma"/>
      <w:sz w:val="16"/>
      <w:szCs w:val="16"/>
    </w:rPr>
  </w:style>
  <w:style w:type="paragraph" w:styleId="Zpat">
    <w:name w:val="footer"/>
    <w:basedOn w:val="Normln"/>
    <w:link w:val="ZpatChar"/>
    <w:uiPriority w:val="99"/>
    <w:rsid w:val="008831AA"/>
    <w:pPr>
      <w:tabs>
        <w:tab w:val="center" w:pos="4536"/>
        <w:tab w:val="right" w:pos="9072"/>
      </w:tabs>
    </w:pPr>
  </w:style>
  <w:style w:type="character" w:customStyle="1" w:styleId="ZpatChar">
    <w:name w:val="Zápatí Char"/>
    <w:link w:val="Zpat"/>
    <w:uiPriority w:val="99"/>
    <w:rsid w:val="0077415D"/>
  </w:style>
  <w:style w:type="character" w:styleId="slostrnky">
    <w:name w:val="page number"/>
    <w:basedOn w:val="Standardnpsmoodstavce"/>
    <w:rsid w:val="008831AA"/>
    <w:rPr>
      <w:rFonts w:cs="Times New Roman"/>
    </w:rPr>
  </w:style>
  <w:style w:type="paragraph" w:styleId="Zhlav">
    <w:name w:val="header"/>
    <w:basedOn w:val="Normln"/>
    <w:link w:val="ZhlavChar"/>
    <w:rsid w:val="008831AA"/>
    <w:pPr>
      <w:tabs>
        <w:tab w:val="center" w:pos="4536"/>
        <w:tab w:val="right" w:pos="9072"/>
      </w:tabs>
    </w:pPr>
  </w:style>
  <w:style w:type="character" w:customStyle="1" w:styleId="ZhlavChar">
    <w:name w:val="Záhlaví Char"/>
    <w:link w:val="Zhlav"/>
    <w:rsid w:val="0077415D"/>
  </w:style>
  <w:style w:type="paragraph" w:styleId="Pedmtkomente">
    <w:name w:val="annotation subject"/>
    <w:basedOn w:val="Textkomente"/>
    <w:next w:val="Textkomente"/>
    <w:semiHidden/>
    <w:rsid w:val="00485160"/>
    <w:rPr>
      <w:b/>
      <w:bCs/>
    </w:rPr>
  </w:style>
  <w:style w:type="paragraph" w:customStyle="1" w:styleId="CharChar1">
    <w:name w:val="Char Char1"/>
    <w:basedOn w:val="Normln"/>
    <w:rsid w:val="00AF4D35"/>
    <w:pPr>
      <w:spacing w:after="160" w:line="240" w:lineRule="exact"/>
    </w:pPr>
    <w:rPr>
      <w:rFonts w:ascii="Times New Roman Bold" w:hAnsi="Times New Roman Bold"/>
      <w:b/>
      <w:sz w:val="26"/>
      <w:szCs w:val="26"/>
      <w:lang w:val="sk-SK" w:eastAsia="en-US"/>
    </w:rPr>
  </w:style>
  <w:style w:type="character" w:styleId="Hypertextovodkaz">
    <w:name w:val="Hyperlink"/>
    <w:basedOn w:val="Standardnpsmoodstavce"/>
    <w:uiPriority w:val="99"/>
    <w:rsid w:val="00FC165A"/>
    <w:rPr>
      <w:color w:val="0000FF"/>
      <w:u w:val="single"/>
    </w:rPr>
  </w:style>
  <w:style w:type="paragraph" w:customStyle="1" w:styleId="Odstavecseseznamem1">
    <w:name w:val="Odstavec se seznamem1"/>
    <w:basedOn w:val="Normln"/>
    <w:link w:val="ListParagraphChar"/>
    <w:rsid w:val="00FC165A"/>
    <w:pPr>
      <w:ind w:left="708"/>
    </w:pPr>
  </w:style>
  <w:style w:type="character" w:customStyle="1" w:styleId="ListParagraphChar">
    <w:name w:val="List Paragraph Char"/>
    <w:link w:val="Odstavecseseznamem1"/>
    <w:rsid w:val="00395FA0"/>
  </w:style>
  <w:style w:type="character" w:customStyle="1" w:styleId="slovnik">
    <w:name w:val="slovnik"/>
    <w:rsid w:val="00924B6A"/>
  </w:style>
  <w:style w:type="character" w:styleId="Siln">
    <w:name w:val="Strong"/>
    <w:basedOn w:val="Standardnpsmoodstavce"/>
    <w:uiPriority w:val="22"/>
    <w:qFormat/>
    <w:rsid w:val="00924B6A"/>
    <w:rPr>
      <w:b/>
    </w:rPr>
  </w:style>
  <w:style w:type="character" w:styleId="Znakapoznpodarou">
    <w:name w:val="footnote reference"/>
    <w:aliases w:val="PGI Fußnote Ziffer"/>
    <w:basedOn w:val="Standardnpsmoodstavce"/>
    <w:rsid w:val="000F4DBC"/>
    <w:rPr>
      <w:vertAlign w:val="superscript"/>
    </w:rPr>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1"/>
    <w:uiPriority w:val="99"/>
    <w:semiHidden/>
    <w:rsid w:val="000F4DBC"/>
  </w:style>
  <w:style w:type="character" w:customStyle="1" w:styleId="TextpoznpodarouChar1">
    <w:name w:val="Text pozn. pod čarou Char1"/>
    <w:aliases w:val="Schriftart: 9 pt Char,Schriftart: 10 pt Char,Schriftart: 8 pt Char,pozn. pod čarou Char,Text poznámky pod čiarou 007 Char,Fußnotentextf Char,Geneva 9 Char,Font: Geneva 9 Char,Boston 10 Char,f Char,Podrozdział Char"/>
    <w:link w:val="Textpoznpodarou"/>
    <w:uiPriority w:val="99"/>
    <w:semiHidden/>
    <w:rsid w:val="000F4DBC"/>
  </w:style>
  <w:style w:type="character" w:customStyle="1" w:styleId="TextpoznpodarouChar">
    <w:name w:val="Text pozn. pod čarou Char"/>
    <w:basedOn w:val="Standardnpsmoodstavce"/>
    <w:uiPriority w:val="99"/>
    <w:semiHidden/>
    <w:rsid w:val="000F4DBC"/>
    <w:rPr>
      <w:rFonts w:cs="Times New Roman"/>
    </w:rPr>
  </w:style>
  <w:style w:type="paragraph" w:customStyle="1" w:styleId="tabulka">
    <w:name w:val="tabulka"/>
    <w:basedOn w:val="Normln"/>
    <w:next w:val="Normln"/>
    <w:qFormat/>
    <w:rsid w:val="000F4DBC"/>
    <w:pPr>
      <w:keepNext/>
    </w:pPr>
    <w:rPr>
      <w:b/>
      <w:szCs w:val="24"/>
    </w:rPr>
  </w:style>
  <w:style w:type="paragraph" w:styleId="Normlnweb">
    <w:name w:val="Normal (Web)"/>
    <w:basedOn w:val="Normln"/>
    <w:uiPriority w:val="99"/>
    <w:rsid w:val="001C4850"/>
    <w:pPr>
      <w:spacing w:after="240"/>
    </w:pPr>
    <w:rPr>
      <w:rFonts w:ascii="Arial" w:hAnsi="Arial" w:cs="Arial"/>
      <w:sz w:val="24"/>
      <w:szCs w:val="24"/>
    </w:rPr>
  </w:style>
  <w:style w:type="character" w:customStyle="1" w:styleId="ProsttextChar">
    <w:name w:val="Prostý text Char"/>
    <w:link w:val="Prosttext"/>
    <w:uiPriority w:val="99"/>
    <w:rsid w:val="00597974"/>
    <w:rPr>
      <w:rFonts w:ascii="Consolas" w:hAnsi="Consolas"/>
      <w:sz w:val="21"/>
    </w:rPr>
  </w:style>
  <w:style w:type="paragraph" w:styleId="Prosttext">
    <w:name w:val="Plain Text"/>
    <w:basedOn w:val="Normln"/>
    <w:link w:val="ProsttextChar"/>
    <w:uiPriority w:val="99"/>
    <w:rsid w:val="00597974"/>
    <w:rPr>
      <w:rFonts w:ascii="Consolas" w:hAnsi="Consolas"/>
      <w:sz w:val="21"/>
      <w:szCs w:val="21"/>
    </w:rPr>
  </w:style>
  <w:style w:type="character" w:customStyle="1" w:styleId="ProsttextChar1">
    <w:name w:val="Prostý text Char1"/>
    <w:semiHidden/>
    <w:rsid w:val="00597974"/>
    <w:rPr>
      <w:rFonts w:ascii="Courier New" w:hAnsi="Courier New"/>
    </w:rPr>
  </w:style>
  <w:style w:type="paragraph" w:customStyle="1" w:styleId="Graf">
    <w:name w:val="Graf"/>
    <w:basedOn w:val="tabulka"/>
    <w:next w:val="Normln"/>
    <w:qFormat/>
    <w:rsid w:val="00DF342F"/>
    <w:pPr>
      <w:numPr>
        <w:numId w:val="47"/>
      </w:numPr>
      <w:jc w:val="center"/>
    </w:pPr>
  </w:style>
  <w:style w:type="character" w:customStyle="1" w:styleId="Texttabulka">
    <w:name w:val="Text tabulka"/>
    <w:rsid w:val="002D12EC"/>
    <w:rPr>
      <w:rFonts w:ascii="Arial" w:hAnsi="Arial"/>
    </w:rPr>
  </w:style>
  <w:style w:type="paragraph" w:customStyle="1" w:styleId="Pa12">
    <w:name w:val="Pa12"/>
    <w:basedOn w:val="Normln"/>
    <w:next w:val="Normln"/>
    <w:rsid w:val="00BA50E1"/>
    <w:pPr>
      <w:autoSpaceDE w:val="0"/>
      <w:autoSpaceDN w:val="0"/>
      <w:adjustRightInd w:val="0"/>
      <w:spacing w:line="191" w:lineRule="atLeast"/>
    </w:pPr>
    <w:rPr>
      <w:rFonts w:ascii="Arial" w:hAnsi="Arial" w:cs="Arial"/>
      <w:sz w:val="24"/>
      <w:szCs w:val="24"/>
    </w:rPr>
  </w:style>
  <w:style w:type="paragraph" w:customStyle="1" w:styleId="Pa17">
    <w:name w:val="Pa17"/>
    <w:basedOn w:val="Normln"/>
    <w:next w:val="Normln"/>
    <w:rsid w:val="00BA50E1"/>
    <w:pPr>
      <w:autoSpaceDE w:val="0"/>
      <w:autoSpaceDN w:val="0"/>
      <w:adjustRightInd w:val="0"/>
      <w:spacing w:line="191" w:lineRule="atLeast"/>
    </w:pPr>
    <w:rPr>
      <w:rFonts w:ascii="Arial" w:hAnsi="Arial" w:cs="Arial"/>
      <w:sz w:val="24"/>
      <w:szCs w:val="24"/>
    </w:rPr>
  </w:style>
  <w:style w:type="paragraph" w:customStyle="1" w:styleId="Pa14">
    <w:name w:val="Pa14"/>
    <w:basedOn w:val="Normln"/>
    <w:next w:val="Normln"/>
    <w:rsid w:val="00BA50E1"/>
    <w:pPr>
      <w:autoSpaceDE w:val="0"/>
      <w:autoSpaceDN w:val="0"/>
      <w:adjustRightInd w:val="0"/>
      <w:spacing w:line="191" w:lineRule="atLeast"/>
    </w:pPr>
    <w:rPr>
      <w:rFonts w:ascii="Arial" w:hAnsi="Arial" w:cs="Arial"/>
      <w:sz w:val="24"/>
      <w:szCs w:val="24"/>
    </w:rPr>
  </w:style>
  <w:style w:type="character" w:customStyle="1" w:styleId="A10">
    <w:name w:val="A10"/>
    <w:rsid w:val="00BA50E1"/>
    <w:rPr>
      <w:color w:val="000000"/>
      <w:sz w:val="12"/>
    </w:rPr>
  </w:style>
  <w:style w:type="table" w:customStyle="1" w:styleId="Mkatabulky1">
    <w:name w:val="Mřížka tabulky1"/>
    <w:rsid w:val="00647DD8"/>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odtitul">
    <w:name w:val="Subtitle"/>
    <w:aliases w:val="Dílčí odstavce"/>
    <w:basedOn w:val="Normln"/>
    <w:link w:val="PodtitulChar"/>
    <w:qFormat/>
    <w:rsid w:val="00395FA0"/>
    <w:pPr>
      <w:spacing w:before="120" w:after="480" w:line="276" w:lineRule="auto"/>
      <w:jc w:val="center"/>
      <w:outlineLvl w:val="1"/>
    </w:pPr>
    <w:rPr>
      <w:rFonts w:ascii="Arial" w:hAnsi="Arial"/>
      <w:b/>
      <w:sz w:val="28"/>
      <w:szCs w:val="24"/>
    </w:rPr>
  </w:style>
  <w:style w:type="character" w:customStyle="1" w:styleId="PodtitulChar">
    <w:name w:val="Podtitul Char"/>
    <w:aliases w:val="Dílčí odstavce Char"/>
    <w:link w:val="Podtitul"/>
    <w:rsid w:val="00395FA0"/>
    <w:rPr>
      <w:rFonts w:ascii="Arial" w:hAnsi="Arial"/>
      <w:b/>
      <w:sz w:val="24"/>
    </w:rPr>
  </w:style>
  <w:style w:type="paragraph" w:customStyle="1" w:styleId="TextNOK">
    <w:name w:val="Text NOK"/>
    <w:basedOn w:val="Normln"/>
    <w:link w:val="TextNOKChar"/>
    <w:rsid w:val="0077415D"/>
    <w:pPr>
      <w:spacing w:line="312" w:lineRule="auto"/>
      <w:jc w:val="both"/>
    </w:pPr>
    <w:rPr>
      <w:sz w:val="22"/>
      <w:szCs w:val="24"/>
    </w:rPr>
  </w:style>
  <w:style w:type="character" w:customStyle="1" w:styleId="TextNOKChar">
    <w:name w:val="Text NOK Char"/>
    <w:link w:val="TextNOK"/>
    <w:rsid w:val="0077415D"/>
    <w:rPr>
      <w:sz w:val="24"/>
    </w:rPr>
  </w:style>
  <w:style w:type="paragraph" w:styleId="Obsah1">
    <w:name w:val="toc 1"/>
    <w:basedOn w:val="Normln"/>
    <w:next w:val="Normln"/>
    <w:autoRedefine/>
    <w:uiPriority w:val="39"/>
    <w:rsid w:val="00373B03"/>
    <w:pPr>
      <w:tabs>
        <w:tab w:val="left" w:pos="1540"/>
        <w:tab w:val="right" w:leader="dot" w:pos="9062"/>
      </w:tabs>
    </w:pPr>
  </w:style>
  <w:style w:type="paragraph" w:styleId="Obsah2">
    <w:name w:val="toc 2"/>
    <w:basedOn w:val="Normln"/>
    <w:next w:val="Normln"/>
    <w:autoRedefine/>
    <w:uiPriority w:val="39"/>
    <w:rsid w:val="0077415D"/>
    <w:pPr>
      <w:ind w:left="200"/>
    </w:pPr>
  </w:style>
  <w:style w:type="paragraph" w:styleId="Obsah3">
    <w:name w:val="toc 3"/>
    <w:basedOn w:val="Normln"/>
    <w:next w:val="Normln"/>
    <w:autoRedefine/>
    <w:uiPriority w:val="39"/>
    <w:rsid w:val="00902770"/>
    <w:pPr>
      <w:tabs>
        <w:tab w:val="right" w:leader="dot" w:pos="9062"/>
      </w:tabs>
    </w:pPr>
    <w:rPr>
      <w:bCs/>
      <w:noProof/>
    </w:rPr>
  </w:style>
  <w:style w:type="character" w:styleId="Sledovanodkaz">
    <w:name w:val="FollowedHyperlink"/>
    <w:basedOn w:val="Standardnpsmoodstavce"/>
    <w:semiHidden/>
    <w:rsid w:val="006078B2"/>
    <w:rPr>
      <w:color w:val="800080"/>
      <w:u w:val="single"/>
    </w:rPr>
  </w:style>
  <w:style w:type="character" w:customStyle="1" w:styleId="hword">
    <w:name w:val="h_word"/>
    <w:rsid w:val="00AD54CA"/>
  </w:style>
  <w:style w:type="paragraph" w:customStyle="1" w:styleId="Default">
    <w:name w:val="Default"/>
    <w:rsid w:val="00B90C30"/>
    <w:pPr>
      <w:autoSpaceDE w:val="0"/>
      <w:autoSpaceDN w:val="0"/>
      <w:adjustRightInd w:val="0"/>
    </w:pPr>
    <w:rPr>
      <w:color w:val="000000"/>
      <w:sz w:val="24"/>
      <w:szCs w:val="24"/>
    </w:rPr>
  </w:style>
  <w:style w:type="paragraph" w:styleId="Seznam2">
    <w:name w:val="List 2"/>
    <w:basedOn w:val="Normln"/>
    <w:rsid w:val="00A664CB"/>
    <w:pPr>
      <w:ind w:left="566" w:hanging="283"/>
    </w:pPr>
  </w:style>
  <w:style w:type="paragraph" w:customStyle="1" w:styleId="Revize1">
    <w:name w:val="Revize1"/>
    <w:hidden/>
    <w:semiHidden/>
    <w:rsid w:val="00E85056"/>
  </w:style>
  <w:style w:type="paragraph" w:styleId="Odstavecseseznamem">
    <w:name w:val="List Paragraph"/>
    <w:basedOn w:val="Normln"/>
    <w:link w:val="OdstavecseseznamemChar"/>
    <w:uiPriority w:val="34"/>
    <w:qFormat/>
    <w:rsid w:val="00EC70ED"/>
    <w:pPr>
      <w:ind w:left="720"/>
      <w:contextualSpacing/>
    </w:pPr>
  </w:style>
  <w:style w:type="character" w:customStyle="1" w:styleId="OdstavecseseznamemChar">
    <w:name w:val="Odstavec se seznamem Char"/>
    <w:basedOn w:val="Standardnpsmoodstavce"/>
    <w:link w:val="Odstavecseseznamem"/>
    <w:uiPriority w:val="34"/>
    <w:locked/>
    <w:rsid w:val="00701FB5"/>
  </w:style>
  <w:style w:type="paragraph" w:styleId="Revize">
    <w:name w:val="Revision"/>
    <w:hidden/>
    <w:uiPriority w:val="99"/>
    <w:semiHidden/>
    <w:rsid w:val="00DA098C"/>
  </w:style>
  <w:style w:type="paragraph" w:styleId="Nadpisobsahu">
    <w:name w:val="TOC Heading"/>
    <w:basedOn w:val="Nadpis1"/>
    <w:next w:val="Normln"/>
    <w:uiPriority w:val="39"/>
    <w:semiHidden/>
    <w:unhideWhenUsed/>
    <w:qFormat/>
    <w:rsid w:val="005F4A7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Zkladntext">
    <w:name w:val="Body Text"/>
    <w:basedOn w:val="Normln"/>
    <w:link w:val="ZkladntextChar"/>
    <w:rsid w:val="00323D53"/>
    <w:pPr>
      <w:spacing w:after="120"/>
    </w:pPr>
  </w:style>
  <w:style w:type="character" w:customStyle="1" w:styleId="ZkladntextChar">
    <w:name w:val="Základní text Char"/>
    <w:basedOn w:val="Standardnpsmoodstavce"/>
    <w:link w:val="Zkladntext"/>
    <w:rsid w:val="00323D53"/>
  </w:style>
  <w:style w:type="character" w:customStyle="1" w:styleId="apple-converted-space">
    <w:name w:val="apple-converted-space"/>
    <w:rsid w:val="00635B5D"/>
  </w:style>
  <w:style w:type="character" w:customStyle="1" w:styleId="highlightdictwords">
    <w:name w:val="highlight_dict_words"/>
    <w:basedOn w:val="Standardnpsmoodstavce"/>
    <w:rsid w:val="00FD1570"/>
  </w:style>
  <w:style w:type="paragraph" w:customStyle="1" w:styleId="text">
    <w:name w:val="* text"/>
    <w:basedOn w:val="Normln"/>
    <w:link w:val="textChar"/>
    <w:rsid w:val="00A753BB"/>
    <w:pPr>
      <w:spacing w:before="120" w:after="120"/>
      <w:jc w:val="both"/>
    </w:pPr>
    <w:rPr>
      <w:rFonts w:ascii="Century Gothic" w:hAnsi="Century Gothic"/>
      <w:sz w:val="22"/>
      <w:szCs w:val="24"/>
    </w:rPr>
  </w:style>
  <w:style w:type="character" w:customStyle="1" w:styleId="textChar">
    <w:name w:val="* text Char"/>
    <w:link w:val="text"/>
    <w:rsid w:val="00A753BB"/>
    <w:rPr>
      <w:rFonts w:ascii="Century Gothic" w:hAnsi="Century Gothic"/>
      <w:sz w:val="22"/>
      <w:szCs w:val="24"/>
    </w:rPr>
  </w:style>
  <w:style w:type="paragraph" w:customStyle="1" w:styleId="minikapitolka">
    <w:name w:val="* minikapitolka"/>
    <w:basedOn w:val="Normln"/>
    <w:next w:val="text"/>
    <w:link w:val="minikapitolkaChar"/>
    <w:rsid w:val="00C9250D"/>
    <w:pPr>
      <w:spacing w:before="120" w:after="120"/>
    </w:pPr>
    <w:rPr>
      <w:rFonts w:ascii="Century Gothic" w:hAnsi="Century Gothic"/>
      <w:b/>
      <w:sz w:val="22"/>
      <w:szCs w:val="24"/>
    </w:rPr>
  </w:style>
  <w:style w:type="character" w:customStyle="1" w:styleId="minikapitolkaChar">
    <w:name w:val="* minikapitolka Char"/>
    <w:link w:val="minikapitolka"/>
    <w:rsid w:val="00C9250D"/>
    <w:rPr>
      <w:rFonts w:ascii="Century Gothic" w:hAnsi="Century Gothic"/>
      <w:b/>
      <w:sz w:val="22"/>
      <w:szCs w:val="24"/>
    </w:rPr>
  </w:style>
  <w:style w:type="paragraph" w:customStyle="1" w:styleId="odrka">
    <w:name w:val="* odrážka"/>
    <w:basedOn w:val="Normln"/>
    <w:rsid w:val="00C9250D"/>
    <w:pPr>
      <w:numPr>
        <w:numId w:val="30"/>
      </w:numPr>
    </w:pPr>
    <w:rPr>
      <w:rFonts w:ascii="Century Gothic" w:hAnsi="Century Gothic"/>
      <w:sz w:val="22"/>
      <w:szCs w:val="24"/>
    </w:rPr>
  </w:style>
  <w:style w:type="character" w:customStyle="1" w:styleId="styltun">
    <w:name w:val="* styl tučně"/>
    <w:rsid w:val="0013183D"/>
    <w:rPr>
      <w:rFonts w:ascii="Arial" w:hAnsi="Arial"/>
      <w:b/>
      <w:bCs/>
      <w:sz w:val="22"/>
    </w:rPr>
  </w:style>
  <w:style w:type="paragraph" w:customStyle="1" w:styleId="textPDIOP">
    <w:name w:val="textPD IOP"/>
    <w:basedOn w:val="Normln"/>
    <w:qFormat/>
    <w:rsid w:val="00326C44"/>
    <w:pPr>
      <w:spacing w:after="240" w:line="312" w:lineRule="auto"/>
      <w:jc w:val="both"/>
    </w:pPr>
    <w:rPr>
      <w:rFonts w:ascii="Arial" w:hAnsi="Arial" w:cs="Arial"/>
      <w:lang w:eastAsia="en-US" w:bidi="en-US"/>
    </w:rPr>
  </w:style>
  <w:style w:type="character" w:customStyle="1" w:styleId="integra-normalniChar">
    <w:name w:val="integra - normalni Char"/>
    <w:link w:val="integra-normalni"/>
    <w:locked/>
    <w:rsid w:val="004655F9"/>
    <w:rPr>
      <w:rFonts w:ascii="Corbel" w:hAnsi="Corbel"/>
    </w:rPr>
  </w:style>
  <w:style w:type="paragraph" w:customStyle="1" w:styleId="integra-normalni">
    <w:name w:val="integra - normalni"/>
    <w:basedOn w:val="Normln"/>
    <w:link w:val="integra-normalniChar"/>
    <w:rsid w:val="004655F9"/>
    <w:pPr>
      <w:overflowPunct w:val="0"/>
      <w:autoSpaceDE w:val="0"/>
      <w:autoSpaceDN w:val="0"/>
      <w:adjustRightInd w:val="0"/>
      <w:spacing w:after="120" w:line="264" w:lineRule="auto"/>
      <w:jc w:val="both"/>
    </w:pPr>
    <w:rPr>
      <w:rFonts w:ascii="Corbel" w:hAnsi="Corbel"/>
    </w:rPr>
  </w:style>
  <w:style w:type="paragraph" w:customStyle="1" w:styleId="Bntext">
    <w:name w:val="*Běžný text"/>
    <w:basedOn w:val="Normln"/>
    <w:uiPriority w:val="99"/>
    <w:rsid w:val="004655F9"/>
    <w:pPr>
      <w:spacing w:after="120"/>
      <w:jc w:val="both"/>
    </w:pPr>
    <w:rPr>
      <w:sz w:val="24"/>
      <w:szCs w:val="24"/>
    </w:rPr>
  </w:style>
  <w:style w:type="paragraph" w:customStyle="1" w:styleId="Nzevkapitoly">
    <w:name w:val="*Název kapitoly"/>
    <w:basedOn w:val="Zkladntext"/>
    <w:uiPriority w:val="99"/>
    <w:rsid w:val="004655F9"/>
    <w:pPr>
      <w:spacing w:before="120"/>
      <w:jc w:val="both"/>
      <w:outlineLvl w:val="0"/>
    </w:pPr>
    <w:rPr>
      <w:rFonts w:ascii="Arial" w:hAnsi="Arial" w:cs="Arial"/>
      <w:b/>
      <w:bCs/>
      <w:sz w:val="28"/>
      <w:szCs w:val="28"/>
      <w:lang w:val="en-GB" w:eastAsia="en-US"/>
    </w:rPr>
  </w:style>
  <w:style w:type="paragraph" w:customStyle="1" w:styleId="text0">
    <w:name w:val="text"/>
    <w:basedOn w:val="Prosttext"/>
    <w:qFormat/>
    <w:rsid w:val="004655F9"/>
    <w:pPr>
      <w:spacing w:before="120" w:after="120" w:line="276" w:lineRule="auto"/>
      <w:jc w:val="both"/>
    </w:pPr>
    <w:rPr>
      <w:rFonts w:asciiTheme="minorHAnsi" w:hAnsiTheme="minorHAnsi"/>
      <w:sz w:val="22"/>
    </w:rPr>
  </w:style>
  <w:style w:type="paragraph" w:customStyle="1" w:styleId="Nadpis">
    <w:name w:val="Nadpis"/>
    <w:basedOn w:val="Prosttext"/>
    <w:qFormat/>
    <w:rsid w:val="00DD3191"/>
    <w:pPr>
      <w:spacing w:before="480" w:after="120" w:line="276" w:lineRule="auto"/>
      <w:jc w:val="both"/>
    </w:pPr>
    <w:rPr>
      <w:rFonts w:ascii="Cambria" w:hAnsi="Cambria"/>
      <w:b/>
      <w:i/>
      <w:iCs/>
      <w:sz w:val="26"/>
      <w:szCs w:val="26"/>
      <w:u w:val="single"/>
    </w:rPr>
  </w:style>
  <w:style w:type="paragraph" w:customStyle="1" w:styleId="odrky2">
    <w:name w:val="odrážky2"/>
    <w:basedOn w:val="Odstavecseseznamem"/>
    <w:qFormat/>
    <w:rsid w:val="0076695A"/>
    <w:pPr>
      <w:spacing w:before="60" w:line="276" w:lineRule="auto"/>
      <w:ind w:left="1440" w:hanging="360"/>
      <w:contextualSpacing w:val="0"/>
      <w:jc w:val="both"/>
    </w:pPr>
    <w:rPr>
      <w:rFonts w:ascii="Calibri" w:hAnsi="Calibri" w:cs="Calibri"/>
      <w:sz w:val="24"/>
      <w:szCs w:val="22"/>
      <w:lang w:eastAsia="en-US"/>
    </w:rPr>
  </w:style>
  <w:style w:type="paragraph" w:customStyle="1" w:styleId="text1">
    <w:name w:val="*text"/>
    <w:basedOn w:val="Normln"/>
    <w:link w:val="textChar0"/>
    <w:rsid w:val="00457E7F"/>
    <w:pPr>
      <w:spacing w:before="120" w:after="120"/>
      <w:jc w:val="both"/>
    </w:pPr>
    <w:rPr>
      <w:rFonts w:ascii="Century Gothic" w:hAnsi="Century Gothic"/>
      <w:sz w:val="22"/>
      <w:szCs w:val="24"/>
    </w:rPr>
  </w:style>
  <w:style w:type="character" w:customStyle="1" w:styleId="textChar0">
    <w:name w:val="*text Char"/>
    <w:link w:val="text1"/>
    <w:rsid w:val="00457E7F"/>
    <w:rPr>
      <w:rFonts w:ascii="Century Gothic" w:hAnsi="Century Gothic"/>
      <w:sz w:val="22"/>
      <w:szCs w:val="24"/>
    </w:rPr>
  </w:style>
  <w:style w:type="paragraph" w:customStyle="1" w:styleId="nazevgrafu">
    <w:name w:val="* nazev grafu"/>
    <w:basedOn w:val="Normln"/>
    <w:rsid w:val="00457E7F"/>
    <w:pPr>
      <w:spacing w:before="120" w:after="120"/>
      <w:jc w:val="both"/>
    </w:pPr>
    <w:rPr>
      <w:rFonts w:ascii="Century Gothic" w:hAnsi="Century Gothic"/>
      <w:b/>
      <w:sz w:val="22"/>
      <w:szCs w:val="24"/>
    </w:rPr>
  </w:style>
  <w:style w:type="paragraph" w:customStyle="1" w:styleId="poznmka">
    <w:name w:val="* poznámka"/>
    <w:basedOn w:val="Normln"/>
    <w:link w:val="poznmkaChar"/>
    <w:rsid w:val="00457E7F"/>
    <w:rPr>
      <w:rFonts w:ascii="Century Gothic" w:hAnsi="Century Gothic"/>
      <w:i/>
      <w:sz w:val="16"/>
      <w:szCs w:val="24"/>
    </w:rPr>
  </w:style>
  <w:style w:type="character" w:customStyle="1" w:styleId="poznmkaChar">
    <w:name w:val="* poznámka Char"/>
    <w:link w:val="poznmka"/>
    <w:rsid w:val="00457E7F"/>
    <w:rPr>
      <w:rFonts w:ascii="Century Gothic" w:hAnsi="Century Gothic"/>
      <w:i/>
      <w:sz w:val="16"/>
      <w:szCs w:val="24"/>
    </w:rPr>
  </w:style>
  <w:style w:type="paragraph" w:styleId="Obsah4">
    <w:name w:val="toc 4"/>
    <w:basedOn w:val="Normln"/>
    <w:next w:val="Normln"/>
    <w:autoRedefine/>
    <w:uiPriority w:val="39"/>
    <w:unhideWhenUsed/>
    <w:rsid w:val="00092AF9"/>
    <w:pPr>
      <w:spacing w:after="100" w:line="276" w:lineRule="auto"/>
      <w:ind w:left="660"/>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092AF9"/>
    <w:pPr>
      <w:spacing w:after="100" w:line="276"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092AF9"/>
    <w:pPr>
      <w:spacing w:after="100" w:line="276"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092AF9"/>
    <w:pPr>
      <w:spacing w:after="100" w:line="276"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092AF9"/>
    <w:pPr>
      <w:spacing w:after="100" w:line="276"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092AF9"/>
    <w:pPr>
      <w:spacing w:after="100" w:line="276" w:lineRule="auto"/>
      <w:ind w:left="1760"/>
    </w:pPr>
    <w:rPr>
      <w:rFonts w:asciiTheme="minorHAnsi" w:eastAsiaTheme="minorEastAsia" w:hAnsiTheme="minorHAnsi" w:cstheme="minorBidi"/>
      <w:sz w:val="22"/>
      <w:szCs w:val="22"/>
    </w:rPr>
  </w:style>
  <w:style w:type="character" w:customStyle="1" w:styleId="normlnChar2">
    <w:name w:val="normální Char2"/>
    <w:basedOn w:val="Standardnpsmoodstavce"/>
    <w:link w:val="normln0"/>
    <w:uiPriority w:val="99"/>
    <w:locked/>
    <w:rsid w:val="00A30A09"/>
  </w:style>
  <w:style w:type="paragraph" w:customStyle="1" w:styleId="normln0">
    <w:name w:val="normální"/>
    <w:basedOn w:val="Normln"/>
    <w:link w:val="normlnChar2"/>
    <w:uiPriority w:val="99"/>
    <w:rsid w:val="00A30A09"/>
    <w:pPr>
      <w:jc w:val="both"/>
    </w:pPr>
  </w:style>
  <w:style w:type="paragraph" w:customStyle="1" w:styleId="Tabulkanzev">
    <w:name w:val="Tabulka název"/>
    <w:basedOn w:val="Normln"/>
    <w:next w:val="Normln"/>
    <w:qFormat/>
    <w:rsid w:val="005A55CF"/>
    <w:pPr>
      <w:numPr>
        <w:numId w:val="50"/>
      </w:numPr>
      <w:jc w:val="center"/>
    </w:pPr>
    <w:rPr>
      <w:b/>
    </w:rPr>
  </w:style>
  <w:style w:type="character" w:customStyle="1" w:styleId="TitulekChar">
    <w:name w:val="Titulek Char"/>
    <w:basedOn w:val="Standardnpsmoodstavce"/>
    <w:link w:val="Titulek"/>
    <w:uiPriority w:val="35"/>
    <w:semiHidden/>
    <w:locked/>
    <w:rsid w:val="00FB0655"/>
    <w:rPr>
      <w:b/>
      <w:bCs/>
    </w:rPr>
  </w:style>
  <w:style w:type="paragraph" w:styleId="Titulek">
    <w:name w:val="caption"/>
    <w:basedOn w:val="Normln"/>
    <w:link w:val="TitulekChar"/>
    <w:uiPriority w:val="35"/>
    <w:semiHidden/>
    <w:unhideWhenUsed/>
    <w:qFormat/>
    <w:rsid w:val="00FB06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3465740">
      <w:bodyDiv w:val="1"/>
      <w:marLeft w:val="0"/>
      <w:marRight w:val="0"/>
      <w:marTop w:val="0"/>
      <w:marBottom w:val="0"/>
      <w:divBdr>
        <w:top w:val="none" w:sz="0" w:space="0" w:color="auto"/>
        <w:left w:val="none" w:sz="0" w:space="0" w:color="auto"/>
        <w:bottom w:val="none" w:sz="0" w:space="0" w:color="auto"/>
        <w:right w:val="none" w:sz="0" w:space="0" w:color="auto"/>
      </w:divBdr>
    </w:div>
    <w:div w:id="16009099">
      <w:bodyDiv w:val="1"/>
      <w:marLeft w:val="0"/>
      <w:marRight w:val="0"/>
      <w:marTop w:val="0"/>
      <w:marBottom w:val="0"/>
      <w:divBdr>
        <w:top w:val="none" w:sz="0" w:space="0" w:color="auto"/>
        <w:left w:val="none" w:sz="0" w:space="0" w:color="auto"/>
        <w:bottom w:val="none" w:sz="0" w:space="0" w:color="auto"/>
        <w:right w:val="none" w:sz="0" w:space="0" w:color="auto"/>
      </w:divBdr>
    </w:div>
    <w:div w:id="24138696">
      <w:bodyDiv w:val="1"/>
      <w:marLeft w:val="0"/>
      <w:marRight w:val="0"/>
      <w:marTop w:val="0"/>
      <w:marBottom w:val="0"/>
      <w:divBdr>
        <w:top w:val="none" w:sz="0" w:space="0" w:color="auto"/>
        <w:left w:val="none" w:sz="0" w:space="0" w:color="auto"/>
        <w:bottom w:val="none" w:sz="0" w:space="0" w:color="auto"/>
        <w:right w:val="none" w:sz="0" w:space="0" w:color="auto"/>
      </w:divBdr>
    </w:div>
    <w:div w:id="28840437">
      <w:bodyDiv w:val="1"/>
      <w:marLeft w:val="0"/>
      <w:marRight w:val="0"/>
      <w:marTop w:val="0"/>
      <w:marBottom w:val="0"/>
      <w:divBdr>
        <w:top w:val="none" w:sz="0" w:space="0" w:color="auto"/>
        <w:left w:val="none" w:sz="0" w:space="0" w:color="auto"/>
        <w:bottom w:val="none" w:sz="0" w:space="0" w:color="auto"/>
        <w:right w:val="none" w:sz="0" w:space="0" w:color="auto"/>
      </w:divBdr>
    </w:div>
    <w:div w:id="30695697">
      <w:bodyDiv w:val="1"/>
      <w:marLeft w:val="0"/>
      <w:marRight w:val="0"/>
      <w:marTop w:val="0"/>
      <w:marBottom w:val="0"/>
      <w:divBdr>
        <w:top w:val="none" w:sz="0" w:space="0" w:color="auto"/>
        <w:left w:val="none" w:sz="0" w:space="0" w:color="auto"/>
        <w:bottom w:val="none" w:sz="0" w:space="0" w:color="auto"/>
        <w:right w:val="none" w:sz="0" w:space="0" w:color="auto"/>
      </w:divBdr>
    </w:div>
    <w:div w:id="49618916">
      <w:bodyDiv w:val="1"/>
      <w:marLeft w:val="0"/>
      <w:marRight w:val="0"/>
      <w:marTop w:val="0"/>
      <w:marBottom w:val="0"/>
      <w:divBdr>
        <w:top w:val="none" w:sz="0" w:space="0" w:color="auto"/>
        <w:left w:val="none" w:sz="0" w:space="0" w:color="auto"/>
        <w:bottom w:val="none" w:sz="0" w:space="0" w:color="auto"/>
        <w:right w:val="none" w:sz="0" w:space="0" w:color="auto"/>
      </w:divBdr>
    </w:div>
    <w:div w:id="59328756">
      <w:bodyDiv w:val="1"/>
      <w:marLeft w:val="0"/>
      <w:marRight w:val="0"/>
      <w:marTop w:val="0"/>
      <w:marBottom w:val="0"/>
      <w:divBdr>
        <w:top w:val="none" w:sz="0" w:space="0" w:color="auto"/>
        <w:left w:val="none" w:sz="0" w:space="0" w:color="auto"/>
        <w:bottom w:val="none" w:sz="0" w:space="0" w:color="auto"/>
        <w:right w:val="none" w:sz="0" w:space="0" w:color="auto"/>
      </w:divBdr>
    </w:div>
    <w:div w:id="63576336">
      <w:bodyDiv w:val="1"/>
      <w:marLeft w:val="0"/>
      <w:marRight w:val="0"/>
      <w:marTop w:val="0"/>
      <w:marBottom w:val="0"/>
      <w:divBdr>
        <w:top w:val="none" w:sz="0" w:space="0" w:color="auto"/>
        <w:left w:val="none" w:sz="0" w:space="0" w:color="auto"/>
        <w:bottom w:val="none" w:sz="0" w:space="0" w:color="auto"/>
        <w:right w:val="none" w:sz="0" w:space="0" w:color="auto"/>
      </w:divBdr>
    </w:div>
    <w:div w:id="86586084">
      <w:bodyDiv w:val="1"/>
      <w:marLeft w:val="0"/>
      <w:marRight w:val="0"/>
      <w:marTop w:val="0"/>
      <w:marBottom w:val="0"/>
      <w:divBdr>
        <w:top w:val="none" w:sz="0" w:space="0" w:color="auto"/>
        <w:left w:val="none" w:sz="0" w:space="0" w:color="auto"/>
        <w:bottom w:val="none" w:sz="0" w:space="0" w:color="auto"/>
        <w:right w:val="none" w:sz="0" w:space="0" w:color="auto"/>
      </w:divBdr>
    </w:div>
    <w:div w:id="90509455">
      <w:bodyDiv w:val="1"/>
      <w:marLeft w:val="0"/>
      <w:marRight w:val="0"/>
      <w:marTop w:val="0"/>
      <w:marBottom w:val="0"/>
      <w:divBdr>
        <w:top w:val="none" w:sz="0" w:space="0" w:color="auto"/>
        <w:left w:val="none" w:sz="0" w:space="0" w:color="auto"/>
        <w:bottom w:val="none" w:sz="0" w:space="0" w:color="auto"/>
        <w:right w:val="none" w:sz="0" w:space="0" w:color="auto"/>
      </w:divBdr>
    </w:div>
    <w:div w:id="99684935">
      <w:bodyDiv w:val="1"/>
      <w:marLeft w:val="0"/>
      <w:marRight w:val="0"/>
      <w:marTop w:val="0"/>
      <w:marBottom w:val="0"/>
      <w:divBdr>
        <w:top w:val="none" w:sz="0" w:space="0" w:color="auto"/>
        <w:left w:val="none" w:sz="0" w:space="0" w:color="auto"/>
        <w:bottom w:val="none" w:sz="0" w:space="0" w:color="auto"/>
        <w:right w:val="none" w:sz="0" w:space="0" w:color="auto"/>
      </w:divBdr>
    </w:div>
    <w:div w:id="106462454">
      <w:bodyDiv w:val="1"/>
      <w:marLeft w:val="0"/>
      <w:marRight w:val="0"/>
      <w:marTop w:val="0"/>
      <w:marBottom w:val="0"/>
      <w:divBdr>
        <w:top w:val="none" w:sz="0" w:space="0" w:color="auto"/>
        <w:left w:val="none" w:sz="0" w:space="0" w:color="auto"/>
        <w:bottom w:val="none" w:sz="0" w:space="0" w:color="auto"/>
        <w:right w:val="none" w:sz="0" w:space="0" w:color="auto"/>
      </w:divBdr>
    </w:div>
    <w:div w:id="138886242">
      <w:bodyDiv w:val="1"/>
      <w:marLeft w:val="0"/>
      <w:marRight w:val="0"/>
      <w:marTop w:val="0"/>
      <w:marBottom w:val="0"/>
      <w:divBdr>
        <w:top w:val="none" w:sz="0" w:space="0" w:color="auto"/>
        <w:left w:val="none" w:sz="0" w:space="0" w:color="auto"/>
        <w:bottom w:val="none" w:sz="0" w:space="0" w:color="auto"/>
        <w:right w:val="none" w:sz="0" w:space="0" w:color="auto"/>
      </w:divBdr>
    </w:div>
    <w:div w:id="160702441">
      <w:bodyDiv w:val="1"/>
      <w:marLeft w:val="0"/>
      <w:marRight w:val="0"/>
      <w:marTop w:val="0"/>
      <w:marBottom w:val="0"/>
      <w:divBdr>
        <w:top w:val="none" w:sz="0" w:space="0" w:color="auto"/>
        <w:left w:val="none" w:sz="0" w:space="0" w:color="auto"/>
        <w:bottom w:val="none" w:sz="0" w:space="0" w:color="auto"/>
        <w:right w:val="none" w:sz="0" w:space="0" w:color="auto"/>
      </w:divBdr>
    </w:div>
    <w:div w:id="188228580">
      <w:bodyDiv w:val="1"/>
      <w:marLeft w:val="0"/>
      <w:marRight w:val="0"/>
      <w:marTop w:val="0"/>
      <w:marBottom w:val="0"/>
      <w:divBdr>
        <w:top w:val="none" w:sz="0" w:space="0" w:color="auto"/>
        <w:left w:val="none" w:sz="0" w:space="0" w:color="auto"/>
        <w:bottom w:val="none" w:sz="0" w:space="0" w:color="auto"/>
        <w:right w:val="none" w:sz="0" w:space="0" w:color="auto"/>
      </w:divBdr>
    </w:div>
    <w:div w:id="198785721">
      <w:bodyDiv w:val="1"/>
      <w:marLeft w:val="0"/>
      <w:marRight w:val="0"/>
      <w:marTop w:val="0"/>
      <w:marBottom w:val="0"/>
      <w:divBdr>
        <w:top w:val="none" w:sz="0" w:space="0" w:color="auto"/>
        <w:left w:val="none" w:sz="0" w:space="0" w:color="auto"/>
        <w:bottom w:val="none" w:sz="0" w:space="0" w:color="auto"/>
        <w:right w:val="none" w:sz="0" w:space="0" w:color="auto"/>
      </w:divBdr>
    </w:div>
    <w:div w:id="211230677">
      <w:bodyDiv w:val="1"/>
      <w:marLeft w:val="0"/>
      <w:marRight w:val="0"/>
      <w:marTop w:val="0"/>
      <w:marBottom w:val="0"/>
      <w:divBdr>
        <w:top w:val="none" w:sz="0" w:space="0" w:color="auto"/>
        <w:left w:val="none" w:sz="0" w:space="0" w:color="auto"/>
        <w:bottom w:val="none" w:sz="0" w:space="0" w:color="auto"/>
        <w:right w:val="none" w:sz="0" w:space="0" w:color="auto"/>
      </w:divBdr>
    </w:div>
    <w:div w:id="215043591">
      <w:bodyDiv w:val="1"/>
      <w:marLeft w:val="0"/>
      <w:marRight w:val="0"/>
      <w:marTop w:val="0"/>
      <w:marBottom w:val="0"/>
      <w:divBdr>
        <w:top w:val="none" w:sz="0" w:space="0" w:color="auto"/>
        <w:left w:val="none" w:sz="0" w:space="0" w:color="auto"/>
        <w:bottom w:val="none" w:sz="0" w:space="0" w:color="auto"/>
        <w:right w:val="none" w:sz="0" w:space="0" w:color="auto"/>
      </w:divBdr>
    </w:div>
    <w:div w:id="217859499">
      <w:bodyDiv w:val="1"/>
      <w:marLeft w:val="0"/>
      <w:marRight w:val="0"/>
      <w:marTop w:val="0"/>
      <w:marBottom w:val="0"/>
      <w:divBdr>
        <w:top w:val="none" w:sz="0" w:space="0" w:color="auto"/>
        <w:left w:val="none" w:sz="0" w:space="0" w:color="auto"/>
        <w:bottom w:val="none" w:sz="0" w:space="0" w:color="auto"/>
        <w:right w:val="none" w:sz="0" w:space="0" w:color="auto"/>
      </w:divBdr>
    </w:div>
    <w:div w:id="229729412">
      <w:bodyDiv w:val="1"/>
      <w:marLeft w:val="0"/>
      <w:marRight w:val="0"/>
      <w:marTop w:val="0"/>
      <w:marBottom w:val="0"/>
      <w:divBdr>
        <w:top w:val="none" w:sz="0" w:space="0" w:color="auto"/>
        <w:left w:val="none" w:sz="0" w:space="0" w:color="auto"/>
        <w:bottom w:val="none" w:sz="0" w:space="0" w:color="auto"/>
        <w:right w:val="none" w:sz="0" w:space="0" w:color="auto"/>
      </w:divBdr>
    </w:div>
    <w:div w:id="279192991">
      <w:bodyDiv w:val="1"/>
      <w:marLeft w:val="0"/>
      <w:marRight w:val="0"/>
      <w:marTop w:val="0"/>
      <w:marBottom w:val="0"/>
      <w:divBdr>
        <w:top w:val="none" w:sz="0" w:space="0" w:color="auto"/>
        <w:left w:val="none" w:sz="0" w:space="0" w:color="auto"/>
        <w:bottom w:val="none" w:sz="0" w:space="0" w:color="auto"/>
        <w:right w:val="none" w:sz="0" w:space="0" w:color="auto"/>
      </w:divBdr>
    </w:div>
    <w:div w:id="290326596">
      <w:bodyDiv w:val="1"/>
      <w:marLeft w:val="0"/>
      <w:marRight w:val="0"/>
      <w:marTop w:val="0"/>
      <w:marBottom w:val="0"/>
      <w:divBdr>
        <w:top w:val="none" w:sz="0" w:space="0" w:color="auto"/>
        <w:left w:val="none" w:sz="0" w:space="0" w:color="auto"/>
        <w:bottom w:val="none" w:sz="0" w:space="0" w:color="auto"/>
        <w:right w:val="none" w:sz="0" w:space="0" w:color="auto"/>
      </w:divBdr>
    </w:div>
    <w:div w:id="294987913">
      <w:bodyDiv w:val="1"/>
      <w:marLeft w:val="0"/>
      <w:marRight w:val="0"/>
      <w:marTop w:val="0"/>
      <w:marBottom w:val="0"/>
      <w:divBdr>
        <w:top w:val="none" w:sz="0" w:space="0" w:color="auto"/>
        <w:left w:val="none" w:sz="0" w:space="0" w:color="auto"/>
        <w:bottom w:val="none" w:sz="0" w:space="0" w:color="auto"/>
        <w:right w:val="none" w:sz="0" w:space="0" w:color="auto"/>
      </w:divBdr>
    </w:div>
    <w:div w:id="309211870">
      <w:bodyDiv w:val="1"/>
      <w:marLeft w:val="0"/>
      <w:marRight w:val="0"/>
      <w:marTop w:val="0"/>
      <w:marBottom w:val="0"/>
      <w:divBdr>
        <w:top w:val="none" w:sz="0" w:space="0" w:color="auto"/>
        <w:left w:val="none" w:sz="0" w:space="0" w:color="auto"/>
        <w:bottom w:val="none" w:sz="0" w:space="0" w:color="auto"/>
        <w:right w:val="none" w:sz="0" w:space="0" w:color="auto"/>
      </w:divBdr>
    </w:div>
    <w:div w:id="309600483">
      <w:bodyDiv w:val="1"/>
      <w:marLeft w:val="0"/>
      <w:marRight w:val="0"/>
      <w:marTop w:val="0"/>
      <w:marBottom w:val="0"/>
      <w:divBdr>
        <w:top w:val="none" w:sz="0" w:space="0" w:color="auto"/>
        <w:left w:val="none" w:sz="0" w:space="0" w:color="auto"/>
        <w:bottom w:val="none" w:sz="0" w:space="0" w:color="auto"/>
        <w:right w:val="none" w:sz="0" w:space="0" w:color="auto"/>
      </w:divBdr>
    </w:div>
    <w:div w:id="314919795">
      <w:bodyDiv w:val="1"/>
      <w:marLeft w:val="0"/>
      <w:marRight w:val="0"/>
      <w:marTop w:val="0"/>
      <w:marBottom w:val="0"/>
      <w:divBdr>
        <w:top w:val="none" w:sz="0" w:space="0" w:color="auto"/>
        <w:left w:val="none" w:sz="0" w:space="0" w:color="auto"/>
        <w:bottom w:val="none" w:sz="0" w:space="0" w:color="auto"/>
        <w:right w:val="none" w:sz="0" w:space="0" w:color="auto"/>
      </w:divBdr>
    </w:div>
    <w:div w:id="316350413">
      <w:bodyDiv w:val="1"/>
      <w:marLeft w:val="0"/>
      <w:marRight w:val="0"/>
      <w:marTop w:val="0"/>
      <w:marBottom w:val="0"/>
      <w:divBdr>
        <w:top w:val="none" w:sz="0" w:space="0" w:color="auto"/>
        <w:left w:val="none" w:sz="0" w:space="0" w:color="auto"/>
        <w:bottom w:val="none" w:sz="0" w:space="0" w:color="auto"/>
        <w:right w:val="none" w:sz="0" w:space="0" w:color="auto"/>
      </w:divBdr>
    </w:div>
    <w:div w:id="330959243">
      <w:bodyDiv w:val="1"/>
      <w:marLeft w:val="0"/>
      <w:marRight w:val="0"/>
      <w:marTop w:val="0"/>
      <w:marBottom w:val="0"/>
      <w:divBdr>
        <w:top w:val="none" w:sz="0" w:space="0" w:color="auto"/>
        <w:left w:val="none" w:sz="0" w:space="0" w:color="auto"/>
        <w:bottom w:val="none" w:sz="0" w:space="0" w:color="auto"/>
        <w:right w:val="none" w:sz="0" w:space="0" w:color="auto"/>
      </w:divBdr>
    </w:div>
    <w:div w:id="355695790">
      <w:bodyDiv w:val="1"/>
      <w:marLeft w:val="0"/>
      <w:marRight w:val="0"/>
      <w:marTop w:val="0"/>
      <w:marBottom w:val="0"/>
      <w:divBdr>
        <w:top w:val="none" w:sz="0" w:space="0" w:color="auto"/>
        <w:left w:val="none" w:sz="0" w:space="0" w:color="auto"/>
        <w:bottom w:val="none" w:sz="0" w:space="0" w:color="auto"/>
        <w:right w:val="none" w:sz="0" w:space="0" w:color="auto"/>
      </w:divBdr>
    </w:div>
    <w:div w:id="375468486">
      <w:bodyDiv w:val="1"/>
      <w:marLeft w:val="0"/>
      <w:marRight w:val="0"/>
      <w:marTop w:val="0"/>
      <w:marBottom w:val="0"/>
      <w:divBdr>
        <w:top w:val="none" w:sz="0" w:space="0" w:color="auto"/>
        <w:left w:val="none" w:sz="0" w:space="0" w:color="auto"/>
        <w:bottom w:val="none" w:sz="0" w:space="0" w:color="auto"/>
        <w:right w:val="none" w:sz="0" w:space="0" w:color="auto"/>
      </w:divBdr>
    </w:div>
    <w:div w:id="379206705">
      <w:bodyDiv w:val="1"/>
      <w:marLeft w:val="0"/>
      <w:marRight w:val="0"/>
      <w:marTop w:val="0"/>
      <w:marBottom w:val="0"/>
      <w:divBdr>
        <w:top w:val="none" w:sz="0" w:space="0" w:color="auto"/>
        <w:left w:val="none" w:sz="0" w:space="0" w:color="auto"/>
        <w:bottom w:val="none" w:sz="0" w:space="0" w:color="auto"/>
        <w:right w:val="none" w:sz="0" w:space="0" w:color="auto"/>
      </w:divBdr>
    </w:div>
    <w:div w:id="397486098">
      <w:bodyDiv w:val="1"/>
      <w:marLeft w:val="0"/>
      <w:marRight w:val="0"/>
      <w:marTop w:val="0"/>
      <w:marBottom w:val="0"/>
      <w:divBdr>
        <w:top w:val="none" w:sz="0" w:space="0" w:color="auto"/>
        <w:left w:val="none" w:sz="0" w:space="0" w:color="auto"/>
        <w:bottom w:val="none" w:sz="0" w:space="0" w:color="auto"/>
        <w:right w:val="none" w:sz="0" w:space="0" w:color="auto"/>
      </w:divBdr>
    </w:div>
    <w:div w:id="401097968">
      <w:bodyDiv w:val="1"/>
      <w:marLeft w:val="0"/>
      <w:marRight w:val="0"/>
      <w:marTop w:val="0"/>
      <w:marBottom w:val="0"/>
      <w:divBdr>
        <w:top w:val="none" w:sz="0" w:space="0" w:color="auto"/>
        <w:left w:val="none" w:sz="0" w:space="0" w:color="auto"/>
        <w:bottom w:val="none" w:sz="0" w:space="0" w:color="auto"/>
        <w:right w:val="none" w:sz="0" w:space="0" w:color="auto"/>
      </w:divBdr>
    </w:div>
    <w:div w:id="403837849">
      <w:bodyDiv w:val="1"/>
      <w:marLeft w:val="0"/>
      <w:marRight w:val="0"/>
      <w:marTop w:val="0"/>
      <w:marBottom w:val="0"/>
      <w:divBdr>
        <w:top w:val="none" w:sz="0" w:space="0" w:color="auto"/>
        <w:left w:val="none" w:sz="0" w:space="0" w:color="auto"/>
        <w:bottom w:val="none" w:sz="0" w:space="0" w:color="auto"/>
        <w:right w:val="none" w:sz="0" w:space="0" w:color="auto"/>
      </w:divBdr>
    </w:div>
    <w:div w:id="406658964">
      <w:bodyDiv w:val="1"/>
      <w:marLeft w:val="0"/>
      <w:marRight w:val="0"/>
      <w:marTop w:val="0"/>
      <w:marBottom w:val="0"/>
      <w:divBdr>
        <w:top w:val="none" w:sz="0" w:space="0" w:color="auto"/>
        <w:left w:val="none" w:sz="0" w:space="0" w:color="auto"/>
        <w:bottom w:val="none" w:sz="0" w:space="0" w:color="auto"/>
        <w:right w:val="none" w:sz="0" w:space="0" w:color="auto"/>
      </w:divBdr>
    </w:div>
    <w:div w:id="411506515">
      <w:bodyDiv w:val="1"/>
      <w:marLeft w:val="0"/>
      <w:marRight w:val="0"/>
      <w:marTop w:val="0"/>
      <w:marBottom w:val="0"/>
      <w:divBdr>
        <w:top w:val="none" w:sz="0" w:space="0" w:color="auto"/>
        <w:left w:val="none" w:sz="0" w:space="0" w:color="auto"/>
        <w:bottom w:val="none" w:sz="0" w:space="0" w:color="auto"/>
        <w:right w:val="none" w:sz="0" w:space="0" w:color="auto"/>
      </w:divBdr>
    </w:div>
    <w:div w:id="411854863">
      <w:bodyDiv w:val="1"/>
      <w:marLeft w:val="0"/>
      <w:marRight w:val="0"/>
      <w:marTop w:val="0"/>
      <w:marBottom w:val="0"/>
      <w:divBdr>
        <w:top w:val="none" w:sz="0" w:space="0" w:color="auto"/>
        <w:left w:val="none" w:sz="0" w:space="0" w:color="auto"/>
        <w:bottom w:val="none" w:sz="0" w:space="0" w:color="auto"/>
        <w:right w:val="none" w:sz="0" w:space="0" w:color="auto"/>
      </w:divBdr>
    </w:div>
    <w:div w:id="411975478">
      <w:bodyDiv w:val="1"/>
      <w:marLeft w:val="0"/>
      <w:marRight w:val="0"/>
      <w:marTop w:val="0"/>
      <w:marBottom w:val="0"/>
      <w:divBdr>
        <w:top w:val="none" w:sz="0" w:space="0" w:color="auto"/>
        <w:left w:val="none" w:sz="0" w:space="0" w:color="auto"/>
        <w:bottom w:val="none" w:sz="0" w:space="0" w:color="auto"/>
        <w:right w:val="none" w:sz="0" w:space="0" w:color="auto"/>
      </w:divBdr>
    </w:div>
    <w:div w:id="412438168">
      <w:bodyDiv w:val="1"/>
      <w:marLeft w:val="0"/>
      <w:marRight w:val="0"/>
      <w:marTop w:val="0"/>
      <w:marBottom w:val="0"/>
      <w:divBdr>
        <w:top w:val="none" w:sz="0" w:space="0" w:color="auto"/>
        <w:left w:val="none" w:sz="0" w:space="0" w:color="auto"/>
        <w:bottom w:val="none" w:sz="0" w:space="0" w:color="auto"/>
        <w:right w:val="none" w:sz="0" w:space="0" w:color="auto"/>
      </w:divBdr>
    </w:div>
    <w:div w:id="420151576">
      <w:bodyDiv w:val="1"/>
      <w:marLeft w:val="0"/>
      <w:marRight w:val="0"/>
      <w:marTop w:val="0"/>
      <w:marBottom w:val="0"/>
      <w:divBdr>
        <w:top w:val="none" w:sz="0" w:space="0" w:color="auto"/>
        <w:left w:val="none" w:sz="0" w:space="0" w:color="auto"/>
        <w:bottom w:val="none" w:sz="0" w:space="0" w:color="auto"/>
        <w:right w:val="none" w:sz="0" w:space="0" w:color="auto"/>
      </w:divBdr>
    </w:div>
    <w:div w:id="424158621">
      <w:bodyDiv w:val="1"/>
      <w:marLeft w:val="0"/>
      <w:marRight w:val="0"/>
      <w:marTop w:val="0"/>
      <w:marBottom w:val="0"/>
      <w:divBdr>
        <w:top w:val="none" w:sz="0" w:space="0" w:color="auto"/>
        <w:left w:val="none" w:sz="0" w:space="0" w:color="auto"/>
        <w:bottom w:val="none" w:sz="0" w:space="0" w:color="auto"/>
        <w:right w:val="none" w:sz="0" w:space="0" w:color="auto"/>
      </w:divBdr>
    </w:div>
    <w:div w:id="425426321">
      <w:bodyDiv w:val="1"/>
      <w:marLeft w:val="0"/>
      <w:marRight w:val="0"/>
      <w:marTop w:val="0"/>
      <w:marBottom w:val="0"/>
      <w:divBdr>
        <w:top w:val="none" w:sz="0" w:space="0" w:color="auto"/>
        <w:left w:val="none" w:sz="0" w:space="0" w:color="auto"/>
        <w:bottom w:val="none" w:sz="0" w:space="0" w:color="auto"/>
        <w:right w:val="none" w:sz="0" w:space="0" w:color="auto"/>
      </w:divBdr>
    </w:div>
    <w:div w:id="429006567">
      <w:bodyDiv w:val="1"/>
      <w:marLeft w:val="0"/>
      <w:marRight w:val="0"/>
      <w:marTop w:val="0"/>
      <w:marBottom w:val="0"/>
      <w:divBdr>
        <w:top w:val="none" w:sz="0" w:space="0" w:color="auto"/>
        <w:left w:val="none" w:sz="0" w:space="0" w:color="auto"/>
        <w:bottom w:val="none" w:sz="0" w:space="0" w:color="auto"/>
        <w:right w:val="none" w:sz="0" w:space="0" w:color="auto"/>
      </w:divBdr>
    </w:div>
    <w:div w:id="431897917">
      <w:bodyDiv w:val="1"/>
      <w:marLeft w:val="0"/>
      <w:marRight w:val="0"/>
      <w:marTop w:val="0"/>
      <w:marBottom w:val="0"/>
      <w:divBdr>
        <w:top w:val="none" w:sz="0" w:space="0" w:color="auto"/>
        <w:left w:val="none" w:sz="0" w:space="0" w:color="auto"/>
        <w:bottom w:val="none" w:sz="0" w:space="0" w:color="auto"/>
        <w:right w:val="none" w:sz="0" w:space="0" w:color="auto"/>
      </w:divBdr>
    </w:div>
    <w:div w:id="441802915">
      <w:bodyDiv w:val="1"/>
      <w:marLeft w:val="0"/>
      <w:marRight w:val="0"/>
      <w:marTop w:val="0"/>
      <w:marBottom w:val="0"/>
      <w:divBdr>
        <w:top w:val="none" w:sz="0" w:space="0" w:color="auto"/>
        <w:left w:val="none" w:sz="0" w:space="0" w:color="auto"/>
        <w:bottom w:val="none" w:sz="0" w:space="0" w:color="auto"/>
        <w:right w:val="none" w:sz="0" w:space="0" w:color="auto"/>
      </w:divBdr>
    </w:div>
    <w:div w:id="442655095">
      <w:bodyDiv w:val="1"/>
      <w:marLeft w:val="0"/>
      <w:marRight w:val="0"/>
      <w:marTop w:val="0"/>
      <w:marBottom w:val="0"/>
      <w:divBdr>
        <w:top w:val="none" w:sz="0" w:space="0" w:color="auto"/>
        <w:left w:val="none" w:sz="0" w:space="0" w:color="auto"/>
        <w:bottom w:val="none" w:sz="0" w:space="0" w:color="auto"/>
        <w:right w:val="none" w:sz="0" w:space="0" w:color="auto"/>
      </w:divBdr>
    </w:div>
    <w:div w:id="462425861">
      <w:bodyDiv w:val="1"/>
      <w:marLeft w:val="0"/>
      <w:marRight w:val="0"/>
      <w:marTop w:val="0"/>
      <w:marBottom w:val="0"/>
      <w:divBdr>
        <w:top w:val="none" w:sz="0" w:space="0" w:color="auto"/>
        <w:left w:val="none" w:sz="0" w:space="0" w:color="auto"/>
        <w:bottom w:val="none" w:sz="0" w:space="0" w:color="auto"/>
        <w:right w:val="none" w:sz="0" w:space="0" w:color="auto"/>
      </w:divBdr>
    </w:div>
    <w:div w:id="467279887">
      <w:bodyDiv w:val="1"/>
      <w:marLeft w:val="0"/>
      <w:marRight w:val="0"/>
      <w:marTop w:val="0"/>
      <w:marBottom w:val="0"/>
      <w:divBdr>
        <w:top w:val="none" w:sz="0" w:space="0" w:color="auto"/>
        <w:left w:val="none" w:sz="0" w:space="0" w:color="auto"/>
        <w:bottom w:val="none" w:sz="0" w:space="0" w:color="auto"/>
        <w:right w:val="none" w:sz="0" w:space="0" w:color="auto"/>
      </w:divBdr>
    </w:div>
    <w:div w:id="467665989">
      <w:bodyDiv w:val="1"/>
      <w:marLeft w:val="0"/>
      <w:marRight w:val="0"/>
      <w:marTop w:val="0"/>
      <w:marBottom w:val="0"/>
      <w:divBdr>
        <w:top w:val="none" w:sz="0" w:space="0" w:color="auto"/>
        <w:left w:val="none" w:sz="0" w:space="0" w:color="auto"/>
        <w:bottom w:val="none" w:sz="0" w:space="0" w:color="auto"/>
        <w:right w:val="none" w:sz="0" w:space="0" w:color="auto"/>
      </w:divBdr>
    </w:div>
    <w:div w:id="473448826">
      <w:bodyDiv w:val="1"/>
      <w:marLeft w:val="0"/>
      <w:marRight w:val="0"/>
      <w:marTop w:val="0"/>
      <w:marBottom w:val="0"/>
      <w:divBdr>
        <w:top w:val="none" w:sz="0" w:space="0" w:color="auto"/>
        <w:left w:val="none" w:sz="0" w:space="0" w:color="auto"/>
        <w:bottom w:val="none" w:sz="0" w:space="0" w:color="auto"/>
        <w:right w:val="none" w:sz="0" w:space="0" w:color="auto"/>
      </w:divBdr>
    </w:div>
    <w:div w:id="474419427">
      <w:bodyDiv w:val="1"/>
      <w:marLeft w:val="0"/>
      <w:marRight w:val="0"/>
      <w:marTop w:val="0"/>
      <w:marBottom w:val="0"/>
      <w:divBdr>
        <w:top w:val="none" w:sz="0" w:space="0" w:color="auto"/>
        <w:left w:val="none" w:sz="0" w:space="0" w:color="auto"/>
        <w:bottom w:val="none" w:sz="0" w:space="0" w:color="auto"/>
        <w:right w:val="none" w:sz="0" w:space="0" w:color="auto"/>
      </w:divBdr>
    </w:div>
    <w:div w:id="478156883">
      <w:bodyDiv w:val="1"/>
      <w:marLeft w:val="0"/>
      <w:marRight w:val="0"/>
      <w:marTop w:val="0"/>
      <w:marBottom w:val="0"/>
      <w:divBdr>
        <w:top w:val="none" w:sz="0" w:space="0" w:color="auto"/>
        <w:left w:val="none" w:sz="0" w:space="0" w:color="auto"/>
        <w:bottom w:val="none" w:sz="0" w:space="0" w:color="auto"/>
        <w:right w:val="none" w:sz="0" w:space="0" w:color="auto"/>
      </w:divBdr>
    </w:div>
    <w:div w:id="484901932">
      <w:bodyDiv w:val="1"/>
      <w:marLeft w:val="0"/>
      <w:marRight w:val="0"/>
      <w:marTop w:val="0"/>
      <w:marBottom w:val="0"/>
      <w:divBdr>
        <w:top w:val="none" w:sz="0" w:space="0" w:color="auto"/>
        <w:left w:val="none" w:sz="0" w:space="0" w:color="auto"/>
        <w:bottom w:val="none" w:sz="0" w:space="0" w:color="auto"/>
        <w:right w:val="none" w:sz="0" w:space="0" w:color="auto"/>
      </w:divBdr>
    </w:div>
    <w:div w:id="505439085">
      <w:bodyDiv w:val="1"/>
      <w:marLeft w:val="0"/>
      <w:marRight w:val="0"/>
      <w:marTop w:val="0"/>
      <w:marBottom w:val="0"/>
      <w:divBdr>
        <w:top w:val="none" w:sz="0" w:space="0" w:color="auto"/>
        <w:left w:val="none" w:sz="0" w:space="0" w:color="auto"/>
        <w:bottom w:val="none" w:sz="0" w:space="0" w:color="auto"/>
        <w:right w:val="none" w:sz="0" w:space="0" w:color="auto"/>
      </w:divBdr>
    </w:div>
    <w:div w:id="525755270">
      <w:bodyDiv w:val="1"/>
      <w:marLeft w:val="0"/>
      <w:marRight w:val="0"/>
      <w:marTop w:val="0"/>
      <w:marBottom w:val="0"/>
      <w:divBdr>
        <w:top w:val="none" w:sz="0" w:space="0" w:color="auto"/>
        <w:left w:val="none" w:sz="0" w:space="0" w:color="auto"/>
        <w:bottom w:val="none" w:sz="0" w:space="0" w:color="auto"/>
        <w:right w:val="none" w:sz="0" w:space="0" w:color="auto"/>
      </w:divBdr>
    </w:div>
    <w:div w:id="532226860">
      <w:bodyDiv w:val="1"/>
      <w:marLeft w:val="0"/>
      <w:marRight w:val="0"/>
      <w:marTop w:val="0"/>
      <w:marBottom w:val="0"/>
      <w:divBdr>
        <w:top w:val="none" w:sz="0" w:space="0" w:color="auto"/>
        <w:left w:val="none" w:sz="0" w:space="0" w:color="auto"/>
        <w:bottom w:val="none" w:sz="0" w:space="0" w:color="auto"/>
        <w:right w:val="none" w:sz="0" w:space="0" w:color="auto"/>
      </w:divBdr>
    </w:div>
    <w:div w:id="539904692">
      <w:bodyDiv w:val="1"/>
      <w:marLeft w:val="0"/>
      <w:marRight w:val="0"/>
      <w:marTop w:val="0"/>
      <w:marBottom w:val="0"/>
      <w:divBdr>
        <w:top w:val="none" w:sz="0" w:space="0" w:color="auto"/>
        <w:left w:val="none" w:sz="0" w:space="0" w:color="auto"/>
        <w:bottom w:val="none" w:sz="0" w:space="0" w:color="auto"/>
        <w:right w:val="none" w:sz="0" w:space="0" w:color="auto"/>
      </w:divBdr>
    </w:div>
    <w:div w:id="548540860">
      <w:bodyDiv w:val="1"/>
      <w:marLeft w:val="0"/>
      <w:marRight w:val="0"/>
      <w:marTop w:val="0"/>
      <w:marBottom w:val="0"/>
      <w:divBdr>
        <w:top w:val="none" w:sz="0" w:space="0" w:color="auto"/>
        <w:left w:val="none" w:sz="0" w:space="0" w:color="auto"/>
        <w:bottom w:val="none" w:sz="0" w:space="0" w:color="auto"/>
        <w:right w:val="none" w:sz="0" w:space="0" w:color="auto"/>
      </w:divBdr>
    </w:div>
    <w:div w:id="558826509">
      <w:bodyDiv w:val="1"/>
      <w:marLeft w:val="0"/>
      <w:marRight w:val="0"/>
      <w:marTop w:val="0"/>
      <w:marBottom w:val="0"/>
      <w:divBdr>
        <w:top w:val="none" w:sz="0" w:space="0" w:color="auto"/>
        <w:left w:val="none" w:sz="0" w:space="0" w:color="auto"/>
        <w:bottom w:val="none" w:sz="0" w:space="0" w:color="auto"/>
        <w:right w:val="none" w:sz="0" w:space="0" w:color="auto"/>
      </w:divBdr>
    </w:div>
    <w:div w:id="565267224">
      <w:bodyDiv w:val="1"/>
      <w:marLeft w:val="0"/>
      <w:marRight w:val="0"/>
      <w:marTop w:val="0"/>
      <w:marBottom w:val="0"/>
      <w:divBdr>
        <w:top w:val="none" w:sz="0" w:space="0" w:color="auto"/>
        <w:left w:val="none" w:sz="0" w:space="0" w:color="auto"/>
        <w:bottom w:val="none" w:sz="0" w:space="0" w:color="auto"/>
        <w:right w:val="none" w:sz="0" w:space="0" w:color="auto"/>
      </w:divBdr>
    </w:div>
    <w:div w:id="568424860">
      <w:bodyDiv w:val="1"/>
      <w:marLeft w:val="0"/>
      <w:marRight w:val="0"/>
      <w:marTop w:val="0"/>
      <w:marBottom w:val="0"/>
      <w:divBdr>
        <w:top w:val="none" w:sz="0" w:space="0" w:color="auto"/>
        <w:left w:val="none" w:sz="0" w:space="0" w:color="auto"/>
        <w:bottom w:val="none" w:sz="0" w:space="0" w:color="auto"/>
        <w:right w:val="none" w:sz="0" w:space="0" w:color="auto"/>
      </w:divBdr>
    </w:div>
    <w:div w:id="576983657">
      <w:bodyDiv w:val="1"/>
      <w:marLeft w:val="0"/>
      <w:marRight w:val="0"/>
      <w:marTop w:val="0"/>
      <w:marBottom w:val="0"/>
      <w:divBdr>
        <w:top w:val="none" w:sz="0" w:space="0" w:color="auto"/>
        <w:left w:val="none" w:sz="0" w:space="0" w:color="auto"/>
        <w:bottom w:val="none" w:sz="0" w:space="0" w:color="auto"/>
        <w:right w:val="none" w:sz="0" w:space="0" w:color="auto"/>
      </w:divBdr>
    </w:div>
    <w:div w:id="594362694">
      <w:bodyDiv w:val="1"/>
      <w:marLeft w:val="0"/>
      <w:marRight w:val="0"/>
      <w:marTop w:val="0"/>
      <w:marBottom w:val="0"/>
      <w:divBdr>
        <w:top w:val="none" w:sz="0" w:space="0" w:color="auto"/>
        <w:left w:val="none" w:sz="0" w:space="0" w:color="auto"/>
        <w:bottom w:val="none" w:sz="0" w:space="0" w:color="auto"/>
        <w:right w:val="none" w:sz="0" w:space="0" w:color="auto"/>
      </w:divBdr>
    </w:div>
    <w:div w:id="607006624">
      <w:bodyDiv w:val="1"/>
      <w:marLeft w:val="0"/>
      <w:marRight w:val="0"/>
      <w:marTop w:val="0"/>
      <w:marBottom w:val="0"/>
      <w:divBdr>
        <w:top w:val="none" w:sz="0" w:space="0" w:color="auto"/>
        <w:left w:val="none" w:sz="0" w:space="0" w:color="auto"/>
        <w:bottom w:val="none" w:sz="0" w:space="0" w:color="auto"/>
        <w:right w:val="none" w:sz="0" w:space="0" w:color="auto"/>
      </w:divBdr>
    </w:div>
    <w:div w:id="608047614">
      <w:bodyDiv w:val="1"/>
      <w:marLeft w:val="0"/>
      <w:marRight w:val="0"/>
      <w:marTop w:val="0"/>
      <w:marBottom w:val="0"/>
      <w:divBdr>
        <w:top w:val="none" w:sz="0" w:space="0" w:color="auto"/>
        <w:left w:val="none" w:sz="0" w:space="0" w:color="auto"/>
        <w:bottom w:val="none" w:sz="0" w:space="0" w:color="auto"/>
        <w:right w:val="none" w:sz="0" w:space="0" w:color="auto"/>
      </w:divBdr>
    </w:div>
    <w:div w:id="639770666">
      <w:bodyDiv w:val="1"/>
      <w:marLeft w:val="0"/>
      <w:marRight w:val="0"/>
      <w:marTop w:val="0"/>
      <w:marBottom w:val="0"/>
      <w:divBdr>
        <w:top w:val="none" w:sz="0" w:space="0" w:color="auto"/>
        <w:left w:val="none" w:sz="0" w:space="0" w:color="auto"/>
        <w:bottom w:val="none" w:sz="0" w:space="0" w:color="auto"/>
        <w:right w:val="none" w:sz="0" w:space="0" w:color="auto"/>
      </w:divBdr>
    </w:div>
    <w:div w:id="647174412">
      <w:bodyDiv w:val="1"/>
      <w:marLeft w:val="0"/>
      <w:marRight w:val="0"/>
      <w:marTop w:val="0"/>
      <w:marBottom w:val="0"/>
      <w:divBdr>
        <w:top w:val="none" w:sz="0" w:space="0" w:color="auto"/>
        <w:left w:val="none" w:sz="0" w:space="0" w:color="auto"/>
        <w:bottom w:val="none" w:sz="0" w:space="0" w:color="auto"/>
        <w:right w:val="none" w:sz="0" w:space="0" w:color="auto"/>
      </w:divBdr>
    </w:div>
    <w:div w:id="648173571">
      <w:bodyDiv w:val="1"/>
      <w:marLeft w:val="0"/>
      <w:marRight w:val="0"/>
      <w:marTop w:val="0"/>
      <w:marBottom w:val="0"/>
      <w:divBdr>
        <w:top w:val="none" w:sz="0" w:space="0" w:color="auto"/>
        <w:left w:val="none" w:sz="0" w:space="0" w:color="auto"/>
        <w:bottom w:val="none" w:sz="0" w:space="0" w:color="auto"/>
        <w:right w:val="none" w:sz="0" w:space="0" w:color="auto"/>
      </w:divBdr>
    </w:div>
    <w:div w:id="662121806">
      <w:bodyDiv w:val="1"/>
      <w:marLeft w:val="0"/>
      <w:marRight w:val="0"/>
      <w:marTop w:val="0"/>
      <w:marBottom w:val="0"/>
      <w:divBdr>
        <w:top w:val="none" w:sz="0" w:space="0" w:color="auto"/>
        <w:left w:val="none" w:sz="0" w:space="0" w:color="auto"/>
        <w:bottom w:val="none" w:sz="0" w:space="0" w:color="auto"/>
        <w:right w:val="none" w:sz="0" w:space="0" w:color="auto"/>
      </w:divBdr>
    </w:div>
    <w:div w:id="663779276">
      <w:bodyDiv w:val="1"/>
      <w:marLeft w:val="0"/>
      <w:marRight w:val="0"/>
      <w:marTop w:val="0"/>
      <w:marBottom w:val="0"/>
      <w:divBdr>
        <w:top w:val="none" w:sz="0" w:space="0" w:color="auto"/>
        <w:left w:val="none" w:sz="0" w:space="0" w:color="auto"/>
        <w:bottom w:val="none" w:sz="0" w:space="0" w:color="auto"/>
        <w:right w:val="none" w:sz="0" w:space="0" w:color="auto"/>
      </w:divBdr>
    </w:div>
    <w:div w:id="666128285">
      <w:bodyDiv w:val="1"/>
      <w:marLeft w:val="0"/>
      <w:marRight w:val="0"/>
      <w:marTop w:val="0"/>
      <w:marBottom w:val="0"/>
      <w:divBdr>
        <w:top w:val="none" w:sz="0" w:space="0" w:color="auto"/>
        <w:left w:val="none" w:sz="0" w:space="0" w:color="auto"/>
        <w:bottom w:val="none" w:sz="0" w:space="0" w:color="auto"/>
        <w:right w:val="none" w:sz="0" w:space="0" w:color="auto"/>
      </w:divBdr>
    </w:div>
    <w:div w:id="669723575">
      <w:bodyDiv w:val="1"/>
      <w:marLeft w:val="0"/>
      <w:marRight w:val="0"/>
      <w:marTop w:val="0"/>
      <w:marBottom w:val="0"/>
      <w:divBdr>
        <w:top w:val="none" w:sz="0" w:space="0" w:color="auto"/>
        <w:left w:val="none" w:sz="0" w:space="0" w:color="auto"/>
        <w:bottom w:val="none" w:sz="0" w:space="0" w:color="auto"/>
        <w:right w:val="none" w:sz="0" w:space="0" w:color="auto"/>
      </w:divBdr>
    </w:div>
    <w:div w:id="671184135">
      <w:bodyDiv w:val="1"/>
      <w:marLeft w:val="0"/>
      <w:marRight w:val="0"/>
      <w:marTop w:val="0"/>
      <w:marBottom w:val="0"/>
      <w:divBdr>
        <w:top w:val="none" w:sz="0" w:space="0" w:color="auto"/>
        <w:left w:val="none" w:sz="0" w:space="0" w:color="auto"/>
        <w:bottom w:val="none" w:sz="0" w:space="0" w:color="auto"/>
        <w:right w:val="none" w:sz="0" w:space="0" w:color="auto"/>
      </w:divBdr>
    </w:div>
    <w:div w:id="729159241">
      <w:bodyDiv w:val="1"/>
      <w:marLeft w:val="0"/>
      <w:marRight w:val="0"/>
      <w:marTop w:val="0"/>
      <w:marBottom w:val="0"/>
      <w:divBdr>
        <w:top w:val="none" w:sz="0" w:space="0" w:color="auto"/>
        <w:left w:val="none" w:sz="0" w:space="0" w:color="auto"/>
        <w:bottom w:val="none" w:sz="0" w:space="0" w:color="auto"/>
        <w:right w:val="none" w:sz="0" w:space="0" w:color="auto"/>
      </w:divBdr>
    </w:div>
    <w:div w:id="740641169">
      <w:bodyDiv w:val="1"/>
      <w:marLeft w:val="0"/>
      <w:marRight w:val="0"/>
      <w:marTop w:val="0"/>
      <w:marBottom w:val="0"/>
      <w:divBdr>
        <w:top w:val="none" w:sz="0" w:space="0" w:color="auto"/>
        <w:left w:val="none" w:sz="0" w:space="0" w:color="auto"/>
        <w:bottom w:val="none" w:sz="0" w:space="0" w:color="auto"/>
        <w:right w:val="none" w:sz="0" w:space="0" w:color="auto"/>
      </w:divBdr>
    </w:div>
    <w:div w:id="741830480">
      <w:bodyDiv w:val="1"/>
      <w:marLeft w:val="0"/>
      <w:marRight w:val="0"/>
      <w:marTop w:val="0"/>
      <w:marBottom w:val="0"/>
      <w:divBdr>
        <w:top w:val="none" w:sz="0" w:space="0" w:color="auto"/>
        <w:left w:val="none" w:sz="0" w:space="0" w:color="auto"/>
        <w:bottom w:val="none" w:sz="0" w:space="0" w:color="auto"/>
        <w:right w:val="none" w:sz="0" w:space="0" w:color="auto"/>
      </w:divBdr>
    </w:div>
    <w:div w:id="749960769">
      <w:bodyDiv w:val="1"/>
      <w:marLeft w:val="0"/>
      <w:marRight w:val="0"/>
      <w:marTop w:val="0"/>
      <w:marBottom w:val="0"/>
      <w:divBdr>
        <w:top w:val="none" w:sz="0" w:space="0" w:color="auto"/>
        <w:left w:val="none" w:sz="0" w:space="0" w:color="auto"/>
        <w:bottom w:val="none" w:sz="0" w:space="0" w:color="auto"/>
        <w:right w:val="none" w:sz="0" w:space="0" w:color="auto"/>
      </w:divBdr>
    </w:div>
    <w:div w:id="774205419">
      <w:bodyDiv w:val="1"/>
      <w:marLeft w:val="0"/>
      <w:marRight w:val="0"/>
      <w:marTop w:val="0"/>
      <w:marBottom w:val="0"/>
      <w:divBdr>
        <w:top w:val="none" w:sz="0" w:space="0" w:color="auto"/>
        <w:left w:val="none" w:sz="0" w:space="0" w:color="auto"/>
        <w:bottom w:val="none" w:sz="0" w:space="0" w:color="auto"/>
        <w:right w:val="none" w:sz="0" w:space="0" w:color="auto"/>
      </w:divBdr>
    </w:div>
    <w:div w:id="777221006">
      <w:bodyDiv w:val="1"/>
      <w:marLeft w:val="0"/>
      <w:marRight w:val="0"/>
      <w:marTop w:val="0"/>
      <w:marBottom w:val="0"/>
      <w:divBdr>
        <w:top w:val="none" w:sz="0" w:space="0" w:color="auto"/>
        <w:left w:val="none" w:sz="0" w:space="0" w:color="auto"/>
        <w:bottom w:val="none" w:sz="0" w:space="0" w:color="auto"/>
        <w:right w:val="none" w:sz="0" w:space="0" w:color="auto"/>
      </w:divBdr>
    </w:div>
    <w:div w:id="791358989">
      <w:bodyDiv w:val="1"/>
      <w:marLeft w:val="0"/>
      <w:marRight w:val="0"/>
      <w:marTop w:val="0"/>
      <w:marBottom w:val="0"/>
      <w:divBdr>
        <w:top w:val="none" w:sz="0" w:space="0" w:color="auto"/>
        <w:left w:val="none" w:sz="0" w:space="0" w:color="auto"/>
        <w:bottom w:val="none" w:sz="0" w:space="0" w:color="auto"/>
        <w:right w:val="none" w:sz="0" w:space="0" w:color="auto"/>
      </w:divBdr>
    </w:div>
    <w:div w:id="791634022">
      <w:bodyDiv w:val="1"/>
      <w:marLeft w:val="0"/>
      <w:marRight w:val="0"/>
      <w:marTop w:val="0"/>
      <w:marBottom w:val="0"/>
      <w:divBdr>
        <w:top w:val="none" w:sz="0" w:space="0" w:color="auto"/>
        <w:left w:val="none" w:sz="0" w:space="0" w:color="auto"/>
        <w:bottom w:val="none" w:sz="0" w:space="0" w:color="auto"/>
        <w:right w:val="none" w:sz="0" w:space="0" w:color="auto"/>
      </w:divBdr>
    </w:div>
    <w:div w:id="794640766">
      <w:bodyDiv w:val="1"/>
      <w:marLeft w:val="0"/>
      <w:marRight w:val="0"/>
      <w:marTop w:val="0"/>
      <w:marBottom w:val="0"/>
      <w:divBdr>
        <w:top w:val="none" w:sz="0" w:space="0" w:color="auto"/>
        <w:left w:val="none" w:sz="0" w:space="0" w:color="auto"/>
        <w:bottom w:val="none" w:sz="0" w:space="0" w:color="auto"/>
        <w:right w:val="none" w:sz="0" w:space="0" w:color="auto"/>
      </w:divBdr>
    </w:div>
    <w:div w:id="804280256">
      <w:bodyDiv w:val="1"/>
      <w:marLeft w:val="0"/>
      <w:marRight w:val="0"/>
      <w:marTop w:val="0"/>
      <w:marBottom w:val="0"/>
      <w:divBdr>
        <w:top w:val="none" w:sz="0" w:space="0" w:color="auto"/>
        <w:left w:val="none" w:sz="0" w:space="0" w:color="auto"/>
        <w:bottom w:val="none" w:sz="0" w:space="0" w:color="auto"/>
        <w:right w:val="none" w:sz="0" w:space="0" w:color="auto"/>
      </w:divBdr>
    </w:div>
    <w:div w:id="814906450">
      <w:bodyDiv w:val="1"/>
      <w:marLeft w:val="0"/>
      <w:marRight w:val="0"/>
      <w:marTop w:val="0"/>
      <w:marBottom w:val="0"/>
      <w:divBdr>
        <w:top w:val="none" w:sz="0" w:space="0" w:color="auto"/>
        <w:left w:val="none" w:sz="0" w:space="0" w:color="auto"/>
        <w:bottom w:val="none" w:sz="0" w:space="0" w:color="auto"/>
        <w:right w:val="none" w:sz="0" w:space="0" w:color="auto"/>
      </w:divBdr>
    </w:div>
    <w:div w:id="828254014">
      <w:bodyDiv w:val="1"/>
      <w:marLeft w:val="0"/>
      <w:marRight w:val="0"/>
      <w:marTop w:val="0"/>
      <w:marBottom w:val="0"/>
      <w:divBdr>
        <w:top w:val="none" w:sz="0" w:space="0" w:color="auto"/>
        <w:left w:val="none" w:sz="0" w:space="0" w:color="auto"/>
        <w:bottom w:val="none" w:sz="0" w:space="0" w:color="auto"/>
        <w:right w:val="none" w:sz="0" w:space="0" w:color="auto"/>
      </w:divBdr>
    </w:div>
    <w:div w:id="839201311">
      <w:bodyDiv w:val="1"/>
      <w:marLeft w:val="0"/>
      <w:marRight w:val="0"/>
      <w:marTop w:val="0"/>
      <w:marBottom w:val="0"/>
      <w:divBdr>
        <w:top w:val="none" w:sz="0" w:space="0" w:color="auto"/>
        <w:left w:val="none" w:sz="0" w:space="0" w:color="auto"/>
        <w:bottom w:val="none" w:sz="0" w:space="0" w:color="auto"/>
        <w:right w:val="none" w:sz="0" w:space="0" w:color="auto"/>
      </w:divBdr>
    </w:div>
    <w:div w:id="841895086">
      <w:bodyDiv w:val="1"/>
      <w:marLeft w:val="0"/>
      <w:marRight w:val="0"/>
      <w:marTop w:val="0"/>
      <w:marBottom w:val="0"/>
      <w:divBdr>
        <w:top w:val="none" w:sz="0" w:space="0" w:color="auto"/>
        <w:left w:val="none" w:sz="0" w:space="0" w:color="auto"/>
        <w:bottom w:val="none" w:sz="0" w:space="0" w:color="auto"/>
        <w:right w:val="none" w:sz="0" w:space="0" w:color="auto"/>
      </w:divBdr>
    </w:div>
    <w:div w:id="847603920">
      <w:bodyDiv w:val="1"/>
      <w:marLeft w:val="0"/>
      <w:marRight w:val="0"/>
      <w:marTop w:val="0"/>
      <w:marBottom w:val="0"/>
      <w:divBdr>
        <w:top w:val="none" w:sz="0" w:space="0" w:color="auto"/>
        <w:left w:val="none" w:sz="0" w:space="0" w:color="auto"/>
        <w:bottom w:val="none" w:sz="0" w:space="0" w:color="auto"/>
        <w:right w:val="none" w:sz="0" w:space="0" w:color="auto"/>
      </w:divBdr>
    </w:div>
    <w:div w:id="859465215">
      <w:bodyDiv w:val="1"/>
      <w:marLeft w:val="0"/>
      <w:marRight w:val="0"/>
      <w:marTop w:val="0"/>
      <w:marBottom w:val="0"/>
      <w:divBdr>
        <w:top w:val="none" w:sz="0" w:space="0" w:color="auto"/>
        <w:left w:val="none" w:sz="0" w:space="0" w:color="auto"/>
        <w:bottom w:val="none" w:sz="0" w:space="0" w:color="auto"/>
        <w:right w:val="none" w:sz="0" w:space="0" w:color="auto"/>
      </w:divBdr>
    </w:div>
    <w:div w:id="868369686">
      <w:bodyDiv w:val="1"/>
      <w:marLeft w:val="0"/>
      <w:marRight w:val="0"/>
      <w:marTop w:val="0"/>
      <w:marBottom w:val="0"/>
      <w:divBdr>
        <w:top w:val="none" w:sz="0" w:space="0" w:color="auto"/>
        <w:left w:val="none" w:sz="0" w:space="0" w:color="auto"/>
        <w:bottom w:val="none" w:sz="0" w:space="0" w:color="auto"/>
        <w:right w:val="none" w:sz="0" w:space="0" w:color="auto"/>
      </w:divBdr>
    </w:div>
    <w:div w:id="882641975">
      <w:bodyDiv w:val="1"/>
      <w:marLeft w:val="0"/>
      <w:marRight w:val="0"/>
      <w:marTop w:val="0"/>
      <w:marBottom w:val="0"/>
      <w:divBdr>
        <w:top w:val="none" w:sz="0" w:space="0" w:color="auto"/>
        <w:left w:val="none" w:sz="0" w:space="0" w:color="auto"/>
        <w:bottom w:val="none" w:sz="0" w:space="0" w:color="auto"/>
        <w:right w:val="none" w:sz="0" w:space="0" w:color="auto"/>
      </w:divBdr>
    </w:div>
    <w:div w:id="922299619">
      <w:bodyDiv w:val="1"/>
      <w:marLeft w:val="0"/>
      <w:marRight w:val="0"/>
      <w:marTop w:val="0"/>
      <w:marBottom w:val="0"/>
      <w:divBdr>
        <w:top w:val="none" w:sz="0" w:space="0" w:color="auto"/>
        <w:left w:val="none" w:sz="0" w:space="0" w:color="auto"/>
        <w:bottom w:val="none" w:sz="0" w:space="0" w:color="auto"/>
        <w:right w:val="none" w:sz="0" w:space="0" w:color="auto"/>
      </w:divBdr>
    </w:div>
    <w:div w:id="927347535">
      <w:bodyDiv w:val="1"/>
      <w:marLeft w:val="0"/>
      <w:marRight w:val="0"/>
      <w:marTop w:val="0"/>
      <w:marBottom w:val="0"/>
      <w:divBdr>
        <w:top w:val="none" w:sz="0" w:space="0" w:color="auto"/>
        <w:left w:val="none" w:sz="0" w:space="0" w:color="auto"/>
        <w:bottom w:val="none" w:sz="0" w:space="0" w:color="auto"/>
        <w:right w:val="none" w:sz="0" w:space="0" w:color="auto"/>
      </w:divBdr>
    </w:div>
    <w:div w:id="929042872">
      <w:bodyDiv w:val="1"/>
      <w:marLeft w:val="0"/>
      <w:marRight w:val="0"/>
      <w:marTop w:val="0"/>
      <w:marBottom w:val="0"/>
      <w:divBdr>
        <w:top w:val="none" w:sz="0" w:space="0" w:color="auto"/>
        <w:left w:val="none" w:sz="0" w:space="0" w:color="auto"/>
        <w:bottom w:val="none" w:sz="0" w:space="0" w:color="auto"/>
        <w:right w:val="none" w:sz="0" w:space="0" w:color="auto"/>
      </w:divBdr>
    </w:div>
    <w:div w:id="930045504">
      <w:bodyDiv w:val="1"/>
      <w:marLeft w:val="0"/>
      <w:marRight w:val="0"/>
      <w:marTop w:val="0"/>
      <w:marBottom w:val="0"/>
      <w:divBdr>
        <w:top w:val="none" w:sz="0" w:space="0" w:color="auto"/>
        <w:left w:val="none" w:sz="0" w:space="0" w:color="auto"/>
        <w:bottom w:val="none" w:sz="0" w:space="0" w:color="auto"/>
        <w:right w:val="none" w:sz="0" w:space="0" w:color="auto"/>
      </w:divBdr>
    </w:div>
    <w:div w:id="936592776">
      <w:bodyDiv w:val="1"/>
      <w:marLeft w:val="0"/>
      <w:marRight w:val="0"/>
      <w:marTop w:val="0"/>
      <w:marBottom w:val="0"/>
      <w:divBdr>
        <w:top w:val="none" w:sz="0" w:space="0" w:color="auto"/>
        <w:left w:val="none" w:sz="0" w:space="0" w:color="auto"/>
        <w:bottom w:val="none" w:sz="0" w:space="0" w:color="auto"/>
        <w:right w:val="none" w:sz="0" w:space="0" w:color="auto"/>
      </w:divBdr>
    </w:div>
    <w:div w:id="955987575">
      <w:bodyDiv w:val="1"/>
      <w:marLeft w:val="0"/>
      <w:marRight w:val="0"/>
      <w:marTop w:val="0"/>
      <w:marBottom w:val="0"/>
      <w:divBdr>
        <w:top w:val="none" w:sz="0" w:space="0" w:color="auto"/>
        <w:left w:val="none" w:sz="0" w:space="0" w:color="auto"/>
        <w:bottom w:val="none" w:sz="0" w:space="0" w:color="auto"/>
        <w:right w:val="none" w:sz="0" w:space="0" w:color="auto"/>
      </w:divBdr>
    </w:div>
    <w:div w:id="975454471">
      <w:bodyDiv w:val="1"/>
      <w:marLeft w:val="0"/>
      <w:marRight w:val="0"/>
      <w:marTop w:val="0"/>
      <w:marBottom w:val="0"/>
      <w:divBdr>
        <w:top w:val="none" w:sz="0" w:space="0" w:color="auto"/>
        <w:left w:val="none" w:sz="0" w:space="0" w:color="auto"/>
        <w:bottom w:val="none" w:sz="0" w:space="0" w:color="auto"/>
        <w:right w:val="none" w:sz="0" w:space="0" w:color="auto"/>
      </w:divBdr>
    </w:div>
    <w:div w:id="981619520">
      <w:bodyDiv w:val="1"/>
      <w:marLeft w:val="0"/>
      <w:marRight w:val="0"/>
      <w:marTop w:val="0"/>
      <w:marBottom w:val="0"/>
      <w:divBdr>
        <w:top w:val="none" w:sz="0" w:space="0" w:color="auto"/>
        <w:left w:val="none" w:sz="0" w:space="0" w:color="auto"/>
        <w:bottom w:val="none" w:sz="0" w:space="0" w:color="auto"/>
        <w:right w:val="none" w:sz="0" w:space="0" w:color="auto"/>
      </w:divBdr>
    </w:div>
    <w:div w:id="1001665291">
      <w:bodyDiv w:val="1"/>
      <w:marLeft w:val="0"/>
      <w:marRight w:val="0"/>
      <w:marTop w:val="0"/>
      <w:marBottom w:val="0"/>
      <w:divBdr>
        <w:top w:val="none" w:sz="0" w:space="0" w:color="auto"/>
        <w:left w:val="none" w:sz="0" w:space="0" w:color="auto"/>
        <w:bottom w:val="none" w:sz="0" w:space="0" w:color="auto"/>
        <w:right w:val="none" w:sz="0" w:space="0" w:color="auto"/>
      </w:divBdr>
    </w:div>
    <w:div w:id="1001666982">
      <w:bodyDiv w:val="1"/>
      <w:marLeft w:val="0"/>
      <w:marRight w:val="0"/>
      <w:marTop w:val="0"/>
      <w:marBottom w:val="0"/>
      <w:divBdr>
        <w:top w:val="none" w:sz="0" w:space="0" w:color="auto"/>
        <w:left w:val="none" w:sz="0" w:space="0" w:color="auto"/>
        <w:bottom w:val="none" w:sz="0" w:space="0" w:color="auto"/>
        <w:right w:val="none" w:sz="0" w:space="0" w:color="auto"/>
      </w:divBdr>
    </w:div>
    <w:div w:id="1007250156">
      <w:bodyDiv w:val="1"/>
      <w:marLeft w:val="0"/>
      <w:marRight w:val="0"/>
      <w:marTop w:val="0"/>
      <w:marBottom w:val="0"/>
      <w:divBdr>
        <w:top w:val="none" w:sz="0" w:space="0" w:color="auto"/>
        <w:left w:val="none" w:sz="0" w:space="0" w:color="auto"/>
        <w:bottom w:val="none" w:sz="0" w:space="0" w:color="auto"/>
        <w:right w:val="none" w:sz="0" w:space="0" w:color="auto"/>
      </w:divBdr>
    </w:div>
    <w:div w:id="1011107034">
      <w:bodyDiv w:val="1"/>
      <w:marLeft w:val="0"/>
      <w:marRight w:val="0"/>
      <w:marTop w:val="0"/>
      <w:marBottom w:val="0"/>
      <w:divBdr>
        <w:top w:val="none" w:sz="0" w:space="0" w:color="auto"/>
        <w:left w:val="none" w:sz="0" w:space="0" w:color="auto"/>
        <w:bottom w:val="none" w:sz="0" w:space="0" w:color="auto"/>
        <w:right w:val="none" w:sz="0" w:space="0" w:color="auto"/>
      </w:divBdr>
    </w:div>
    <w:div w:id="1025709883">
      <w:bodyDiv w:val="1"/>
      <w:marLeft w:val="0"/>
      <w:marRight w:val="0"/>
      <w:marTop w:val="0"/>
      <w:marBottom w:val="0"/>
      <w:divBdr>
        <w:top w:val="none" w:sz="0" w:space="0" w:color="auto"/>
        <w:left w:val="none" w:sz="0" w:space="0" w:color="auto"/>
        <w:bottom w:val="none" w:sz="0" w:space="0" w:color="auto"/>
        <w:right w:val="none" w:sz="0" w:space="0" w:color="auto"/>
      </w:divBdr>
    </w:div>
    <w:div w:id="1033457944">
      <w:bodyDiv w:val="1"/>
      <w:marLeft w:val="0"/>
      <w:marRight w:val="0"/>
      <w:marTop w:val="0"/>
      <w:marBottom w:val="0"/>
      <w:divBdr>
        <w:top w:val="none" w:sz="0" w:space="0" w:color="auto"/>
        <w:left w:val="none" w:sz="0" w:space="0" w:color="auto"/>
        <w:bottom w:val="none" w:sz="0" w:space="0" w:color="auto"/>
        <w:right w:val="none" w:sz="0" w:space="0" w:color="auto"/>
      </w:divBdr>
    </w:div>
    <w:div w:id="1036542398">
      <w:bodyDiv w:val="1"/>
      <w:marLeft w:val="0"/>
      <w:marRight w:val="0"/>
      <w:marTop w:val="0"/>
      <w:marBottom w:val="0"/>
      <w:divBdr>
        <w:top w:val="none" w:sz="0" w:space="0" w:color="auto"/>
        <w:left w:val="none" w:sz="0" w:space="0" w:color="auto"/>
        <w:bottom w:val="none" w:sz="0" w:space="0" w:color="auto"/>
        <w:right w:val="none" w:sz="0" w:space="0" w:color="auto"/>
      </w:divBdr>
    </w:div>
    <w:div w:id="1051537418">
      <w:bodyDiv w:val="1"/>
      <w:marLeft w:val="0"/>
      <w:marRight w:val="0"/>
      <w:marTop w:val="0"/>
      <w:marBottom w:val="0"/>
      <w:divBdr>
        <w:top w:val="none" w:sz="0" w:space="0" w:color="auto"/>
        <w:left w:val="none" w:sz="0" w:space="0" w:color="auto"/>
        <w:bottom w:val="none" w:sz="0" w:space="0" w:color="auto"/>
        <w:right w:val="none" w:sz="0" w:space="0" w:color="auto"/>
      </w:divBdr>
    </w:div>
    <w:div w:id="1055202380">
      <w:bodyDiv w:val="1"/>
      <w:marLeft w:val="0"/>
      <w:marRight w:val="0"/>
      <w:marTop w:val="0"/>
      <w:marBottom w:val="0"/>
      <w:divBdr>
        <w:top w:val="none" w:sz="0" w:space="0" w:color="auto"/>
        <w:left w:val="none" w:sz="0" w:space="0" w:color="auto"/>
        <w:bottom w:val="none" w:sz="0" w:space="0" w:color="auto"/>
        <w:right w:val="none" w:sz="0" w:space="0" w:color="auto"/>
      </w:divBdr>
    </w:div>
    <w:div w:id="1058625794">
      <w:bodyDiv w:val="1"/>
      <w:marLeft w:val="0"/>
      <w:marRight w:val="0"/>
      <w:marTop w:val="0"/>
      <w:marBottom w:val="0"/>
      <w:divBdr>
        <w:top w:val="none" w:sz="0" w:space="0" w:color="auto"/>
        <w:left w:val="none" w:sz="0" w:space="0" w:color="auto"/>
        <w:bottom w:val="none" w:sz="0" w:space="0" w:color="auto"/>
        <w:right w:val="none" w:sz="0" w:space="0" w:color="auto"/>
      </w:divBdr>
    </w:div>
    <w:div w:id="1060596207">
      <w:bodyDiv w:val="1"/>
      <w:marLeft w:val="0"/>
      <w:marRight w:val="0"/>
      <w:marTop w:val="0"/>
      <w:marBottom w:val="0"/>
      <w:divBdr>
        <w:top w:val="none" w:sz="0" w:space="0" w:color="auto"/>
        <w:left w:val="none" w:sz="0" w:space="0" w:color="auto"/>
        <w:bottom w:val="none" w:sz="0" w:space="0" w:color="auto"/>
        <w:right w:val="none" w:sz="0" w:space="0" w:color="auto"/>
      </w:divBdr>
    </w:div>
    <w:div w:id="1062362422">
      <w:bodyDiv w:val="1"/>
      <w:marLeft w:val="0"/>
      <w:marRight w:val="0"/>
      <w:marTop w:val="0"/>
      <w:marBottom w:val="0"/>
      <w:divBdr>
        <w:top w:val="none" w:sz="0" w:space="0" w:color="auto"/>
        <w:left w:val="none" w:sz="0" w:space="0" w:color="auto"/>
        <w:bottom w:val="none" w:sz="0" w:space="0" w:color="auto"/>
        <w:right w:val="none" w:sz="0" w:space="0" w:color="auto"/>
      </w:divBdr>
    </w:div>
    <w:div w:id="1070924973">
      <w:bodyDiv w:val="1"/>
      <w:marLeft w:val="0"/>
      <w:marRight w:val="0"/>
      <w:marTop w:val="0"/>
      <w:marBottom w:val="0"/>
      <w:divBdr>
        <w:top w:val="none" w:sz="0" w:space="0" w:color="auto"/>
        <w:left w:val="none" w:sz="0" w:space="0" w:color="auto"/>
        <w:bottom w:val="none" w:sz="0" w:space="0" w:color="auto"/>
        <w:right w:val="none" w:sz="0" w:space="0" w:color="auto"/>
      </w:divBdr>
    </w:div>
    <w:div w:id="1078333642">
      <w:bodyDiv w:val="1"/>
      <w:marLeft w:val="0"/>
      <w:marRight w:val="0"/>
      <w:marTop w:val="0"/>
      <w:marBottom w:val="0"/>
      <w:divBdr>
        <w:top w:val="none" w:sz="0" w:space="0" w:color="auto"/>
        <w:left w:val="none" w:sz="0" w:space="0" w:color="auto"/>
        <w:bottom w:val="none" w:sz="0" w:space="0" w:color="auto"/>
        <w:right w:val="none" w:sz="0" w:space="0" w:color="auto"/>
      </w:divBdr>
    </w:div>
    <w:div w:id="1078475539">
      <w:bodyDiv w:val="1"/>
      <w:marLeft w:val="0"/>
      <w:marRight w:val="0"/>
      <w:marTop w:val="0"/>
      <w:marBottom w:val="0"/>
      <w:divBdr>
        <w:top w:val="none" w:sz="0" w:space="0" w:color="auto"/>
        <w:left w:val="none" w:sz="0" w:space="0" w:color="auto"/>
        <w:bottom w:val="none" w:sz="0" w:space="0" w:color="auto"/>
        <w:right w:val="none" w:sz="0" w:space="0" w:color="auto"/>
      </w:divBdr>
    </w:div>
    <w:div w:id="1079906959">
      <w:bodyDiv w:val="1"/>
      <w:marLeft w:val="0"/>
      <w:marRight w:val="0"/>
      <w:marTop w:val="0"/>
      <w:marBottom w:val="0"/>
      <w:divBdr>
        <w:top w:val="none" w:sz="0" w:space="0" w:color="auto"/>
        <w:left w:val="none" w:sz="0" w:space="0" w:color="auto"/>
        <w:bottom w:val="none" w:sz="0" w:space="0" w:color="auto"/>
        <w:right w:val="none" w:sz="0" w:space="0" w:color="auto"/>
      </w:divBdr>
    </w:div>
    <w:div w:id="1080518074">
      <w:bodyDiv w:val="1"/>
      <w:marLeft w:val="0"/>
      <w:marRight w:val="0"/>
      <w:marTop w:val="0"/>
      <w:marBottom w:val="0"/>
      <w:divBdr>
        <w:top w:val="none" w:sz="0" w:space="0" w:color="auto"/>
        <w:left w:val="none" w:sz="0" w:space="0" w:color="auto"/>
        <w:bottom w:val="none" w:sz="0" w:space="0" w:color="auto"/>
        <w:right w:val="none" w:sz="0" w:space="0" w:color="auto"/>
      </w:divBdr>
    </w:div>
    <w:div w:id="1084110848">
      <w:bodyDiv w:val="1"/>
      <w:marLeft w:val="0"/>
      <w:marRight w:val="0"/>
      <w:marTop w:val="0"/>
      <w:marBottom w:val="0"/>
      <w:divBdr>
        <w:top w:val="none" w:sz="0" w:space="0" w:color="auto"/>
        <w:left w:val="none" w:sz="0" w:space="0" w:color="auto"/>
        <w:bottom w:val="none" w:sz="0" w:space="0" w:color="auto"/>
        <w:right w:val="none" w:sz="0" w:space="0" w:color="auto"/>
      </w:divBdr>
    </w:div>
    <w:div w:id="1084572454">
      <w:bodyDiv w:val="1"/>
      <w:marLeft w:val="0"/>
      <w:marRight w:val="0"/>
      <w:marTop w:val="0"/>
      <w:marBottom w:val="0"/>
      <w:divBdr>
        <w:top w:val="none" w:sz="0" w:space="0" w:color="auto"/>
        <w:left w:val="none" w:sz="0" w:space="0" w:color="auto"/>
        <w:bottom w:val="none" w:sz="0" w:space="0" w:color="auto"/>
        <w:right w:val="none" w:sz="0" w:space="0" w:color="auto"/>
      </w:divBdr>
    </w:div>
    <w:div w:id="1095828475">
      <w:bodyDiv w:val="1"/>
      <w:marLeft w:val="0"/>
      <w:marRight w:val="0"/>
      <w:marTop w:val="0"/>
      <w:marBottom w:val="0"/>
      <w:divBdr>
        <w:top w:val="none" w:sz="0" w:space="0" w:color="auto"/>
        <w:left w:val="none" w:sz="0" w:space="0" w:color="auto"/>
        <w:bottom w:val="none" w:sz="0" w:space="0" w:color="auto"/>
        <w:right w:val="none" w:sz="0" w:space="0" w:color="auto"/>
      </w:divBdr>
    </w:div>
    <w:div w:id="1096369959">
      <w:bodyDiv w:val="1"/>
      <w:marLeft w:val="0"/>
      <w:marRight w:val="0"/>
      <w:marTop w:val="0"/>
      <w:marBottom w:val="0"/>
      <w:divBdr>
        <w:top w:val="none" w:sz="0" w:space="0" w:color="auto"/>
        <w:left w:val="none" w:sz="0" w:space="0" w:color="auto"/>
        <w:bottom w:val="none" w:sz="0" w:space="0" w:color="auto"/>
        <w:right w:val="none" w:sz="0" w:space="0" w:color="auto"/>
      </w:divBdr>
    </w:div>
    <w:div w:id="1105148906">
      <w:bodyDiv w:val="1"/>
      <w:marLeft w:val="0"/>
      <w:marRight w:val="0"/>
      <w:marTop w:val="0"/>
      <w:marBottom w:val="0"/>
      <w:divBdr>
        <w:top w:val="none" w:sz="0" w:space="0" w:color="auto"/>
        <w:left w:val="none" w:sz="0" w:space="0" w:color="auto"/>
        <w:bottom w:val="none" w:sz="0" w:space="0" w:color="auto"/>
        <w:right w:val="none" w:sz="0" w:space="0" w:color="auto"/>
      </w:divBdr>
    </w:div>
    <w:div w:id="1107118194">
      <w:bodyDiv w:val="1"/>
      <w:marLeft w:val="0"/>
      <w:marRight w:val="0"/>
      <w:marTop w:val="0"/>
      <w:marBottom w:val="0"/>
      <w:divBdr>
        <w:top w:val="none" w:sz="0" w:space="0" w:color="auto"/>
        <w:left w:val="none" w:sz="0" w:space="0" w:color="auto"/>
        <w:bottom w:val="none" w:sz="0" w:space="0" w:color="auto"/>
        <w:right w:val="none" w:sz="0" w:space="0" w:color="auto"/>
      </w:divBdr>
    </w:div>
    <w:div w:id="1170875266">
      <w:bodyDiv w:val="1"/>
      <w:marLeft w:val="0"/>
      <w:marRight w:val="0"/>
      <w:marTop w:val="0"/>
      <w:marBottom w:val="0"/>
      <w:divBdr>
        <w:top w:val="none" w:sz="0" w:space="0" w:color="auto"/>
        <w:left w:val="none" w:sz="0" w:space="0" w:color="auto"/>
        <w:bottom w:val="none" w:sz="0" w:space="0" w:color="auto"/>
        <w:right w:val="none" w:sz="0" w:space="0" w:color="auto"/>
      </w:divBdr>
    </w:div>
    <w:div w:id="1181360560">
      <w:bodyDiv w:val="1"/>
      <w:marLeft w:val="0"/>
      <w:marRight w:val="0"/>
      <w:marTop w:val="0"/>
      <w:marBottom w:val="0"/>
      <w:divBdr>
        <w:top w:val="none" w:sz="0" w:space="0" w:color="auto"/>
        <w:left w:val="none" w:sz="0" w:space="0" w:color="auto"/>
        <w:bottom w:val="none" w:sz="0" w:space="0" w:color="auto"/>
        <w:right w:val="none" w:sz="0" w:space="0" w:color="auto"/>
      </w:divBdr>
    </w:div>
    <w:div w:id="1195725825">
      <w:bodyDiv w:val="1"/>
      <w:marLeft w:val="0"/>
      <w:marRight w:val="0"/>
      <w:marTop w:val="0"/>
      <w:marBottom w:val="0"/>
      <w:divBdr>
        <w:top w:val="none" w:sz="0" w:space="0" w:color="auto"/>
        <w:left w:val="none" w:sz="0" w:space="0" w:color="auto"/>
        <w:bottom w:val="none" w:sz="0" w:space="0" w:color="auto"/>
        <w:right w:val="none" w:sz="0" w:space="0" w:color="auto"/>
      </w:divBdr>
    </w:div>
    <w:div w:id="1198544069">
      <w:bodyDiv w:val="1"/>
      <w:marLeft w:val="0"/>
      <w:marRight w:val="0"/>
      <w:marTop w:val="0"/>
      <w:marBottom w:val="0"/>
      <w:divBdr>
        <w:top w:val="none" w:sz="0" w:space="0" w:color="auto"/>
        <w:left w:val="none" w:sz="0" w:space="0" w:color="auto"/>
        <w:bottom w:val="none" w:sz="0" w:space="0" w:color="auto"/>
        <w:right w:val="none" w:sz="0" w:space="0" w:color="auto"/>
      </w:divBdr>
    </w:div>
    <w:div w:id="1200701002">
      <w:bodyDiv w:val="1"/>
      <w:marLeft w:val="0"/>
      <w:marRight w:val="0"/>
      <w:marTop w:val="0"/>
      <w:marBottom w:val="0"/>
      <w:divBdr>
        <w:top w:val="none" w:sz="0" w:space="0" w:color="auto"/>
        <w:left w:val="none" w:sz="0" w:space="0" w:color="auto"/>
        <w:bottom w:val="none" w:sz="0" w:space="0" w:color="auto"/>
        <w:right w:val="none" w:sz="0" w:space="0" w:color="auto"/>
      </w:divBdr>
    </w:div>
    <w:div w:id="1205483611">
      <w:bodyDiv w:val="1"/>
      <w:marLeft w:val="0"/>
      <w:marRight w:val="0"/>
      <w:marTop w:val="0"/>
      <w:marBottom w:val="0"/>
      <w:divBdr>
        <w:top w:val="none" w:sz="0" w:space="0" w:color="auto"/>
        <w:left w:val="none" w:sz="0" w:space="0" w:color="auto"/>
        <w:bottom w:val="none" w:sz="0" w:space="0" w:color="auto"/>
        <w:right w:val="none" w:sz="0" w:space="0" w:color="auto"/>
      </w:divBdr>
    </w:div>
    <w:div w:id="1212613090">
      <w:bodyDiv w:val="1"/>
      <w:marLeft w:val="0"/>
      <w:marRight w:val="0"/>
      <w:marTop w:val="0"/>
      <w:marBottom w:val="0"/>
      <w:divBdr>
        <w:top w:val="none" w:sz="0" w:space="0" w:color="auto"/>
        <w:left w:val="none" w:sz="0" w:space="0" w:color="auto"/>
        <w:bottom w:val="none" w:sz="0" w:space="0" w:color="auto"/>
        <w:right w:val="none" w:sz="0" w:space="0" w:color="auto"/>
      </w:divBdr>
    </w:div>
    <w:div w:id="1219589122">
      <w:bodyDiv w:val="1"/>
      <w:marLeft w:val="0"/>
      <w:marRight w:val="0"/>
      <w:marTop w:val="0"/>
      <w:marBottom w:val="0"/>
      <w:divBdr>
        <w:top w:val="none" w:sz="0" w:space="0" w:color="auto"/>
        <w:left w:val="none" w:sz="0" w:space="0" w:color="auto"/>
        <w:bottom w:val="none" w:sz="0" w:space="0" w:color="auto"/>
        <w:right w:val="none" w:sz="0" w:space="0" w:color="auto"/>
      </w:divBdr>
    </w:div>
    <w:div w:id="1231312477">
      <w:bodyDiv w:val="1"/>
      <w:marLeft w:val="0"/>
      <w:marRight w:val="0"/>
      <w:marTop w:val="0"/>
      <w:marBottom w:val="0"/>
      <w:divBdr>
        <w:top w:val="none" w:sz="0" w:space="0" w:color="auto"/>
        <w:left w:val="none" w:sz="0" w:space="0" w:color="auto"/>
        <w:bottom w:val="none" w:sz="0" w:space="0" w:color="auto"/>
        <w:right w:val="none" w:sz="0" w:space="0" w:color="auto"/>
      </w:divBdr>
    </w:div>
    <w:div w:id="1234314929">
      <w:bodyDiv w:val="1"/>
      <w:marLeft w:val="0"/>
      <w:marRight w:val="0"/>
      <w:marTop w:val="0"/>
      <w:marBottom w:val="0"/>
      <w:divBdr>
        <w:top w:val="none" w:sz="0" w:space="0" w:color="auto"/>
        <w:left w:val="none" w:sz="0" w:space="0" w:color="auto"/>
        <w:bottom w:val="none" w:sz="0" w:space="0" w:color="auto"/>
        <w:right w:val="none" w:sz="0" w:space="0" w:color="auto"/>
      </w:divBdr>
    </w:div>
    <w:div w:id="1239482496">
      <w:bodyDiv w:val="1"/>
      <w:marLeft w:val="0"/>
      <w:marRight w:val="0"/>
      <w:marTop w:val="0"/>
      <w:marBottom w:val="0"/>
      <w:divBdr>
        <w:top w:val="none" w:sz="0" w:space="0" w:color="auto"/>
        <w:left w:val="none" w:sz="0" w:space="0" w:color="auto"/>
        <w:bottom w:val="none" w:sz="0" w:space="0" w:color="auto"/>
        <w:right w:val="none" w:sz="0" w:space="0" w:color="auto"/>
      </w:divBdr>
    </w:div>
    <w:div w:id="1245841283">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70552566">
      <w:bodyDiv w:val="1"/>
      <w:marLeft w:val="0"/>
      <w:marRight w:val="0"/>
      <w:marTop w:val="0"/>
      <w:marBottom w:val="0"/>
      <w:divBdr>
        <w:top w:val="none" w:sz="0" w:space="0" w:color="auto"/>
        <w:left w:val="none" w:sz="0" w:space="0" w:color="auto"/>
        <w:bottom w:val="none" w:sz="0" w:space="0" w:color="auto"/>
        <w:right w:val="none" w:sz="0" w:space="0" w:color="auto"/>
      </w:divBdr>
    </w:div>
    <w:div w:id="1272203994">
      <w:bodyDiv w:val="1"/>
      <w:marLeft w:val="0"/>
      <w:marRight w:val="0"/>
      <w:marTop w:val="0"/>
      <w:marBottom w:val="0"/>
      <w:divBdr>
        <w:top w:val="none" w:sz="0" w:space="0" w:color="auto"/>
        <w:left w:val="none" w:sz="0" w:space="0" w:color="auto"/>
        <w:bottom w:val="none" w:sz="0" w:space="0" w:color="auto"/>
        <w:right w:val="none" w:sz="0" w:space="0" w:color="auto"/>
      </w:divBdr>
    </w:div>
    <w:div w:id="1275602363">
      <w:bodyDiv w:val="1"/>
      <w:marLeft w:val="0"/>
      <w:marRight w:val="0"/>
      <w:marTop w:val="0"/>
      <w:marBottom w:val="0"/>
      <w:divBdr>
        <w:top w:val="none" w:sz="0" w:space="0" w:color="auto"/>
        <w:left w:val="none" w:sz="0" w:space="0" w:color="auto"/>
        <w:bottom w:val="none" w:sz="0" w:space="0" w:color="auto"/>
        <w:right w:val="none" w:sz="0" w:space="0" w:color="auto"/>
      </w:divBdr>
    </w:div>
    <w:div w:id="1275863536">
      <w:bodyDiv w:val="1"/>
      <w:marLeft w:val="0"/>
      <w:marRight w:val="0"/>
      <w:marTop w:val="0"/>
      <w:marBottom w:val="0"/>
      <w:divBdr>
        <w:top w:val="none" w:sz="0" w:space="0" w:color="auto"/>
        <w:left w:val="none" w:sz="0" w:space="0" w:color="auto"/>
        <w:bottom w:val="none" w:sz="0" w:space="0" w:color="auto"/>
        <w:right w:val="none" w:sz="0" w:space="0" w:color="auto"/>
      </w:divBdr>
    </w:div>
    <w:div w:id="1285233308">
      <w:bodyDiv w:val="1"/>
      <w:marLeft w:val="0"/>
      <w:marRight w:val="0"/>
      <w:marTop w:val="0"/>
      <w:marBottom w:val="0"/>
      <w:divBdr>
        <w:top w:val="none" w:sz="0" w:space="0" w:color="auto"/>
        <w:left w:val="none" w:sz="0" w:space="0" w:color="auto"/>
        <w:bottom w:val="none" w:sz="0" w:space="0" w:color="auto"/>
        <w:right w:val="none" w:sz="0" w:space="0" w:color="auto"/>
      </w:divBdr>
    </w:div>
    <w:div w:id="1317490346">
      <w:bodyDiv w:val="1"/>
      <w:marLeft w:val="0"/>
      <w:marRight w:val="0"/>
      <w:marTop w:val="0"/>
      <w:marBottom w:val="0"/>
      <w:divBdr>
        <w:top w:val="none" w:sz="0" w:space="0" w:color="auto"/>
        <w:left w:val="none" w:sz="0" w:space="0" w:color="auto"/>
        <w:bottom w:val="none" w:sz="0" w:space="0" w:color="auto"/>
        <w:right w:val="none" w:sz="0" w:space="0" w:color="auto"/>
      </w:divBdr>
    </w:div>
    <w:div w:id="1318613229">
      <w:bodyDiv w:val="1"/>
      <w:marLeft w:val="0"/>
      <w:marRight w:val="0"/>
      <w:marTop w:val="0"/>
      <w:marBottom w:val="0"/>
      <w:divBdr>
        <w:top w:val="none" w:sz="0" w:space="0" w:color="auto"/>
        <w:left w:val="none" w:sz="0" w:space="0" w:color="auto"/>
        <w:bottom w:val="none" w:sz="0" w:space="0" w:color="auto"/>
        <w:right w:val="none" w:sz="0" w:space="0" w:color="auto"/>
      </w:divBdr>
    </w:div>
    <w:div w:id="1327632887">
      <w:bodyDiv w:val="1"/>
      <w:marLeft w:val="0"/>
      <w:marRight w:val="0"/>
      <w:marTop w:val="0"/>
      <w:marBottom w:val="0"/>
      <w:divBdr>
        <w:top w:val="none" w:sz="0" w:space="0" w:color="auto"/>
        <w:left w:val="none" w:sz="0" w:space="0" w:color="auto"/>
        <w:bottom w:val="none" w:sz="0" w:space="0" w:color="auto"/>
        <w:right w:val="none" w:sz="0" w:space="0" w:color="auto"/>
      </w:divBdr>
    </w:div>
    <w:div w:id="1334839501">
      <w:bodyDiv w:val="1"/>
      <w:marLeft w:val="0"/>
      <w:marRight w:val="0"/>
      <w:marTop w:val="0"/>
      <w:marBottom w:val="0"/>
      <w:divBdr>
        <w:top w:val="none" w:sz="0" w:space="0" w:color="auto"/>
        <w:left w:val="none" w:sz="0" w:space="0" w:color="auto"/>
        <w:bottom w:val="none" w:sz="0" w:space="0" w:color="auto"/>
        <w:right w:val="none" w:sz="0" w:space="0" w:color="auto"/>
      </w:divBdr>
    </w:div>
    <w:div w:id="1354575994">
      <w:bodyDiv w:val="1"/>
      <w:marLeft w:val="0"/>
      <w:marRight w:val="0"/>
      <w:marTop w:val="0"/>
      <w:marBottom w:val="0"/>
      <w:divBdr>
        <w:top w:val="none" w:sz="0" w:space="0" w:color="auto"/>
        <w:left w:val="none" w:sz="0" w:space="0" w:color="auto"/>
        <w:bottom w:val="none" w:sz="0" w:space="0" w:color="auto"/>
        <w:right w:val="none" w:sz="0" w:space="0" w:color="auto"/>
      </w:divBdr>
    </w:div>
    <w:div w:id="1356424208">
      <w:bodyDiv w:val="1"/>
      <w:marLeft w:val="0"/>
      <w:marRight w:val="0"/>
      <w:marTop w:val="0"/>
      <w:marBottom w:val="0"/>
      <w:divBdr>
        <w:top w:val="none" w:sz="0" w:space="0" w:color="auto"/>
        <w:left w:val="none" w:sz="0" w:space="0" w:color="auto"/>
        <w:bottom w:val="none" w:sz="0" w:space="0" w:color="auto"/>
        <w:right w:val="none" w:sz="0" w:space="0" w:color="auto"/>
      </w:divBdr>
    </w:div>
    <w:div w:id="1360398953">
      <w:bodyDiv w:val="1"/>
      <w:marLeft w:val="0"/>
      <w:marRight w:val="0"/>
      <w:marTop w:val="0"/>
      <w:marBottom w:val="0"/>
      <w:divBdr>
        <w:top w:val="none" w:sz="0" w:space="0" w:color="auto"/>
        <w:left w:val="none" w:sz="0" w:space="0" w:color="auto"/>
        <w:bottom w:val="none" w:sz="0" w:space="0" w:color="auto"/>
        <w:right w:val="none" w:sz="0" w:space="0" w:color="auto"/>
      </w:divBdr>
    </w:div>
    <w:div w:id="1382704511">
      <w:bodyDiv w:val="1"/>
      <w:marLeft w:val="0"/>
      <w:marRight w:val="0"/>
      <w:marTop w:val="0"/>
      <w:marBottom w:val="0"/>
      <w:divBdr>
        <w:top w:val="none" w:sz="0" w:space="0" w:color="auto"/>
        <w:left w:val="none" w:sz="0" w:space="0" w:color="auto"/>
        <w:bottom w:val="none" w:sz="0" w:space="0" w:color="auto"/>
        <w:right w:val="none" w:sz="0" w:space="0" w:color="auto"/>
      </w:divBdr>
    </w:div>
    <w:div w:id="1386760862">
      <w:bodyDiv w:val="1"/>
      <w:marLeft w:val="0"/>
      <w:marRight w:val="0"/>
      <w:marTop w:val="0"/>
      <w:marBottom w:val="0"/>
      <w:divBdr>
        <w:top w:val="none" w:sz="0" w:space="0" w:color="auto"/>
        <w:left w:val="none" w:sz="0" w:space="0" w:color="auto"/>
        <w:bottom w:val="none" w:sz="0" w:space="0" w:color="auto"/>
        <w:right w:val="none" w:sz="0" w:space="0" w:color="auto"/>
      </w:divBdr>
    </w:div>
    <w:div w:id="1395159102">
      <w:bodyDiv w:val="1"/>
      <w:marLeft w:val="0"/>
      <w:marRight w:val="0"/>
      <w:marTop w:val="0"/>
      <w:marBottom w:val="0"/>
      <w:divBdr>
        <w:top w:val="none" w:sz="0" w:space="0" w:color="auto"/>
        <w:left w:val="none" w:sz="0" w:space="0" w:color="auto"/>
        <w:bottom w:val="none" w:sz="0" w:space="0" w:color="auto"/>
        <w:right w:val="none" w:sz="0" w:space="0" w:color="auto"/>
      </w:divBdr>
    </w:div>
    <w:div w:id="1400440987">
      <w:bodyDiv w:val="1"/>
      <w:marLeft w:val="0"/>
      <w:marRight w:val="0"/>
      <w:marTop w:val="0"/>
      <w:marBottom w:val="0"/>
      <w:divBdr>
        <w:top w:val="none" w:sz="0" w:space="0" w:color="auto"/>
        <w:left w:val="none" w:sz="0" w:space="0" w:color="auto"/>
        <w:bottom w:val="none" w:sz="0" w:space="0" w:color="auto"/>
        <w:right w:val="none" w:sz="0" w:space="0" w:color="auto"/>
      </w:divBdr>
    </w:div>
    <w:div w:id="1405831547">
      <w:bodyDiv w:val="1"/>
      <w:marLeft w:val="0"/>
      <w:marRight w:val="0"/>
      <w:marTop w:val="0"/>
      <w:marBottom w:val="0"/>
      <w:divBdr>
        <w:top w:val="none" w:sz="0" w:space="0" w:color="auto"/>
        <w:left w:val="none" w:sz="0" w:space="0" w:color="auto"/>
        <w:bottom w:val="none" w:sz="0" w:space="0" w:color="auto"/>
        <w:right w:val="none" w:sz="0" w:space="0" w:color="auto"/>
      </w:divBdr>
    </w:div>
    <w:div w:id="1412896364">
      <w:bodyDiv w:val="1"/>
      <w:marLeft w:val="0"/>
      <w:marRight w:val="0"/>
      <w:marTop w:val="0"/>
      <w:marBottom w:val="0"/>
      <w:divBdr>
        <w:top w:val="none" w:sz="0" w:space="0" w:color="auto"/>
        <w:left w:val="none" w:sz="0" w:space="0" w:color="auto"/>
        <w:bottom w:val="none" w:sz="0" w:space="0" w:color="auto"/>
        <w:right w:val="none" w:sz="0" w:space="0" w:color="auto"/>
      </w:divBdr>
    </w:div>
    <w:div w:id="1453674238">
      <w:bodyDiv w:val="1"/>
      <w:marLeft w:val="0"/>
      <w:marRight w:val="0"/>
      <w:marTop w:val="0"/>
      <w:marBottom w:val="0"/>
      <w:divBdr>
        <w:top w:val="none" w:sz="0" w:space="0" w:color="auto"/>
        <w:left w:val="none" w:sz="0" w:space="0" w:color="auto"/>
        <w:bottom w:val="none" w:sz="0" w:space="0" w:color="auto"/>
        <w:right w:val="none" w:sz="0" w:space="0" w:color="auto"/>
      </w:divBdr>
    </w:div>
    <w:div w:id="1456023316">
      <w:bodyDiv w:val="1"/>
      <w:marLeft w:val="0"/>
      <w:marRight w:val="0"/>
      <w:marTop w:val="0"/>
      <w:marBottom w:val="0"/>
      <w:divBdr>
        <w:top w:val="none" w:sz="0" w:space="0" w:color="auto"/>
        <w:left w:val="none" w:sz="0" w:space="0" w:color="auto"/>
        <w:bottom w:val="none" w:sz="0" w:space="0" w:color="auto"/>
        <w:right w:val="none" w:sz="0" w:space="0" w:color="auto"/>
      </w:divBdr>
    </w:div>
    <w:div w:id="1487015820">
      <w:bodyDiv w:val="1"/>
      <w:marLeft w:val="0"/>
      <w:marRight w:val="0"/>
      <w:marTop w:val="0"/>
      <w:marBottom w:val="0"/>
      <w:divBdr>
        <w:top w:val="none" w:sz="0" w:space="0" w:color="auto"/>
        <w:left w:val="none" w:sz="0" w:space="0" w:color="auto"/>
        <w:bottom w:val="none" w:sz="0" w:space="0" w:color="auto"/>
        <w:right w:val="none" w:sz="0" w:space="0" w:color="auto"/>
      </w:divBdr>
    </w:div>
    <w:div w:id="1498762623">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
    <w:div w:id="1517579050">
      <w:bodyDiv w:val="1"/>
      <w:marLeft w:val="0"/>
      <w:marRight w:val="0"/>
      <w:marTop w:val="0"/>
      <w:marBottom w:val="0"/>
      <w:divBdr>
        <w:top w:val="none" w:sz="0" w:space="0" w:color="auto"/>
        <w:left w:val="none" w:sz="0" w:space="0" w:color="auto"/>
        <w:bottom w:val="none" w:sz="0" w:space="0" w:color="auto"/>
        <w:right w:val="none" w:sz="0" w:space="0" w:color="auto"/>
      </w:divBdr>
    </w:div>
    <w:div w:id="1519155789">
      <w:bodyDiv w:val="1"/>
      <w:marLeft w:val="0"/>
      <w:marRight w:val="0"/>
      <w:marTop w:val="0"/>
      <w:marBottom w:val="0"/>
      <w:divBdr>
        <w:top w:val="none" w:sz="0" w:space="0" w:color="auto"/>
        <w:left w:val="none" w:sz="0" w:space="0" w:color="auto"/>
        <w:bottom w:val="none" w:sz="0" w:space="0" w:color="auto"/>
        <w:right w:val="none" w:sz="0" w:space="0" w:color="auto"/>
      </w:divBdr>
    </w:div>
    <w:div w:id="1521509161">
      <w:bodyDiv w:val="1"/>
      <w:marLeft w:val="0"/>
      <w:marRight w:val="0"/>
      <w:marTop w:val="0"/>
      <w:marBottom w:val="0"/>
      <w:divBdr>
        <w:top w:val="none" w:sz="0" w:space="0" w:color="auto"/>
        <w:left w:val="none" w:sz="0" w:space="0" w:color="auto"/>
        <w:bottom w:val="none" w:sz="0" w:space="0" w:color="auto"/>
        <w:right w:val="none" w:sz="0" w:space="0" w:color="auto"/>
      </w:divBdr>
    </w:div>
    <w:div w:id="1523979099">
      <w:bodyDiv w:val="1"/>
      <w:marLeft w:val="0"/>
      <w:marRight w:val="0"/>
      <w:marTop w:val="0"/>
      <w:marBottom w:val="0"/>
      <w:divBdr>
        <w:top w:val="none" w:sz="0" w:space="0" w:color="auto"/>
        <w:left w:val="none" w:sz="0" w:space="0" w:color="auto"/>
        <w:bottom w:val="none" w:sz="0" w:space="0" w:color="auto"/>
        <w:right w:val="none" w:sz="0" w:space="0" w:color="auto"/>
      </w:divBdr>
    </w:div>
    <w:div w:id="1530146945">
      <w:bodyDiv w:val="1"/>
      <w:marLeft w:val="0"/>
      <w:marRight w:val="0"/>
      <w:marTop w:val="0"/>
      <w:marBottom w:val="0"/>
      <w:divBdr>
        <w:top w:val="none" w:sz="0" w:space="0" w:color="auto"/>
        <w:left w:val="none" w:sz="0" w:space="0" w:color="auto"/>
        <w:bottom w:val="none" w:sz="0" w:space="0" w:color="auto"/>
        <w:right w:val="none" w:sz="0" w:space="0" w:color="auto"/>
      </w:divBdr>
    </w:div>
    <w:div w:id="1533618153">
      <w:bodyDiv w:val="1"/>
      <w:marLeft w:val="0"/>
      <w:marRight w:val="0"/>
      <w:marTop w:val="0"/>
      <w:marBottom w:val="0"/>
      <w:divBdr>
        <w:top w:val="none" w:sz="0" w:space="0" w:color="auto"/>
        <w:left w:val="none" w:sz="0" w:space="0" w:color="auto"/>
        <w:bottom w:val="none" w:sz="0" w:space="0" w:color="auto"/>
        <w:right w:val="none" w:sz="0" w:space="0" w:color="auto"/>
      </w:divBdr>
    </w:div>
    <w:div w:id="1534342233">
      <w:bodyDiv w:val="1"/>
      <w:marLeft w:val="0"/>
      <w:marRight w:val="0"/>
      <w:marTop w:val="0"/>
      <w:marBottom w:val="0"/>
      <w:divBdr>
        <w:top w:val="none" w:sz="0" w:space="0" w:color="auto"/>
        <w:left w:val="none" w:sz="0" w:space="0" w:color="auto"/>
        <w:bottom w:val="none" w:sz="0" w:space="0" w:color="auto"/>
        <w:right w:val="none" w:sz="0" w:space="0" w:color="auto"/>
      </w:divBdr>
    </w:div>
    <w:div w:id="1535730694">
      <w:bodyDiv w:val="1"/>
      <w:marLeft w:val="0"/>
      <w:marRight w:val="0"/>
      <w:marTop w:val="0"/>
      <w:marBottom w:val="0"/>
      <w:divBdr>
        <w:top w:val="none" w:sz="0" w:space="0" w:color="auto"/>
        <w:left w:val="none" w:sz="0" w:space="0" w:color="auto"/>
        <w:bottom w:val="none" w:sz="0" w:space="0" w:color="auto"/>
        <w:right w:val="none" w:sz="0" w:space="0" w:color="auto"/>
      </w:divBdr>
    </w:div>
    <w:div w:id="1535773670">
      <w:bodyDiv w:val="1"/>
      <w:marLeft w:val="0"/>
      <w:marRight w:val="0"/>
      <w:marTop w:val="0"/>
      <w:marBottom w:val="0"/>
      <w:divBdr>
        <w:top w:val="none" w:sz="0" w:space="0" w:color="auto"/>
        <w:left w:val="none" w:sz="0" w:space="0" w:color="auto"/>
        <w:bottom w:val="none" w:sz="0" w:space="0" w:color="auto"/>
        <w:right w:val="none" w:sz="0" w:space="0" w:color="auto"/>
      </w:divBdr>
    </w:div>
    <w:div w:id="1536307443">
      <w:bodyDiv w:val="1"/>
      <w:marLeft w:val="0"/>
      <w:marRight w:val="0"/>
      <w:marTop w:val="0"/>
      <w:marBottom w:val="0"/>
      <w:divBdr>
        <w:top w:val="none" w:sz="0" w:space="0" w:color="auto"/>
        <w:left w:val="none" w:sz="0" w:space="0" w:color="auto"/>
        <w:bottom w:val="none" w:sz="0" w:space="0" w:color="auto"/>
        <w:right w:val="none" w:sz="0" w:space="0" w:color="auto"/>
      </w:divBdr>
    </w:div>
    <w:div w:id="1537888774">
      <w:bodyDiv w:val="1"/>
      <w:marLeft w:val="0"/>
      <w:marRight w:val="0"/>
      <w:marTop w:val="0"/>
      <w:marBottom w:val="0"/>
      <w:divBdr>
        <w:top w:val="none" w:sz="0" w:space="0" w:color="auto"/>
        <w:left w:val="none" w:sz="0" w:space="0" w:color="auto"/>
        <w:bottom w:val="none" w:sz="0" w:space="0" w:color="auto"/>
        <w:right w:val="none" w:sz="0" w:space="0" w:color="auto"/>
      </w:divBdr>
    </w:div>
    <w:div w:id="1554345228">
      <w:bodyDiv w:val="1"/>
      <w:marLeft w:val="0"/>
      <w:marRight w:val="0"/>
      <w:marTop w:val="0"/>
      <w:marBottom w:val="0"/>
      <w:divBdr>
        <w:top w:val="none" w:sz="0" w:space="0" w:color="auto"/>
        <w:left w:val="none" w:sz="0" w:space="0" w:color="auto"/>
        <w:bottom w:val="none" w:sz="0" w:space="0" w:color="auto"/>
        <w:right w:val="none" w:sz="0" w:space="0" w:color="auto"/>
      </w:divBdr>
    </w:div>
    <w:div w:id="1557087622">
      <w:bodyDiv w:val="1"/>
      <w:marLeft w:val="0"/>
      <w:marRight w:val="0"/>
      <w:marTop w:val="0"/>
      <w:marBottom w:val="0"/>
      <w:divBdr>
        <w:top w:val="none" w:sz="0" w:space="0" w:color="auto"/>
        <w:left w:val="none" w:sz="0" w:space="0" w:color="auto"/>
        <w:bottom w:val="none" w:sz="0" w:space="0" w:color="auto"/>
        <w:right w:val="none" w:sz="0" w:space="0" w:color="auto"/>
      </w:divBdr>
    </w:div>
    <w:div w:id="1564020389">
      <w:bodyDiv w:val="1"/>
      <w:marLeft w:val="0"/>
      <w:marRight w:val="0"/>
      <w:marTop w:val="0"/>
      <w:marBottom w:val="0"/>
      <w:divBdr>
        <w:top w:val="none" w:sz="0" w:space="0" w:color="auto"/>
        <w:left w:val="none" w:sz="0" w:space="0" w:color="auto"/>
        <w:bottom w:val="none" w:sz="0" w:space="0" w:color="auto"/>
        <w:right w:val="none" w:sz="0" w:space="0" w:color="auto"/>
      </w:divBdr>
    </w:div>
    <w:div w:id="1564366684">
      <w:bodyDiv w:val="1"/>
      <w:marLeft w:val="0"/>
      <w:marRight w:val="0"/>
      <w:marTop w:val="0"/>
      <w:marBottom w:val="0"/>
      <w:divBdr>
        <w:top w:val="none" w:sz="0" w:space="0" w:color="auto"/>
        <w:left w:val="none" w:sz="0" w:space="0" w:color="auto"/>
        <w:bottom w:val="none" w:sz="0" w:space="0" w:color="auto"/>
        <w:right w:val="none" w:sz="0" w:space="0" w:color="auto"/>
      </w:divBdr>
    </w:div>
    <w:div w:id="1603490858">
      <w:bodyDiv w:val="1"/>
      <w:marLeft w:val="0"/>
      <w:marRight w:val="0"/>
      <w:marTop w:val="0"/>
      <w:marBottom w:val="0"/>
      <w:divBdr>
        <w:top w:val="none" w:sz="0" w:space="0" w:color="auto"/>
        <w:left w:val="none" w:sz="0" w:space="0" w:color="auto"/>
        <w:bottom w:val="none" w:sz="0" w:space="0" w:color="auto"/>
        <w:right w:val="none" w:sz="0" w:space="0" w:color="auto"/>
      </w:divBdr>
    </w:div>
    <w:div w:id="1616670575">
      <w:bodyDiv w:val="1"/>
      <w:marLeft w:val="0"/>
      <w:marRight w:val="0"/>
      <w:marTop w:val="0"/>
      <w:marBottom w:val="0"/>
      <w:divBdr>
        <w:top w:val="none" w:sz="0" w:space="0" w:color="auto"/>
        <w:left w:val="none" w:sz="0" w:space="0" w:color="auto"/>
        <w:bottom w:val="none" w:sz="0" w:space="0" w:color="auto"/>
        <w:right w:val="none" w:sz="0" w:space="0" w:color="auto"/>
      </w:divBdr>
    </w:div>
    <w:div w:id="1635061666">
      <w:bodyDiv w:val="1"/>
      <w:marLeft w:val="0"/>
      <w:marRight w:val="0"/>
      <w:marTop w:val="0"/>
      <w:marBottom w:val="0"/>
      <w:divBdr>
        <w:top w:val="none" w:sz="0" w:space="0" w:color="auto"/>
        <w:left w:val="none" w:sz="0" w:space="0" w:color="auto"/>
        <w:bottom w:val="none" w:sz="0" w:space="0" w:color="auto"/>
        <w:right w:val="none" w:sz="0" w:space="0" w:color="auto"/>
      </w:divBdr>
    </w:div>
    <w:div w:id="1641693475">
      <w:bodyDiv w:val="1"/>
      <w:marLeft w:val="0"/>
      <w:marRight w:val="0"/>
      <w:marTop w:val="0"/>
      <w:marBottom w:val="0"/>
      <w:divBdr>
        <w:top w:val="none" w:sz="0" w:space="0" w:color="auto"/>
        <w:left w:val="none" w:sz="0" w:space="0" w:color="auto"/>
        <w:bottom w:val="none" w:sz="0" w:space="0" w:color="auto"/>
        <w:right w:val="none" w:sz="0" w:space="0" w:color="auto"/>
      </w:divBdr>
    </w:div>
    <w:div w:id="1646886372">
      <w:bodyDiv w:val="1"/>
      <w:marLeft w:val="0"/>
      <w:marRight w:val="0"/>
      <w:marTop w:val="0"/>
      <w:marBottom w:val="0"/>
      <w:divBdr>
        <w:top w:val="none" w:sz="0" w:space="0" w:color="auto"/>
        <w:left w:val="none" w:sz="0" w:space="0" w:color="auto"/>
        <w:bottom w:val="none" w:sz="0" w:space="0" w:color="auto"/>
        <w:right w:val="none" w:sz="0" w:space="0" w:color="auto"/>
      </w:divBdr>
    </w:div>
    <w:div w:id="1653482726">
      <w:bodyDiv w:val="1"/>
      <w:marLeft w:val="0"/>
      <w:marRight w:val="0"/>
      <w:marTop w:val="0"/>
      <w:marBottom w:val="0"/>
      <w:divBdr>
        <w:top w:val="none" w:sz="0" w:space="0" w:color="auto"/>
        <w:left w:val="none" w:sz="0" w:space="0" w:color="auto"/>
        <w:bottom w:val="none" w:sz="0" w:space="0" w:color="auto"/>
        <w:right w:val="none" w:sz="0" w:space="0" w:color="auto"/>
      </w:divBdr>
    </w:div>
    <w:div w:id="1674718382">
      <w:bodyDiv w:val="1"/>
      <w:marLeft w:val="0"/>
      <w:marRight w:val="0"/>
      <w:marTop w:val="0"/>
      <w:marBottom w:val="0"/>
      <w:divBdr>
        <w:top w:val="none" w:sz="0" w:space="0" w:color="auto"/>
        <w:left w:val="none" w:sz="0" w:space="0" w:color="auto"/>
        <w:bottom w:val="none" w:sz="0" w:space="0" w:color="auto"/>
        <w:right w:val="none" w:sz="0" w:space="0" w:color="auto"/>
      </w:divBdr>
    </w:div>
    <w:div w:id="1684621901">
      <w:bodyDiv w:val="1"/>
      <w:marLeft w:val="0"/>
      <w:marRight w:val="0"/>
      <w:marTop w:val="0"/>
      <w:marBottom w:val="0"/>
      <w:divBdr>
        <w:top w:val="none" w:sz="0" w:space="0" w:color="auto"/>
        <w:left w:val="none" w:sz="0" w:space="0" w:color="auto"/>
        <w:bottom w:val="none" w:sz="0" w:space="0" w:color="auto"/>
        <w:right w:val="none" w:sz="0" w:space="0" w:color="auto"/>
      </w:divBdr>
    </w:div>
    <w:div w:id="1684699554">
      <w:bodyDiv w:val="1"/>
      <w:marLeft w:val="0"/>
      <w:marRight w:val="0"/>
      <w:marTop w:val="0"/>
      <w:marBottom w:val="0"/>
      <w:divBdr>
        <w:top w:val="none" w:sz="0" w:space="0" w:color="auto"/>
        <w:left w:val="none" w:sz="0" w:space="0" w:color="auto"/>
        <w:bottom w:val="none" w:sz="0" w:space="0" w:color="auto"/>
        <w:right w:val="none" w:sz="0" w:space="0" w:color="auto"/>
      </w:divBdr>
    </w:div>
    <w:div w:id="1690637066">
      <w:bodyDiv w:val="1"/>
      <w:marLeft w:val="0"/>
      <w:marRight w:val="0"/>
      <w:marTop w:val="0"/>
      <w:marBottom w:val="0"/>
      <w:divBdr>
        <w:top w:val="none" w:sz="0" w:space="0" w:color="auto"/>
        <w:left w:val="none" w:sz="0" w:space="0" w:color="auto"/>
        <w:bottom w:val="none" w:sz="0" w:space="0" w:color="auto"/>
        <w:right w:val="none" w:sz="0" w:space="0" w:color="auto"/>
      </w:divBdr>
    </w:div>
    <w:div w:id="1706638801">
      <w:bodyDiv w:val="1"/>
      <w:marLeft w:val="0"/>
      <w:marRight w:val="0"/>
      <w:marTop w:val="0"/>
      <w:marBottom w:val="0"/>
      <w:divBdr>
        <w:top w:val="none" w:sz="0" w:space="0" w:color="auto"/>
        <w:left w:val="none" w:sz="0" w:space="0" w:color="auto"/>
        <w:bottom w:val="none" w:sz="0" w:space="0" w:color="auto"/>
        <w:right w:val="none" w:sz="0" w:space="0" w:color="auto"/>
      </w:divBdr>
    </w:div>
    <w:div w:id="1710254199">
      <w:bodyDiv w:val="1"/>
      <w:marLeft w:val="0"/>
      <w:marRight w:val="0"/>
      <w:marTop w:val="0"/>
      <w:marBottom w:val="0"/>
      <w:divBdr>
        <w:top w:val="none" w:sz="0" w:space="0" w:color="auto"/>
        <w:left w:val="none" w:sz="0" w:space="0" w:color="auto"/>
        <w:bottom w:val="none" w:sz="0" w:space="0" w:color="auto"/>
        <w:right w:val="none" w:sz="0" w:space="0" w:color="auto"/>
      </w:divBdr>
    </w:div>
    <w:div w:id="1721518605">
      <w:bodyDiv w:val="1"/>
      <w:marLeft w:val="0"/>
      <w:marRight w:val="0"/>
      <w:marTop w:val="0"/>
      <w:marBottom w:val="0"/>
      <w:divBdr>
        <w:top w:val="none" w:sz="0" w:space="0" w:color="auto"/>
        <w:left w:val="none" w:sz="0" w:space="0" w:color="auto"/>
        <w:bottom w:val="none" w:sz="0" w:space="0" w:color="auto"/>
        <w:right w:val="none" w:sz="0" w:space="0" w:color="auto"/>
      </w:divBdr>
    </w:div>
    <w:div w:id="1722557290">
      <w:bodyDiv w:val="1"/>
      <w:marLeft w:val="0"/>
      <w:marRight w:val="0"/>
      <w:marTop w:val="0"/>
      <w:marBottom w:val="0"/>
      <w:divBdr>
        <w:top w:val="none" w:sz="0" w:space="0" w:color="auto"/>
        <w:left w:val="none" w:sz="0" w:space="0" w:color="auto"/>
        <w:bottom w:val="none" w:sz="0" w:space="0" w:color="auto"/>
        <w:right w:val="none" w:sz="0" w:space="0" w:color="auto"/>
      </w:divBdr>
    </w:div>
    <w:div w:id="1727071872">
      <w:bodyDiv w:val="1"/>
      <w:marLeft w:val="0"/>
      <w:marRight w:val="0"/>
      <w:marTop w:val="0"/>
      <w:marBottom w:val="0"/>
      <w:divBdr>
        <w:top w:val="none" w:sz="0" w:space="0" w:color="auto"/>
        <w:left w:val="none" w:sz="0" w:space="0" w:color="auto"/>
        <w:bottom w:val="none" w:sz="0" w:space="0" w:color="auto"/>
        <w:right w:val="none" w:sz="0" w:space="0" w:color="auto"/>
      </w:divBdr>
    </w:div>
    <w:div w:id="1737556953">
      <w:bodyDiv w:val="1"/>
      <w:marLeft w:val="0"/>
      <w:marRight w:val="0"/>
      <w:marTop w:val="0"/>
      <w:marBottom w:val="0"/>
      <w:divBdr>
        <w:top w:val="none" w:sz="0" w:space="0" w:color="auto"/>
        <w:left w:val="none" w:sz="0" w:space="0" w:color="auto"/>
        <w:bottom w:val="none" w:sz="0" w:space="0" w:color="auto"/>
        <w:right w:val="none" w:sz="0" w:space="0" w:color="auto"/>
      </w:divBdr>
    </w:div>
    <w:div w:id="1750157760">
      <w:bodyDiv w:val="1"/>
      <w:marLeft w:val="0"/>
      <w:marRight w:val="0"/>
      <w:marTop w:val="0"/>
      <w:marBottom w:val="0"/>
      <w:divBdr>
        <w:top w:val="none" w:sz="0" w:space="0" w:color="auto"/>
        <w:left w:val="none" w:sz="0" w:space="0" w:color="auto"/>
        <w:bottom w:val="none" w:sz="0" w:space="0" w:color="auto"/>
        <w:right w:val="none" w:sz="0" w:space="0" w:color="auto"/>
      </w:divBdr>
    </w:div>
    <w:div w:id="1771511473">
      <w:bodyDiv w:val="1"/>
      <w:marLeft w:val="0"/>
      <w:marRight w:val="0"/>
      <w:marTop w:val="0"/>
      <w:marBottom w:val="0"/>
      <w:divBdr>
        <w:top w:val="none" w:sz="0" w:space="0" w:color="auto"/>
        <w:left w:val="none" w:sz="0" w:space="0" w:color="auto"/>
        <w:bottom w:val="none" w:sz="0" w:space="0" w:color="auto"/>
        <w:right w:val="none" w:sz="0" w:space="0" w:color="auto"/>
      </w:divBdr>
    </w:div>
    <w:div w:id="1778792010">
      <w:bodyDiv w:val="1"/>
      <w:marLeft w:val="0"/>
      <w:marRight w:val="0"/>
      <w:marTop w:val="0"/>
      <w:marBottom w:val="0"/>
      <w:divBdr>
        <w:top w:val="none" w:sz="0" w:space="0" w:color="auto"/>
        <w:left w:val="none" w:sz="0" w:space="0" w:color="auto"/>
        <w:bottom w:val="none" w:sz="0" w:space="0" w:color="auto"/>
        <w:right w:val="none" w:sz="0" w:space="0" w:color="auto"/>
      </w:divBdr>
    </w:div>
    <w:div w:id="1808818273">
      <w:bodyDiv w:val="1"/>
      <w:marLeft w:val="0"/>
      <w:marRight w:val="0"/>
      <w:marTop w:val="0"/>
      <w:marBottom w:val="0"/>
      <w:divBdr>
        <w:top w:val="none" w:sz="0" w:space="0" w:color="auto"/>
        <w:left w:val="none" w:sz="0" w:space="0" w:color="auto"/>
        <w:bottom w:val="none" w:sz="0" w:space="0" w:color="auto"/>
        <w:right w:val="none" w:sz="0" w:space="0" w:color="auto"/>
      </w:divBdr>
    </w:div>
    <w:div w:id="1812136136">
      <w:bodyDiv w:val="1"/>
      <w:marLeft w:val="0"/>
      <w:marRight w:val="0"/>
      <w:marTop w:val="0"/>
      <w:marBottom w:val="0"/>
      <w:divBdr>
        <w:top w:val="none" w:sz="0" w:space="0" w:color="auto"/>
        <w:left w:val="none" w:sz="0" w:space="0" w:color="auto"/>
        <w:bottom w:val="none" w:sz="0" w:space="0" w:color="auto"/>
        <w:right w:val="none" w:sz="0" w:space="0" w:color="auto"/>
      </w:divBdr>
    </w:div>
    <w:div w:id="1819496378">
      <w:bodyDiv w:val="1"/>
      <w:marLeft w:val="0"/>
      <w:marRight w:val="0"/>
      <w:marTop w:val="0"/>
      <w:marBottom w:val="0"/>
      <w:divBdr>
        <w:top w:val="none" w:sz="0" w:space="0" w:color="auto"/>
        <w:left w:val="none" w:sz="0" w:space="0" w:color="auto"/>
        <w:bottom w:val="none" w:sz="0" w:space="0" w:color="auto"/>
        <w:right w:val="none" w:sz="0" w:space="0" w:color="auto"/>
      </w:divBdr>
    </w:div>
    <w:div w:id="1820418888">
      <w:bodyDiv w:val="1"/>
      <w:marLeft w:val="0"/>
      <w:marRight w:val="0"/>
      <w:marTop w:val="0"/>
      <w:marBottom w:val="0"/>
      <w:divBdr>
        <w:top w:val="none" w:sz="0" w:space="0" w:color="auto"/>
        <w:left w:val="none" w:sz="0" w:space="0" w:color="auto"/>
        <w:bottom w:val="none" w:sz="0" w:space="0" w:color="auto"/>
        <w:right w:val="none" w:sz="0" w:space="0" w:color="auto"/>
      </w:divBdr>
    </w:div>
    <w:div w:id="1838038230">
      <w:bodyDiv w:val="1"/>
      <w:marLeft w:val="0"/>
      <w:marRight w:val="0"/>
      <w:marTop w:val="0"/>
      <w:marBottom w:val="0"/>
      <w:divBdr>
        <w:top w:val="none" w:sz="0" w:space="0" w:color="auto"/>
        <w:left w:val="none" w:sz="0" w:space="0" w:color="auto"/>
        <w:bottom w:val="none" w:sz="0" w:space="0" w:color="auto"/>
        <w:right w:val="none" w:sz="0" w:space="0" w:color="auto"/>
      </w:divBdr>
    </w:div>
    <w:div w:id="1844583197">
      <w:bodyDiv w:val="1"/>
      <w:marLeft w:val="0"/>
      <w:marRight w:val="0"/>
      <w:marTop w:val="0"/>
      <w:marBottom w:val="0"/>
      <w:divBdr>
        <w:top w:val="none" w:sz="0" w:space="0" w:color="auto"/>
        <w:left w:val="none" w:sz="0" w:space="0" w:color="auto"/>
        <w:bottom w:val="none" w:sz="0" w:space="0" w:color="auto"/>
        <w:right w:val="none" w:sz="0" w:space="0" w:color="auto"/>
      </w:divBdr>
    </w:div>
    <w:div w:id="1865048159">
      <w:bodyDiv w:val="1"/>
      <w:marLeft w:val="0"/>
      <w:marRight w:val="0"/>
      <w:marTop w:val="0"/>
      <w:marBottom w:val="0"/>
      <w:divBdr>
        <w:top w:val="none" w:sz="0" w:space="0" w:color="auto"/>
        <w:left w:val="none" w:sz="0" w:space="0" w:color="auto"/>
        <w:bottom w:val="none" w:sz="0" w:space="0" w:color="auto"/>
        <w:right w:val="none" w:sz="0" w:space="0" w:color="auto"/>
      </w:divBdr>
    </w:div>
    <w:div w:id="1874002363">
      <w:bodyDiv w:val="1"/>
      <w:marLeft w:val="0"/>
      <w:marRight w:val="0"/>
      <w:marTop w:val="0"/>
      <w:marBottom w:val="0"/>
      <w:divBdr>
        <w:top w:val="none" w:sz="0" w:space="0" w:color="auto"/>
        <w:left w:val="none" w:sz="0" w:space="0" w:color="auto"/>
        <w:bottom w:val="none" w:sz="0" w:space="0" w:color="auto"/>
        <w:right w:val="none" w:sz="0" w:space="0" w:color="auto"/>
      </w:divBdr>
    </w:div>
    <w:div w:id="1874919457">
      <w:bodyDiv w:val="1"/>
      <w:marLeft w:val="0"/>
      <w:marRight w:val="0"/>
      <w:marTop w:val="0"/>
      <w:marBottom w:val="0"/>
      <w:divBdr>
        <w:top w:val="none" w:sz="0" w:space="0" w:color="auto"/>
        <w:left w:val="none" w:sz="0" w:space="0" w:color="auto"/>
        <w:bottom w:val="none" w:sz="0" w:space="0" w:color="auto"/>
        <w:right w:val="none" w:sz="0" w:space="0" w:color="auto"/>
      </w:divBdr>
    </w:div>
    <w:div w:id="1886792326">
      <w:bodyDiv w:val="1"/>
      <w:marLeft w:val="0"/>
      <w:marRight w:val="0"/>
      <w:marTop w:val="0"/>
      <w:marBottom w:val="0"/>
      <w:divBdr>
        <w:top w:val="none" w:sz="0" w:space="0" w:color="auto"/>
        <w:left w:val="none" w:sz="0" w:space="0" w:color="auto"/>
        <w:bottom w:val="none" w:sz="0" w:space="0" w:color="auto"/>
        <w:right w:val="none" w:sz="0" w:space="0" w:color="auto"/>
      </w:divBdr>
    </w:div>
    <w:div w:id="1892687400">
      <w:bodyDiv w:val="1"/>
      <w:marLeft w:val="0"/>
      <w:marRight w:val="0"/>
      <w:marTop w:val="0"/>
      <w:marBottom w:val="0"/>
      <w:divBdr>
        <w:top w:val="none" w:sz="0" w:space="0" w:color="auto"/>
        <w:left w:val="none" w:sz="0" w:space="0" w:color="auto"/>
        <w:bottom w:val="none" w:sz="0" w:space="0" w:color="auto"/>
        <w:right w:val="none" w:sz="0" w:space="0" w:color="auto"/>
      </w:divBdr>
    </w:div>
    <w:div w:id="1893424688">
      <w:bodyDiv w:val="1"/>
      <w:marLeft w:val="0"/>
      <w:marRight w:val="0"/>
      <w:marTop w:val="0"/>
      <w:marBottom w:val="0"/>
      <w:divBdr>
        <w:top w:val="none" w:sz="0" w:space="0" w:color="auto"/>
        <w:left w:val="none" w:sz="0" w:space="0" w:color="auto"/>
        <w:bottom w:val="none" w:sz="0" w:space="0" w:color="auto"/>
        <w:right w:val="none" w:sz="0" w:space="0" w:color="auto"/>
      </w:divBdr>
    </w:div>
    <w:div w:id="1899704934">
      <w:bodyDiv w:val="1"/>
      <w:marLeft w:val="0"/>
      <w:marRight w:val="0"/>
      <w:marTop w:val="0"/>
      <w:marBottom w:val="0"/>
      <w:divBdr>
        <w:top w:val="none" w:sz="0" w:space="0" w:color="auto"/>
        <w:left w:val="none" w:sz="0" w:space="0" w:color="auto"/>
        <w:bottom w:val="none" w:sz="0" w:space="0" w:color="auto"/>
        <w:right w:val="none" w:sz="0" w:space="0" w:color="auto"/>
      </w:divBdr>
    </w:div>
    <w:div w:id="1919942803">
      <w:bodyDiv w:val="1"/>
      <w:marLeft w:val="0"/>
      <w:marRight w:val="0"/>
      <w:marTop w:val="0"/>
      <w:marBottom w:val="0"/>
      <w:divBdr>
        <w:top w:val="none" w:sz="0" w:space="0" w:color="auto"/>
        <w:left w:val="none" w:sz="0" w:space="0" w:color="auto"/>
        <w:bottom w:val="none" w:sz="0" w:space="0" w:color="auto"/>
        <w:right w:val="none" w:sz="0" w:space="0" w:color="auto"/>
      </w:divBdr>
    </w:div>
    <w:div w:id="1925718502">
      <w:bodyDiv w:val="1"/>
      <w:marLeft w:val="0"/>
      <w:marRight w:val="0"/>
      <w:marTop w:val="0"/>
      <w:marBottom w:val="0"/>
      <w:divBdr>
        <w:top w:val="none" w:sz="0" w:space="0" w:color="auto"/>
        <w:left w:val="none" w:sz="0" w:space="0" w:color="auto"/>
        <w:bottom w:val="none" w:sz="0" w:space="0" w:color="auto"/>
        <w:right w:val="none" w:sz="0" w:space="0" w:color="auto"/>
      </w:divBdr>
    </w:div>
    <w:div w:id="1927305895">
      <w:bodyDiv w:val="1"/>
      <w:marLeft w:val="0"/>
      <w:marRight w:val="0"/>
      <w:marTop w:val="0"/>
      <w:marBottom w:val="0"/>
      <w:divBdr>
        <w:top w:val="none" w:sz="0" w:space="0" w:color="auto"/>
        <w:left w:val="none" w:sz="0" w:space="0" w:color="auto"/>
        <w:bottom w:val="none" w:sz="0" w:space="0" w:color="auto"/>
        <w:right w:val="none" w:sz="0" w:space="0" w:color="auto"/>
      </w:divBdr>
    </w:div>
    <w:div w:id="1936355955">
      <w:bodyDiv w:val="1"/>
      <w:marLeft w:val="0"/>
      <w:marRight w:val="0"/>
      <w:marTop w:val="0"/>
      <w:marBottom w:val="0"/>
      <w:divBdr>
        <w:top w:val="none" w:sz="0" w:space="0" w:color="auto"/>
        <w:left w:val="none" w:sz="0" w:space="0" w:color="auto"/>
        <w:bottom w:val="none" w:sz="0" w:space="0" w:color="auto"/>
        <w:right w:val="none" w:sz="0" w:space="0" w:color="auto"/>
      </w:divBdr>
    </w:div>
    <w:div w:id="1936861112">
      <w:bodyDiv w:val="1"/>
      <w:marLeft w:val="0"/>
      <w:marRight w:val="0"/>
      <w:marTop w:val="0"/>
      <w:marBottom w:val="0"/>
      <w:divBdr>
        <w:top w:val="none" w:sz="0" w:space="0" w:color="auto"/>
        <w:left w:val="none" w:sz="0" w:space="0" w:color="auto"/>
        <w:bottom w:val="none" w:sz="0" w:space="0" w:color="auto"/>
        <w:right w:val="none" w:sz="0" w:space="0" w:color="auto"/>
      </w:divBdr>
    </w:div>
    <w:div w:id="1942251290">
      <w:bodyDiv w:val="1"/>
      <w:marLeft w:val="0"/>
      <w:marRight w:val="0"/>
      <w:marTop w:val="0"/>
      <w:marBottom w:val="0"/>
      <w:divBdr>
        <w:top w:val="none" w:sz="0" w:space="0" w:color="auto"/>
        <w:left w:val="none" w:sz="0" w:space="0" w:color="auto"/>
        <w:bottom w:val="none" w:sz="0" w:space="0" w:color="auto"/>
        <w:right w:val="none" w:sz="0" w:space="0" w:color="auto"/>
      </w:divBdr>
    </w:div>
    <w:div w:id="1947544246">
      <w:bodyDiv w:val="1"/>
      <w:marLeft w:val="0"/>
      <w:marRight w:val="0"/>
      <w:marTop w:val="0"/>
      <w:marBottom w:val="0"/>
      <w:divBdr>
        <w:top w:val="none" w:sz="0" w:space="0" w:color="auto"/>
        <w:left w:val="none" w:sz="0" w:space="0" w:color="auto"/>
        <w:bottom w:val="none" w:sz="0" w:space="0" w:color="auto"/>
        <w:right w:val="none" w:sz="0" w:space="0" w:color="auto"/>
      </w:divBdr>
    </w:div>
    <w:div w:id="1947738322">
      <w:bodyDiv w:val="1"/>
      <w:marLeft w:val="0"/>
      <w:marRight w:val="0"/>
      <w:marTop w:val="0"/>
      <w:marBottom w:val="0"/>
      <w:divBdr>
        <w:top w:val="none" w:sz="0" w:space="0" w:color="auto"/>
        <w:left w:val="none" w:sz="0" w:space="0" w:color="auto"/>
        <w:bottom w:val="none" w:sz="0" w:space="0" w:color="auto"/>
        <w:right w:val="none" w:sz="0" w:space="0" w:color="auto"/>
      </w:divBdr>
    </w:div>
    <w:div w:id="1953591997">
      <w:bodyDiv w:val="1"/>
      <w:marLeft w:val="0"/>
      <w:marRight w:val="0"/>
      <w:marTop w:val="0"/>
      <w:marBottom w:val="0"/>
      <w:divBdr>
        <w:top w:val="none" w:sz="0" w:space="0" w:color="auto"/>
        <w:left w:val="none" w:sz="0" w:space="0" w:color="auto"/>
        <w:bottom w:val="none" w:sz="0" w:space="0" w:color="auto"/>
        <w:right w:val="none" w:sz="0" w:space="0" w:color="auto"/>
      </w:divBdr>
    </w:div>
    <w:div w:id="1977951168">
      <w:bodyDiv w:val="1"/>
      <w:marLeft w:val="0"/>
      <w:marRight w:val="0"/>
      <w:marTop w:val="0"/>
      <w:marBottom w:val="0"/>
      <w:divBdr>
        <w:top w:val="none" w:sz="0" w:space="0" w:color="auto"/>
        <w:left w:val="none" w:sz="0" w:space="0" w:color="auto"/>
        <w:bottom w:val="none" w:sz="0" w:space="0" w:color="auto"/>
        <w:right w:val="none" w:sz="0" w:space="0" w:color="auto"/>
      </w:divBdr>
    </w:div>
    <w:div w:id="1978290373">
      <w:bodyDiv w:val="1"/>
      <w:marLeft w:val="0"/>
      <w:marRight w:val="0"/>
      <w:marTop w:val="0"/>
      <w:marBottom w:val="0"/>
      <w:divBdr>
        <w:top w:val="none" w:sz="0" w:space="0" w:color="auto"/>
        <w:left w:val="none" w:sz="0" w:space="0" w:color="auto"/>
        <w:bottom w:val="none" w:sz="0" w:space="0" w:color="auto"/>
        <w:right w:val="none" w:sz="0" w:space="0" w:color="auto"/>
      </w:divBdr>
    </w:div>
    <w:div w:id="1978802778">
      <w:bodyDiv w:val="1"/>
      <w:marLeft w:val="0"/>
      <w:marRight w:val="0"/>
      <w:marTop w:val="0"/>
      <w:marBottom w:val="0"/>
      <w:divBdr>
        <w:top w:val="none" w:sz="0" w:space="0" w:color="auto"/>
        <w:left w:val="none" w:sz="0" w:space="0" w:color="auto"/>
        <w:bottom w:val="none" w:sz="0" w:space="0" w:color="auto"/>
        <w:right w:val="none" w:sz="0" w:space="0" w:color="auto"/>
      </w:divBdr>
    </w:div>
    <w:div w:id="1989508155">
      <w:bodyDiv w:val="1"/>
      <w:marLeft w:val="0"/>
      <w:marRight w:val="0"/>
      <w:marTop w:val="0"/>
      <w:marBottom w:val="0"/>
      <w:divBdr>
        <w:top w:val="none" w:sz="0" w:space="0" w:color="auto"/>
        <w:left w:val="none" w:sz="0" w:space="0" w:color="auto"/>
        <w:bottom w:val="none" w:sz="0" w:space="0" w:color="auto"/>
        <w:right w:val="none" w:sz="0" w:space="0" w:color="auto"/>
      </w:divBdr>
    </w:div>
    <w:div w:id="1994333855">
      <w:bodyDiv w:val="1"/>
      <w:marLeft w:val="0"/>
      <w:marRight w:val="0"/>
      <w:marTop w:val="0"/>
      <w:marBottom w:val="0"/>
      <w:divBdr>
        <w:top w:val="none" w:sz="0" w:space="0" w:color="auto"/>
        <w:left w:val="none" w:sz="0" w:space="0" w:color="auto"/>
        <w:bottom w:val="none" w:sz="0" w:space="0" w:color="auto"/>
        <w:right w:val="none" w:sz="0" w:space="0" w:color="auto"/>
      </w:divBdr>
    </w:div>
    <w:div w:id="2010909015">
      <w:bodyDiv w:val="1"/>
      <w:marLeft w:val="0"/>
      <w:marRight w:val="0"/>
      <w:marTop w:val="0"/>
      <w:marBottom w:val="0"/>
      <w:divBdr>
        <w:top w:val="none" w:sz="0" w:space="0" w:color="auto"/>
        <w:left w:val="none" w:sz="0" w:space="0" w:color="auto"/>
        <w:bottom w:val="none" w:sz="0" w:space="0" w:color="auto"/>
        <w:right w:val="none" w:sz="0" w:space="0" w:color="auto"/>
      </w:divBdr>
    </w:div>
    <w:div w:id="2013948644">
      <w:bodyDiv w:val="1"/>
      <w:marLeft w:val="0"/>
      <w:marRight w:val="0"/>
      <w:marTop w:val="0"/>
      <w:marBottom w:val="0"/>
      <w:divBdr>
        <w:top w:val="none" w:sz="0" w:space="0" w:color="auto"/>
        <w:left w:val="none" w:sz="0" w:space="0" w:color="auto"/>
        <w:bottom w:val="none" w:sz="0" w:space="0" w:color="auto"/>
        <w:right w:val="none" w:sz="0" w:space="0" w:color="auto"/>
      </w:divBdr>
    </w:div>
    <w:div w:id="2021084797">
      <w:bodyDiv w:val="1"/>
      <w:marLeft w:val="0"/>
      <w:marRight w:val="0"/>
      <w:marTop w:val="0"/>
      <w:marBottom w:val="0"/>
      <w:divBdr>
        <w:top w:val="none" w:sz="0" w:space="0" w:color="auto"/>
        <w:left w:val="none" w:sz="0" w:space="0" w:color="auto"/>
        <w:bottom w:val="none" w:sz="0" w:space="0" w:color="auto"/>
        <w:right w:val="none" w:sz="0" w:space="0" w:color="auto"/>
      </w:divBdr>
    </w:div>
    <w:div w:id="2026322023">
      <w:bodyDiv w:val="1"/>
      <w:marLeft w:val="0"/>
      <w:marRight w:val="0"/>
      <w:marTop w:val="0"/>
      <w:marBottom w:val="0"/>
      <w:divBdr>
        <w:top w:val="none" w:sz="0" w:space="0" w:color="auto"/>
        <w:left w:val="none" w:sz="0" w:space="0" w:color="auto"/>
        <w:bottom w:val="none" w:sz="0" w:space="0" w:color="auto"/>
        <w:right w:val="none" w:sz="0" w:space="0" w:color="auto"/>
      </w:divBdr>
    </w:div>
    <w:div w:id="2034723121">
      <w:bodyDiv w:val="1"/>
      <w:marLeft w:val="0"/>
      <w:marRight w:val="0"/>
      <w:marTop w:val="0"/>
      <w:marBottom w:val="0"/>
      <w:divBdr>
        <w:top w:val="none" w:sz="0" w:space="0" w:color="auto"/>
        <w:left w:val="none" w:sz="0" w:space="0" w:color="auto"/>
        <w:bottom w:val="none" w:sz="0" w:space="0" w:color="auto"/>
        <w:right w:val="none" w:sz="0" w:space="0" w:color="auto"/>
      </w:divBdr>
    </w:div>
    <w:div w:id="2037845860">
      <w:bodyDiv w:val="1"/>
      <w:marLeft w:val="0"/>
      <w:marRight w:val="0"/>
      <w:marTop w:val="0"/>
      <w:marBottom w:val="0"/>
      <w:divBdr>
        <w:top w:val="none" w:sz="0" w:space="0" w:color="auto"/>
        <w:left w:val="none" w:sz="0" w:space="0" w:color="auto"/>
        <w:bottom w:val="none" w:sz="0" w:space="0" w:color="auto"/>
        <w:right w:val="none" w:sz="0" w:space="0" w:color="auto"/>
      </w:divBdr>
    </w:div>
    <w:div w:id="2045060733">
      <w:bodyDiv w:val="1"/>
      <w:marLeft w:val="0"/>
      <w:marRight w:val="0"/>
      <w:marTop w:val="0"/>
      <w:marBottom w:val="0"/>
      <w:divBdr>
        <w:top w:val="none" w:sz="0" w:space="0" w:color="auto"/>
        <w:left w:val="none" w:sz="0" w:space="0" w:color="auto"/>
        <w:bottom w:val="none" w:sz="0" w:space="0" w:color="auto"/>
        <w:right w:val="none" w:sz="0" w:space="0" w:color="auto"/>
      </w:divBdr>
    </w:div>
    <w:div w:id="2048018545">
      <w:bodyDiv w:val="1"/>
      <w:marLeft w:val="0"/>
      <w:marRight w:val="0"/>
      <w:marTop w:val="0"/>
      <w:marBottom w:val="0"/>
      <w:divBdr>
        <w:top w:val="none" w:sz="0" w:space="0" w:color="auto"/>
        <w:left w:val="none" w:sz="0" w:space="0" w:color="auto"/>
        <w:bottom w:val="none" w:sz="0" w:space="0" w:color="auto"/>
        <w:right w:val="none" w:sz="0" w:space="0" w:color="auto"/>
      </w:divBdr>
    </w:div>
    <w:div w:id="2070416008">
      <w:bodyDiv w:val="1"/>
      <w:marLeft w:val="0"/>
      <w:marRight w:val="0"/>
      <w:marTop w:val="0"/>
      <w:marBottom w:val="0"/>
      <w:divBdr>
        <w:top w:val="none" w:sz="0" w:space="0" w:color="auto"/>
        <w:left w:val="none" w:sz="0" w:space="0" w:color="auto"/>
        <w:bottom w:val="none" w:sz="0" w:space="0" w:color="auto"/>
        <w:right w:val="none" w:sz="0" w:space="0" w:color="auto"/>
      </w:divBdr>
    </w:div>
    <w:div w:id="2076128011">
      <w:bodyDiv w:val="1"/>
      <w:marLeft w:val="0"/>
      <w:marRight w:val="0"/>
      <w:marTop w:val="0"/>
      <w:marBottom w:val="0"/>
      <w:divBdr>
        <w:top w:val="none" w:sz="0" w:space="0" w:color="auto"/>
        <w:left w:val="none" w:sz="0" w:space="0" w:color="auto"/>
        <w:bottom w:val="none" w:sz="0" w:space="0" w:color="auto"/>
        <w:right w:val="none" w:sz="0" w:space="0" w:color="auto"/>
      </w:divBdr>
    </w:div>
    <w:div w:id="2078897877">
      <w:bodyDiv w:val="1"/>
      <w:marLeft w:val="0"/>
      <w:marRight w:val="0"/>
      <w:marTop w:val="0"/>
      <w:marBottom w:val="0"/>
      <w:divBdr>
        <w:top w:val="none" w:sz="0" w:space="0" w:color="auto"/>
        <w:left w:val="none" w:sz="0" w:space="0" w:color="auto"/>
        <w:bottom w:val="none" w:sz="0" w:space="0" w:color="auto"/>
        <w:right w:val="none" w:sz="0" w:space="0" w:color="auto"/>
      </w:divBdr>
    </w:div>
    <w:div w:id="2087605137">
      <w:bodyDiv w:val="1"/>
      <w:marLeft w:val="0"/>
      <w:marRight w:val="0"/>
      <w:marTop w:val="0"/>
      <w:marBottom w:val="0"/>
      <w:divBdr>
        <w:top w:val="none" w:sz="0" w:space="0" w:color="auto"/>
        <w:left w:val="none" w:sz="0" w:space="0" w:color="auto"/>
        <w:bottom w:val="none" w:sz="0" w:space="0" w:color="auto"/>
        <w:right w:val="none" w:sz="0" w:space="0" w:color="auto"/>
      </w:divBdr>
    </w:div>
    <w:div w:id="2087996595">
      <w:bodyDiv w:val="1"/>
      <w:marLeft w:val="0"/>
      <w:marRight w:val="0"/>
      <w:marTop w:val="0"/>
      <w:marBottom w:val="0"/>
      <w:divBdr>
        <w:top w:val="none" w:sz="0" w:space="0" w:color="auto"/>
        <w:left w:val="none" w:sz="0" w:space="0" w:color="auto"/>
        <w:bottom w:val="none" w:sz="0" w:space="0" w:color="auto"/>
        <w:right w:val="none" w:sz="0" w:space="0" w:color="auto"/>
      </w:divBdr>
    </w:div>
    <w:div w:id="2104640524">
      <w:bodyDiv w:val="1"/>
      <w:marLeft w:val="0"/>
      <w:marRight w:val="0"/>
      <w:marTop w:val="0"/>
      <w:marBottom w:val="0"/>
      <w:divBdr>
        <w:top w:val="none" w:sz="0" w:space="0" w:color="auto"/>
        <w:left w:val="none" w:sz="0" w:space="0" w:color="auto"/>
        <w:bottom w:val="none" w:sz="0" w:space="0" w:color="auto"/>
        <w:right w:val="none" w:sz="0" w:space="0" w:color="auto"/>
      </w:divBdr>
    </w:div>
    <w:div w:id="2124379948">
      <w:bodyDiv w:val="1"/>
      <w:marLeft w:val="0"/>
      <w:marRight w:val="0"/>
      <w:marTop w:val="0"/>
      <w:marBottom w:val="0"/>
      <w:divBdr>
        <w:top w:val="none" w:sz="0" w:space="0" w:color="auto"/>
        <w:left w:val="none" w:sz="0" w:space="0" w:color="auto"/>
        <w:bottom w:val="none" w:sz="0" w:space="0" w:color="auto"/>
        <w:right w:val="none" w:sz="0" w:space="0" w:color="auto"/>
      </w:divBdr>
    </w:div>
    <w:div w:id="2126919018">
      <w:bodyDiv w:val="1"/>
      <w:marLeft w:val="0"/>
      <w:marRight w:val="0"/>
      <w:marTop w:val="0"/>
      <w:marBottom w:val="0"/>
      <w:divBdr>
        <w:top w:val="none" w:sz="0" w:space="0" w:color="auto"/>
        <w:left w:val="none" w:sz="0" w:space="0" w:color="auto"/>
        <w:bottom w:val="none" w:sz="0" w:space="0" w:color="auto"/>
        <w:right w:val="none" w:sz="0" w:space="0" w:color="auto"/>
      </w:divBdr>
    </w:div>
    <w:div w:id="2131821442">
      <w:bodyDiv w:val="1"/>
      <w:marLeft w:val="0"/>
      <w:marRight w:val="0"/>
      <w:marTop w:val="0"/>
      <w:marBottom w:val="0"/>
      <w:divBdr>
        <w:top w:val="none" w:sz="0" w:space="0" w:color="auto"/>
        <w:left w:val="none" w:sz="0" w:space="0" w:color="auto"/>
        <w:bottom w:val="none" w:sz="0" w:space="0" w:color="auto"/>
        <w:right w:val="none" w:sz="0" w:space="0" w:color="auto"/>
      </w:divBdr>
    </w:div>
    <w:div w:id="213949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chart" Target="charts/chart5.xml"/><Relationship Id="rId39" Type="http://schemas.openxmlformats.org/officeDocument/2006/relationships/hyperlink" Target="file:///C:\Users\krczuz\AppData\Local\Microsoft\Windows\Temporary%20Internet%20Files\Content.MSO\D51D397B.tmp" TargetMode="External"/><Relationship Id="rId21" Type="http://schemas.openxmlformats.org/officeDocument/2006/relationships/hyperlink" Target="http://www.strukturalni-fondy.cz/cs/Microsites/Integrovany-OP/Zadatele-a-prijemci/Seznam-podporenych-projektu" TargetMode="External"/><Relationship Id="rId34" Type="http://schemas.openxmlformats.org/officeDocument/2006/relationships/image" Target="media/image7.jpeg"/><Relationship Id="rId42" Type="http://schemas.openxmlformats.org/officeDocument/2006/relationships/image" Target="media/image12.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hyperlink" Target="http://www.mmr.cz/"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6.emf"/><Relationship Id="rId41" Type="http://schemas.openxmlformats.org/officeDocument/2006/relationships/hyperlink" Target="file:///C:\Users\krczuz\AppData\Local\Microsoft\Windows\Temporary%20Internet%20Files\Content.MSO\D51D397B.tmp" TargetMode="External"/><Relationship Id="rId54" Type="http://schemas.openxmlformats.org/officeDocument/2006/relationships/hyperlink" Target="http://www.strukturalni-fondy.cz/iop" TargetMode="External"/><Relationship Id="rId62" Type="http://schemas.openxmlformats.org/officeDocument/2006/relationships/hyperlink" Target="http://www.kvalitazivota.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hyperlink" Target="https://www.strukturalni-fondy.cz/cs/Microsites/IROP/Dokumenty" TargetMode="External"/><Relationship Id="rId37" Type="http://schemas.openxmlformats.org/officeDocument/2006/relationships/hyperlink" Target="http://www.mpsv.cz/files/clanky/15151/01.jpg" TargetMode="External"/><Relationship Id="rId40" Type="http://schemas.openxmlformats.org/officeDocument/2006/relationships/image" Target="media/image11.png"/><Relationship Id="rId45" Type="http://schemas.openxmlformats.org/officeDocument/2006/relationships/hyperlink" Target="http://www.kvalitazivota.eu/" TargetMode="External"/><Relationship Id="rId53" Type="http://schemas.openxmlformats.org/officeDocument/2006/relationships/chart" Target="charts/chart9.xml"/><Relationship Id="rId58" Type="http://schemas.openxmlformats.org/officeDocument/2006/relationships/hyperlink" Target="http://www.risy.cz"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image" Target="media/image5.png"/><Relationship Id="rId36" Type="http://schemas.openxmlformats.org/officeDocument/2006/relationships/image" Target="media/image9.jpeg"/><Relationship Id="rId49" Type="http://schemas.openxmlformats.org/officeDocument/2006/relationships/image" Target="media/image17.jpeg"/><Relationship Id="rId57" Type="http://schemas.openxmlformats.org/officeDocument/2006/relationships/hyperlink" Target="http://www.crr.cz" TargetMode="External"/><Relationship Id="rId61" Type="http://schemas.openxmlformats.org/officeDocument/2006/relationships/hyperlink" Target="http://www.osf-mvcr.cz/pr-clanky"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www.strukturalni-fondy.cz/cs/Microsites/Integrovany-OP/Dokumenty" TargetMode="External"/><Relationship Id="rId44" Type="http://schemas.openxmlformats.org/officeDocument/2006/relationships/image" Target="media/image14.emf"/><Relationship Id="rId52" Type="http://schemas.openxmlformats.org/officeDocument/2006/relationships/chart" Target="charts/chart8.xml"/><Relationship Id="rId60" Type="http://schemas.openxmlformats.org/officeDocument/2006/relationships/hyperlink" Target="http://www.osf-mvcr.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www.strukturalni-fondy.cz" TargetMode="External"/><Relationship Id="rId35" Type="http://schemas.openxmlformats.org/officeDocument/2006/relationships/image" Target="media/image8.jpeg"/><Relationship Id="rId43" Type="http://schemas.openxmlformats.org/officeDocument/2006/relationships/image" Target="media/image13.jpeg"/><Relationship Id="rId48" Type="http://schemas.openxmlformats.org/officeDocument/2006/relationships/image" Target="media/image16.jpeg"/><Relationship Id="rId56" Type="http://schemas.openxmlformats.org/officeDocument/2006/relationships/hyperlink" Target="http://www.kvalitazivota.e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hyperlink" Target="https://www.strukturalni-fondy.cz/cs/Microsites/IROP/Dokumenty" TargetMode="External"/><Relationship Id="rId38" Type="http://schemas.openxmlformats.org/officeDocument/2006/relationships/image" Target="media/image10.jpeg"/><Relationship Id="rId46" Type="http://schemas.openxmlformats.org/officeDocument/2006/relationships/hyperlink" Target="http://www.strukturalni-fondy.cz/cs/Microsites/Integrovany-OP/Zadatele-a-prijemci/Seznam-podporenych-projektu" TargetMode="External"/><Relationship Id="rId59" Type="http://schemas.openxmlformats.org/officeDocument/2006/relationships/hyperlink" Target="http://www.kvalitazivot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nt1\dfs\J\SF\IOP\A4%20-%20Zpr&#225;vy%20o%20realizaci%20programu\V&#253;ro&#269;n&#237;%20zpr&#225;vy\2014\Tabulky\Vy&#345;azen&#233;%20projekty%20VZ%202014.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0"/>
          <c:spPr>
            <a:solidFill>
              <a:schemeClr val="accent3"/>
            </a:solidFill>
            <a:effectLst>
              <a:outerShdw blurRad="50800" dist="50800" dir="5400000" algn="ctr" rotWithShape="0">
                <a:schemeClr val="bg1"/>
              </a:outerShdw>
            </a:effectLst>
          </c:spPr>
          <c:invertIfNegative val="0"/>
          <c:dLbls>
            <c:spPr>
              <a:solidFill>
                <a:schemeClr val="bg1"/>
              </a:solidFill>
            </c:spPr>
            <c:showLegendKey val="0"/>
            <c:showVal val="1"/>
            <c:showCatName val="0"/>
            <c:showSerName val="0"/>
            <c:showPercent val="0"/>
            <c:showBubbleSize val="0"/>
            <c:showLeaderLines val="0"/>
          </c:dLbls>
          <c:cat>
            <c:strRef>
              <c:f>'předložené žádosti'!$A$2:$A$8</c:f>
              <c:strCache>
                <c:ptCount val="7"/>
                <c:pt idx="0">
                  <c:v>PO 1 </c:v>
                </c:pt>
                <c:pt idx="1">
                  <c:v>PO 2</c:v>
                </c:pt>
                <c:pt idx="2">
                  <c:v>PO 3 </c:v>
                </c:pt>
                <c:pt idx="3">
                  <c:v>PO 4 </c:v>
                </c:pt>
                <c:pt idx="4">
                  <c:v>PO 5 </c:v>
                </c:pt>
                <c:pt idx="5">
                  <c:v>PO 6 </c:v>
                </c:pt>
                <c:pt idx="6">
                  <c:v>IOP Celkem </c:v>
                </c:pt>
              </c:strCache>
            </c:strRef>
          </c:cat>
          <c:val>
            <c:numRef>
              <c:f>'předložené žádosti'!$E$2:$E$8</c:f>
              <c:numCache>
                <c:formatCode>0.0%</c:formatCode>
                <c:ptCount val="7"/>
                <c:pt idx="0">
                  <c:v>1.5213879014313374</c:v>
                </c:pt>
                <c:pt idx="1">
                  <c:v>1.3643351679633091</c:v>
                </c:pt>
                <c:pt idx="2">
                  <c:v>1.4764828456485817</c:v>
                </c:pt>
                <c:pt idx="3">
                  <c:v>2.4164544307812559</c:v>
                </c:pt>
                <c:pt idx="4">
                  <c:v>1.7623563126676338</c:v>
                </c:pt>
                <c:pt idx="5">
                  <c:v>1.4998562544615355</c:v>
                </c:pt>
                <c:pt idx="6">
                  <c:v>1.5906195428769521</c:v>
                </c:pt>
              </c:numCache>
            </c:numRef>
          </c:val>
        </c:ser>
        <c:dLbls>
          <c:showLegendKey val="0"/>
          <c:showVal val="0"/>
          <c:showCatName val="0"/>
          <c:showSerName val="0"/>
          <c:showPercent val="0"/>
          <c:showBubbleSize val="0"/>
        </c:dLbls>
        <c:gapWidth val="150"/>
        <c:axId val="90278912"/>
        <c:axId val="28435200"/>
      </c:barChart>
      <c:catAx>
        <c:axId val="90278912"/>
        <c:scaling>
          <c:orientation val="minMax"/>
        </c:scaling>
        <c:delete val="0"/>
        <c:axPos val="b"/>
        <c:majorTickMark val="none"/>
        <c:minorTickMark val="none"/>
        <c:tickLblPos val="nextTo"/>
        <c:crossAx val="28435200"/>
        <c:crosses val="autoZero"/>
        <c:auto val="1"/>
        <c:lblAlgn val="ctr"/>
        <c:lblOffset val="100"/>
        <c:noMultiLvlLbl val="0"/>
      </c:catAx>
      <c:valAx>
        <c:axId val="28435200"/>
        <c:scaling>
          <c:orientation val="minMax"/>
        </c:scaling>
        <c:delete val="0"/>
        <c:axPos val="l"/>
        <c:majorGridlines/>
        <c:numFmt formatCode="0.0%" sourceLinked="1"/>
        <c:majorTickMark val="none"/>
        <c:minorTickMark val="none"/>
        <c:tickLblPos val="nextTo"/>
        <c:crossAx val="90278912"/>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0"/>
          <c:tx>
            <c:strRef>
              <c:f>'rozhodnutí - výdaje'!$F$2</c:f>
              <c:strCache>
                <c:ptCount val="1"/>
                <c:pt idx="0">
                  <c:v>Poměr k alokaci</c:v>
                </c:pt>
              </c:strCache>
            </c:strRef>
          </c:tx>
          <c:spPr>
            <a:solidFill>
              <a:schemeClr val="accent3"/>
            </a:solidFill>
          </c:spPr>
          <c:invertIfNegative val="0"/>
          <c:dLbls>
            <c:dLbl>
              <c:idx val="2"/>
              <c:tx>
                <c:rich>
                  <a:bodyPr/>
                  <a:lstStyle/>
                  <a:p>
                    <a:r>
                      <a:rPr lang="en-US" b="0"/>
                      <a:t>23,2%</a:t>
                    </a:r>
                    <a:endParaRPr lang="en-US" b="1"/>
                  </a:p>
                </c:rich>
              </c:tx>
              <c:showLegendKey val="0"/>
              <c:showVal val="1"/>
              <c:showCatName val="0"/>
              <c:showSerName val="0"/>
              <c:showPercent val="0"/>
              <c:showBubbleSize val="0"/>
            </c:dLbl>
            <c:spPr>
              <a:solidFill>
                <a:schemeClr val="bg1"/>
              </a:solidFill>
              <a:ln cmpd="sng">
                <a:noFill/>
              </a:ln>
              <a:effectLst/>
            </c:spPr>
            <c:showLegendKey val="0"/>
            <c:showVal val="1"/>
            <c:showCatName val="0"/>
            <c:showSerName val="0"/>
            <c:showPercent val="0"/>
            <c:showBubbleSize val="0"/>
            <c:showLeaderLines val="0"/>
          </c:dLbls>
          <c:cat>
            <c:strRef>
              <c:f>'rozhodnutí - výdaje'!$A$3:$A$11</c:f>
              <c:strCache>
                <c:ptCount val="9"/>
                <c:pt idx="0">
                  <c:v>2007</c:v>
                </c:pt>
                <c:pt idx="1">
                  <c:v>2008</c:v>
                </c:pt>
                <c:pt idx="2">
                  <c:v>2009</c:v>
                </c:pt>
                <c:pt idx="3">
                  <c:v>2010</c:v>
                </c:pt>
                <c:pt idx="4">
                  <c:v>2011</c:v>
                </c:pt>
                <c:pt idx="5">
                  <c:v>2012</c:v>
                </c:pt>
                <c:pt idx="6">
                  <c:v>2013</c:v>
                </c:pt>
                <c:pt idx="7">
                  <c:v>2014</c:v>
                </c:pt>
                <c:pt idx="8">
                  <c:v>IOP Celkem </c:v>
                </c:pt>
              </c:strCache>
            </c:strRef>
          </c:cat>
          <c:val>
            <c:numRef>
              <c:f>'rozhodnutí - výdaje'!$F$3:$F$10</c:f>
              <c:numCache>
                <c:formatCode>0.0%</c:formatCode>
                <c:ptCount val="8"/>
                <c:pt idx="0">
                  <c:v>0</c:v>
                </c:pt>
                <c:pt idx="1">
                  <c:v>7.5481689725359052E-3</c:v>
                </c:pt>
                <c:pt idx="2">
                  <c:v>0.23242659829281639</c:v>
                </c:pt>
                <c:pt idx="3">
                  <c:v>0.51980205237942967</c:v>
                </c:pt>
                <c:pt idx="4">
                  <c:v>0.7066634783675485</c:v>
                </c:pt>
                <c:pt idx="5">
                  <c:v>0.86174470378355661</c:v>
                </c:pt>
                <c:pt idx="6">
                  <c:v>0.89570590879926248</c:v>
                </c:pt>
                <c:pt idx="7">
                  <c:v>1.0225965979299538</c:v>
                </c:pt>
              </c:numCache>
            </c:numRef>
          </c:val>
        </c:ser>
        <c:dLbls>
          <c:showLegendKey val="0"/>
          <c:showVal val="0"/>
          <c:showCatName val="0"/>
          <c:showSerName val="0"/>
          <c:showPercent val="0"/>
          <c:showBubbleSize val="0"/>
        </c:dLbls>
        <c:gapWidth val="150"/>
        <c:axId val="28488064"/>
        <c:axId val="28489600"/>
      </c:barChart>
      <c:catAx>
        <c:axId val="28488064"/>
        <c:scaling>
          <c:orientation val="minMax"/>
        </c:scaling>
        <c:delete val="0"/>
        <c:axPos val="b"/>
        <c:majorTickMark val="out"/>
        <c:minorTickMark val="none"/>
        <c:tickLblPos val="nextTo"/>
        <c:crossAx val="28489600"/>
        <c:crosses val="autoZero"/>
        <c:auto val="1"/>
        <c:lblAlgn val="ctr"/>
        <c:lblOffset val="100"/>
        <c:noMultiLvlLbl val="0"/>
      </c:catAx>
      <c:valAx>
        <c:axId val="28489600"/>
        <c:scaling>
          <c:orientation val="minMax"/>
        </c:scaling>
        <c:delete val="0"/>
        <c:axPos val="l"/>
        <c:majorGridlines/>
        <c:numFmt formatCode="0.0%" sourceLinked="1"/>
        <c:majorTickMark val="out"/>
        <c:minorTickMark val="none"/>
        <c:tickLblPos val="nextTo"/>
        <c:crossAx val="28488064"/>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0"/>
          <c:spPr>
            <a:solidFill>
              <a:schemeClr val="accent3"/>
            </a:solidFill>
          </c:spPr>
          <c:invertIfNegative val="0"/>
          <c:dLbls>
            <c:numFmt formatCode="0.0%" sourceLinked="0"/>
            <c:spPr>
              <a:solidFill>
                <a:schemeClr val="bg1"/>
              </a:solidFill>
              <a:effectLst/>
            </c:spPr>
            <c:showLegendKey val="0"/>
            <c:showVal val="1"/>
            <c:showCatName val="0"/>
            <c:showSerName val="0"/>
            <c:showPercent val="0"/>
            <c:showBubbleSize val="0"/>
            <c:showLeaderLines val="0"/>
          </c:dLbls>
          <c:cat>
            <c:strRef>
              <c:f>rozhodnutí!$A$2:$A$8</c:f>
              <c:strCache>
                <c:ptCount val="7"/>
                <c:pt idx="0">
                  <c:v>PO 1 </c:v>
                </c:pt>
                <c:pt idx="1">
                  <c:v>PO 2</c:v>
                </c:pt>
                <c:pt idx="2">
                  <c:v>PO 3 </c:v>
                </c:pt>
                <c:pt idx="3">
                  <c:v>PO 4 </c:v>
                </c:pt>
                <c:pt idx="4">
                  <c:v>PO 5 </c:v>
                </c:pt>
                <c:pt idx="5">
                  <c:v>PO 6 </c:v>
                </c:pt>
                <c:pt idx="6">
                  <c:v>IOP Celkem </c:v>
                </c:pt>
              </c:strCache>
            </c:strRef>
          </c:cat>
          <c:val>
            <c:numRef>
              <c:f>rozhodnutí!$E$2:$E$8</c:f>
              <c:numCache>
                <c:formatCode>0%</c:formatCode>
                <c:ptCount val="7"/>
                <c:pt idx="0">
                  <c:v>0.99215370622560872</c:v>
                </c:pt>
                <c:pt idx="1">
                  <c:v>1.1063713651191518</c:v>
                </c:pt>
                <c:pt idx="2">
                  <c:v>1.0109132779786345</c:v>
                </c:pt>
                <c:pt idx="3">
                  <c:v>1.1163923477071109</c:v>
                </c:pt>
                <c:pt idx="4">
                  <c:v>0.99268941087576956</c:v>
                </c:pt>
                <c:pt idx="5">
                  <c:v>1.3552698710991711</c:v>
                </c:pt>
                <c:pt idx="6">
                  <c:v>1.0225965979522507</c:v>
                </c:pt>
              </c:numCache>
            </c:numRef>
          </c:val>
        </c:ser>
        <c:dLbls>
          <c:showLegendKey val="0"/>
          <c:showVal val="0"/>
          <c:showCatName val="0"/>
          <c:showSerName val="0"/>
          <c:showPercent val="0"/>
          <c:showBubbleSize val="0"/>
        </c:dLbls>
        <c:gapWidth val="150"/>
        <c:axId val="96880128"/>
        <c:axId val="96881664"/>
      </c:barChart>
      <c:catAx>
        <c:axId val="96880128"/>
        <c:scaling>
          <c:orientation val="minMax"/>
        </c:scaling>
        <c:delete val="0"/>
        <c:axPos val="b"/>
        <c:majorTickMark val="out"/>
        <c:minorTickMark val="none"/>
        <c:tickLblPos val="nextTo"/>
        <c:crossAx val="96881664"/>
        <c:crosses val="autoZero"/>
        <c:auto val="1"/>
        <c:lblAlgn val="ctr"/>
        <c:lblOffset val="100"/>
        <c:noMultiLvlLbl val="0"/>
      </c:catAx>
      <c:valAx>
        <c:axId val="96881664"/>
        <c:scaling>
          <c:orientation val="minMax"/>
        </c:scaling>
        <c:delete val="0"/>
        <c:axPos val="l"/>
        <c:majorGridlines/>
        <c:numFmt formatCode="0%" sourceLinked="1"/>
        <c:majorTickMark val="out"/>
        <c:minorTickMark val="none"/>
        <c:tickLblPos val="nextTo"/>
        <c:spPr>
          <a:ln>
            <a:solidFill>
              <a:schemeClr val="accent3">
                <a:lumMod val="60000"/>
                <a:lumOff val="40000"/>
              </a:schemeClr>
            </a:solidFill>
          </a:ln>
        </c:spPr>
        <c:crossAx val="96880128"/>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0"/>
          <c:spPr>
            <a:solidFill>
              <a:schemeClr val="accent3"/>
            </a:solidFill>
          </c:spPr>
          <c:invertIfNegative val="0"/>
          <c:dLbls>
            <c:spPr>
              <a:solidFill>
                <a:schemeClr val="bg1"/>
              </a:solidFill>
            </c:spPr>
            <c:showLegendKey val="0"/>
            <c:showVal val="1"/>
            <c:showCatName val="0"/>
            <c:showSerName val="0"/>
            <c:showPercent val="0"/>
            <c:showBubbleSize val="0"/>
            <c:showLeaderLines val="0"/>
          </c:dLbls>
          <c:cat>
            <c:strRef>
              <c:f>proplaceno!$A$2:$A$8</c:f>
              <c:strCache>
                <c:ptCount val="7"/>
                <c:pt idx="0">
                  <c:v>PO 1 </c:v>
                </c:pt>
                <c:pt idx="1">
                  <c:v>PO 2</c:v>
                </c:pt>
                <c:pt idx="2">
                  <c:v>PO 3 </c:v>
                </c:pt>
                <c:pt idx="3">
                  <c:v>PO 4 </c:v>
                </c:pt>
                <c:pt idx="4">
                  <c:v>PO 5 </c:v>
                </c:pt>
                <c:pt idx="5">
                  <c:v>PO 6 </c:v>
                </c:pt>
                <c:pt idx="6">
                  <c:v>IOP Celkem </c:v>
                </c:pt>
              </c:strCache>
            </c:strRef>
          </c:cat>
          <c:val>
            <c:numRef>
              <c:f>proplaceno!$E$2:$E$8</c:f>
              <c:numCache>
                <c:formatCode>0%</c:formatCode>
                <c:ptCount val="7"/>
                <c:pt idx="0">
                  <c:v>0.65307779105526897</c:v>
                </c:pt>
                <c:pt idx="1">
                  <c:v>0.631883066173198</c:v>
                </c:pt>
                <c:pt idx="2">
                  <c:v>0.54024954131676506</c:v>
                </c:pt>
                <c:pt idx="3">
                  <c:v>0.66541395843962337</c:v>
                </c:pt>
                <c:pt idx="4">
                  <c:v>0.7242421854840223</c:v>
                </c:pt>
                <c:pt idx="5">
                  <c:v>0.74471548042337998</c:v>
                </c:pt>
                <c:pt idx="6">
                  <c:v>0.63018509584173754</c:v>
                </c:pt>
              </c:numCache>
            </c:numRef>
          </c:val>
        </c:ser>
        <c:dLbls>
          <c:showLegendKey val="0"/>
          <c:showVal val="0"/>
          <c:showCatName val="0"/>
          <c:showSerName val="0"/>
          <c:showPercent val="0"/>
          <c:showBubbleSize val="0"/>
        </c:dLbls>
        <c:gapWidth val="150"/>
        <c:axId val="96901760"/>
        <c:axId val="96919936"/>
      </c:barChart>
      <c:catAx>
        <c:axId val="96901760"/>
        <c:scaling>
          <c:orientation val="minMax"/>
        </c:scaling>
        <c:delete val="0"/>
        <c:axPos val="b"/>
        <c:majorTickMark val="out"/>
        <c:minorTickMark val="none"/>
        <c:tickLblPos val="nextTo"/>
        <c:crossAx val="96919936"/>
        <c:crosses val="autoZero"/>
        <c:auto val="1"/>
        <c:lblAlgn val="ctr"/>
        <c:lblOffset val="100"/>
        <c:noMultiLvlLbl val="0"/>
      </c:catAx>
      <c:valAx>
        <c:axId val="96919936"/>
        <c:scaling>
          <c:orientation val="minMax"/>
        </c:scaling>
        <c:delete val="0"/>
        <c:axPos val="l"/>
        <c:majorGridlines/>
        <c:numFmt formatCode="0%" sourceLinked="1"/>
        <c:majorTickMark val="out"/>
        <c:minorTickMark val="none"/>
        <c:tickLblPos val="nextTo"/>
        <c:crossAx val="96901760"/>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0"/>
          <c:spPr>
            <a:solidFill>
              <a:schemeClr val="accent3"/>
            </a:solidFill>
          </c:spPr>
          <c:invertIfNegative val="0"/>
          <c:dLbls>
            <c:numFmt formatCode="0.0%" sourceLinked="0"/>
            <c:spPr>
              <a:solidFill>
                <a:schemeClr val="bg1"/>
              </a:solidFill>
            </c:spPr>
            <c:showLegendKey val="0"/>
            <c:showVal val="1"/>
            <c:showCatName val="0"/>
            <c:showSerName val="0"/>
            <c:showPercent val="0"/>
            <c:showBubbleSize val="0"/>
            <c:showLeaderLines val="0"/>
          </c:dLbls>
          <c:cat>
            <c:strRef>
              <c:f>List6!$A$2:$A$8</c:f>
              <c:strCache>
                <c:ptCount val="7"/>
                <c:pt idx="0">
                  <c:v>PO 1 </c:v>
                </c:pt>
                <c:pt idx="1">
                  <c:v>PO 2</c:v>
                </c:pt>
                <c:pt idx="2">
                  <c:v>PO 3 </c:v>
                </c:pt>
                <c:pt idx="3">
                  <c:v>PO 4 </c:v>
                </c:pt>
                <c:pt idx="4">
                  <c:v>PO 5 </c:v>
                </c:pt>
                <c:pt idx="5">
                  <c:v>PO 6 </c:v>
                </c:pt>
                <c:pt idx="6">
                  <c:v>IOP Celkem </c:v>
                </c:pt>
              </c:strCache>
            </c:strRef>
          </c:cat>
          <c:val>
            <c:numRef>
              <c:f>List6!$E$2:$E$8</c:f>
              <c:numCache>
                <c:formatCode>0%</c:formatCode>
                <c:ptCount val="7"/>
                <c:pt idx="0">
                  <c:v>0.63816258126888692</c:v>
                </c:pt>
                <c:pt idx="1">
                  <c:v>0.63022978655157946</c:v>
                </c:pt>
                <c:pt idx="2">
                  <c:v>0.52808247281246501</c:v>
                </c:pt>
                <c:pt idx="3">
                  <c:v>0.66110357446782175</c:v>
                </c:pt>
                <c:pt idx="4">
                  <c:v>0.72042995894253259</c:v>
                </c:pt>
                <c:pt idx="5">
                  <c:v>0.71046544047521099</c:v>
                </c:pt>
                <c:pt idx="6">
                  <c:v>0.62057294614951541</c:v>
                </c:pt>
              </c:numCache>
            </c:numRef>
          </c:val>
        </c:ser>
        <c:dLbls>
          <c:showLegendKey val="0"/>
          <c:showVal val="0"/>
          <c:showCatName val="0"/>
          <c:showSerName val="0"/>
          <c:showPercent val="0"/>
          <c:showBubbleSize val="0"/>
        </c:dLbls>
        <c:gapWidth val="150"/>
        <c:axId val="30683136"/>
        <c:axId val="30684672"/>
      </c:barChart>
      <c:catAx>
        <c:axId val="30683136"/>
        <c:scaling>
          <c:orientation val="minMax"/>
        </c:scaling>
        <c:delete val="0"/>
        <c:axPos val="b"/>
        <c:majorTickMark val="out"/>
        <c:minorTickMark val="none"/>
        <c:tickLblPos val="nextTo"/>
        <c:crossAx val="30684672"/>
        <c:crosses val="autoZero"/>
        <c:auto val="1"/>
        <c:lblAlgn val="ctr"/>
        <c:lblOffset val="100"/>
        <c:noMultiLvlLbl val="0"/>
      </c:catAx>
      <c:valAx>
        <c:axId val="30684672"/>
        <c:scaling>
          <c:orientation val="minMax"/>
        </c:scaling>
        <c:delete val="0"/>
        <c:axPos val="l"/>
        <c:majorGridlines/>
        <c:numFmt formatCode="0%" sourceLinked="1"/>
        <c:majorTickMark val="out"/>
        <c:minorTickMark val="none"/>
        <c:tickLblPos val="nextTo"/>
        <c:crossAx val="30683136"/>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a:t>Vyřazené projekty dle jednotlivých stavů</a:t>
            </a:r>
          </a:p>
        </c:rich>
      </c:tx>
      <c:layout>
        <c:manualLayout>
          <c:xMode val="edge"/>
          <c:yMode val="edge"/>
          <c:x val="0.24901554314049557"/>
          <c:y val="3.85542168674698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703033021156012"/>
          <c:y val="0.20643936375423014"/>
          <c:w val="0.69996986549050888"/>
          <c:h val="0.72862384972962713"/>
        </c:manualLayout>
      </c:layout>
      <c:pie3DChart>
        <c:varyColors val="1"/>
        <c:ser>
          <c:idx val="0"/>
          <c:order val="0"/>
          <c:dPt>
            <c:idx val="0"/>
            <c:bubble3D val="0"/>
            <c:spPr>
              <a:solidFill>
                <a:srgbClr val="4F81BD">
                  <a:lumMod val="75000"/>
                </a:srgbClr>
              </a:solidFill>
            </c:spPr>
          </c:dPt>
          <c:dPt>
            <c:idx val="1"/>
            <c:bubble3D val="0"/>
            <c:spPr>
              <a:solidFill>
                <a:srgbClr val="BDFFCA"/>
              </a:solidFill>
            </c:spPr>
          </c:dPt>
          <c:dPt>
            <c:idx val="2"/>
            <c:bubble3D val="0"/>
            <c:spPr>
              <a:solidFill>
                <a:srgbClr val="00B0F0"/>
              </a:solidFill>
            </c:spPr>
          </c:dPt>
          <c:dPt>
            <c:idx val="4"/>
            <c:bubble3D val="0"/>
            <c:spPr>
              <a:solidFill>
                <a:srgbClr val="FFFF00"/>
              </a:solidFill>
            </c:spPr>
          </c:dPt>
          <c:dPt>
            <c:idx val="6"/>
            <c:bubble3D val="0"/>
            <c:spPr>
              <a:solidFill>
                <a:srgbClr val="00B050"/>
              </a:solidFill>
            </c:spPr>
          </c:dPt>
          <c:dPt>
            <c:idx val="7"/>
            <c:bubble3D val="0"/>
            <c:spPr>
              <a:solidFill>
                <a:srgbClr val="FF3300"/>
              </a:solidFill>
            </c:spPr>
          </c:dPt>
          <c:dPt>
            <c:idx val="8"/>
            <c:bubble3D val="0"/>
            <c:spPr>
              <a:solidFill>
                <a:srgbClr val="CCFFFF"/>
              </a:solidFill>
            </c:spPr>
          </c:dPt>
          <c:dLbls>
            <c:dLbl>
              <c:idx val="0"/>
              <c:layout>
                <c:manualLayout>
                  <c:x val="-2.519558422031417E-2"/>
                  <c:y val="-5.6879173122227643E-2"/>
                </c:manualLayout>
              </c:layout>
              <c:showLegendKey val="0"/>
              <c:showVal val="1"/>
              <c:showCatName val="1"/>
              <c:showSerName val="0"/>
              <c:showPercent val="1"/>
              <c:showBubbleSize val="0"/>
            </c:dLbl>
            <c:dLbl>
              <c:idx val="1"/>
              <c:layout>
                <c:manualLayout>
                  <c:x val="-6.1508276289584309E-2"/>
                  <c:y val="-0.10817904365727869"/>
                </c:manualLayout>
              </c:layout>
              <c:showLegendKey val="0"/>
              <c:showVal val="1"/>
              <c:showCatName val="1"/>
              <c:showSerName val="0"/>
              <c:showPercent val="1"/>
              <c:showBubbleSize val="0"/>
            </c:dLbl>
            <c:dLbl>
              <c:idx val="2"/>
              <c:layout>
                <c:manualLayout>
                  <c:x val="-3.2447275748822758E-2"/>
                  <c:y val="-8.0926204979094599E-2"/>
                </c:manualLayout>
              </c:layout>
              <c:showLegendKey val="0"/>
              <c:showVal val="1"/>
              <c:showCatName val="1"/>
              <c:showSerName val="0"/>
              <c:showPercent val="1"/>
              <c:showBubbleSize val="0"/>
            </c:dLbl>
            <c:dLbl>
              <c:idx val="3"/>
              <c:layout>
                <c:manualLayout>
                  <c:x val="5.5715870125349433E-2"/>
                  <c:y val="3.0445133714829521E-2"/>
                </c:manualLayout>
              </c:layout>
              <c:showLegendKey val="0"/>
              <c:showVal val="1"/>
              <c:showCatName val="1"/>
              <c:showSerName val="0"/>
              <c:showPercent val="1"/>
              <c:showBubbleSize val="0"/>
            </c:dLbl>
            <c:dLbl>
              <c:idx val="4"/>
              <c:layout>
                <c:manualLayout>
                  <c:x val="2.8168466507797425E-2"/>
                  <c:y val="4.7153567079492149E-2"/>
                </c:manualLayout>
              </c:layout>
              <c:showLegendKey val="0"/>
              <c:showVal val="1"/>
              <c:showCatName val="1"/>
              <c:showSerName val="0"/>
              <c:showPercent val="1"/>
              <c:showBubbleSize val="0"/>
            </c:dLbl>
            <c:dLbl>
              <c:idx val="5"/>
              <c:layout>
                <c:manualLayout>
                  <c:x val="-9.7815600752034007E-2"/>
                  <c:y val="4.1117217948488764E-2"/>
                </c:manualLayout>
              </c:layout>
              <c:showLegendKey val="0"/>
              <c:showVal val="1"/>
              <c:showCatName val="1"/>
              <c:showSerName val="0"/>
              <c:showPercent val="1"/>
              <c:showBubbleSize val="0"/>
            </c:dLbl>
            <c:dLbl>
              <c:idx val="6"/>
              <c:layout>
                <c:manualLayout>
                  <c:x val="-0.11034774924491224"/>
                  <c:y val="-1.3269775240359107E-2"/>
                </c:manualLayout>
              </c:layout>
              <c:showLegendKey val="0"/>
              <c:showVal val="1"/>
              <c:showCatName val="1"/>
              <c:showSerName val="0"/>
              <c:showPercent val="1"/>
              <c:showBubbleSize val="0"/>
            </c:dLbl>
            <c:dLbl>
              <c:idx val="7"/>
              <c:layout>
                <c:manualLayout>
                  <c:x val="6.7001675041876048E-3"/>
                  <c:y val="0.10781756054078145"/>
                </c:manualLayout>
              </c:layout>
              <c:showLegendKey val="0"/>
              <c:showVal val="1"/>
              <c:showCatName val="1"/>
              <c:showSerName val="0"/>
              <c:showPercent val="1"/>
              <c:showBubbleSize val="0"/>
            </c:dLbl>
            <c:dLbl>
              <c:idx val="8"/>
              <c:layout>
                <c:manualLayout>
                  <c:x val="-5.2070857599924886E-2"/>
                  <c:y val="-2.0474803682486154E-2"/>
                </c:manualLayout>
              </c:layout>
              <c:showLegendKey val="0"/>
              <c:showVal val="1"/>
              <c:showCatName val="1"/>
              <c:showSerName val="0"/>
              <c:showPercent val="1"/>
              <c:showBubbleSize val="0"/>
            </c:dLbl>
            <c:dLbl>
              <c:idx val="9"/>
              <c:layout>
                <c:manualLayout>
                  <c:x val="-4.25202126116145E-3"/>
                  <c:y val="-2.1125963028206379E-2"/>
                </c:manualLayout>
              </c:layout>
              <c:showLegendKey val="0"/>
              <c:showVal val="1"/>
              <c:showCatName val="1"/>
              <c:showSerName val="0"/>
              <c:showPercent val="1"/>
              <c:showBubbleSize val="0"/>
            </c:dLbl>
            <c:numFmt formatCode="0.0%" sourceLinked="0"/>
            <c:showLegendKey val="0"/>
            <c:showVal val="1"/>
            <c:showCatName val="1"/>
            <c:showSerName val="0"/>
            <c:showPercent val="1"/>
            <c:showBubbleSize val="0"/>
            <c:showLeaderLines val="1"/>
          </c:dLbls>
          <c:cat>
            <c:strRef>
              <c:f>Tabulka!$R$7:$R$16</c:f>
              <c:strCache>
                <c:ptCount val="10"/>
                <c:pt idx="0">
                  <c:v>N1.1</c:v>
                </c:pt>
                <c:pt idx="1">
                  <c:v>N1.2</c:v>
                </c:pt>
                <c:pt idx="2">
                  <c:v>N1.3</c:v>
                </c:pt>
                <c:pt idx="3">
                  <c:v>N2.1</c:v>
                </c:pt>
                <c:pt idx="4">
                  <c:v>N2.2</c:v>
                </c:pt>
                <c:pt idx="5">
                  <c:v>N2.3</c:v>
                </c:pt>
                <c:pt idx="6">
                  <c:v>N4.1</c:v>
                </c:pt>
                <c:pt idx="7">
                  <c:v>N5</c:v>
                </c:pt>
                <c:pt idx="8">
                  <c:v>N7</c:v>
                </c:pt>
                <c:pt idx="9">
                  <c:v>N8</c:v>
                </c:pt>
              </c:strCache>
            </c:strRef>
          </c:cat>
          <c:val>
            <c:numRef>
              <c:f>Tabulka!$N$7:$N$16</c:f>
              <c:numCache>
                <c:formatCode>General</c:formatCode>
                <c:ptCount val="10"/>
                <c:pt idx="0">
                  <c:v>155</c:v>
                </c:pt>
                <c:pt idx="1">
                  <c:v>73</c:v>
                </c:pt>
                <c:pt idx="2">
                  <c:v>40</c:v>
                </c:pt>
                <c:pt idx="3">
                  <c:v>298</c:v>
                </c:pt>
                <c:pt idx="4">
                  <c:v>29</c:v>
                </c:pt>
                <c:pt idx="5">
                  <c:v>46</c:v>
                </c:pt>
                <c:pt idx="6">
                  <c:v>3</c:v>
                </c:pt>
                <c:pt idx="7">
                  <c:v>333</c:v>
                </c:pt>
                <c:pt idx="8">
                  <c:v>187</c:v>
                </c:pt>
                <c:pt idx="9">
                  <c:v>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90074825571426687"/>
          <c:y val="0.26626245304242629"/>
          <c:w val="7.1740117912396678E-2"/>
          <c:h val="0.41693282679287752"/>
        </c:manualLayout>
      </c:layout>
      <c:overlay val="0"/>
      <c:txPr>
        <a:bodyPr/>
        <a:lstStyle/>
        <a:p>
          <a:pPr rtl="0">
            <a:defRPr/>
          </a:pPr>
          <a:endParaRPr lang="cs-CZ"/>
        </a:p>
      </c:txPr>
    </c:legend>
    <c:plotVisOnly val="1"/>
    <c:dispBlanksAs val="gap"/>
    <c:showDLblsOverMax val="0"/>
  </c:chart>
  <c:spPr>
    <a:solidFill>
      <a:sysClr val="window" lastClr="FFFFFF"/>
    </a:solidFill>
    <a:ln w="38100">
      <a:solidFill>
        <a:srgbClr val="9BBB59"/>
      </a:solidFill>
    </a:ln>
  </c:spPr>
  <c:txPr>
    <a:bodyPr/>
    <a:lstStyle/>
    <a:p>
      <a:pPr>
        <a:defRPr sz="900">
          <a:latin typeface="Times New Roman" panose="02020603050405020304" pitchFamily="18" charset="0"/>
          <a:cs typeface="Times New Roman" panose="02020603050405020304" pitchFamily="18" charset="0"/>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cs-CZ"/>
              <a:t>Přehled podílu proškolených osob na počet pracovníků ŘO IOP v letech 2013 až 2014</a:t>
            </a:r>
          </a:p>
        </c:rich>
      </c:tx>
      <c:overlay val="0"/>
    </c:title>
    <c:autoTitleDeleted val="0"/>
    <c:plotArea>
      <c:layout>
        <c:manualLayout>
          <c:layoutTarget val="inner"/>
          <c:xMode val="edge"/>
          <c:yMode val="edge"/>
          <c:x val="6.2920031991709188E-2"/>
          <c:y val="0.31986276996274343"/>
          <c:w val="0.68243978086430179"/>
          <c:h val="0.55503533968366314"/>
        </c:manualLayout>
      </c:layout>
      <c:barChart>
        <c:barDir val="col"/>
        <c:grouping val="clustered"/>
        <c:varyColors val="0"/>
        <c:ser>
          <c:idx val="0"/>
          <c:order val="0"/>
          <c:tx>
            <c:strRef>
              <c:f>'Souhrn obecně'!$C$55</c:f>
              <c:strCache>
                <c:ptCount val="1"/>
                <c:pt idx="0">
                  <c:v>Počet proškolených osob</c:v>
                </c:pt>
              </c:strCache>
            </c:strRef>
          </c:tx>
          <c:spPr>
            <a:solidFill>
              <a:schemeClr val="accent3"/>
            </a:solidFill>
          </c:spPr>
          <c:invertIfNegative val="0"/>
          <c:dLbls>
            <c:dLbl>
              <c:idx val="0"/>
              <c:layout>
                <c:manualLayout>
                  <c:x val="0"/>
                  <c:y val="-3.495630461922597E-2"/>
                </c:manualLayout>
              </c:layout>
              <c:showLegendKey val="0"/>
              <c:showVal val="1"/>
              <c:showCatName val="0"/>
              <c:showSerName val="0"/>
              <c:showPercent val="0"/>
              <c:showBubbleSize val="0"/>
            </c:dLbl>
            <c:dLbl>
              <c:idx val="1"/>
              <c:layout>
                <c:manualLayout>
                  <c:x val="-6.9940377863800822E-17"/>
                  <c:y val="-2.9962546816479401E-2"/>
                </c:manualLayout>
              </c:layout>
              <c:showLegendKey val="0"/>
              <c:showVal val="1"/>
              <c:showCatName val="0"/>
              <c:showSerName val="0"/>
              <c:showPercent val="0"/>
              <c:showBubbleSize val="0"/>
            </c:dLbl>
            <c:spPr>
              <a:effectLst/>
            </c:spPr>
            <c:showLegendKey val="0"/>
            <c:showVal val="1"/>
            <c:showCatName val="0"/>
            <c:showSerName val="0"/>
            <c:showPercent val="0"/>
            <c:showBubbleSize val="0"/>
            <c:showLeaderLines val="0"/>
          </c:dLbls>
          <c:cat>
            <c:numRef>
              <c:f>'Souhrn obecně'!$B$56:$B$57</c:f>
              <c:numCache>
                <c:formatCode>General</c:formatCode>
                <c:ptCount val="2"/>
                <c:pt idx="0">
                  <c:v>2013</c:v>
                </c:pt>
                <c:pt idx="1">
                  <c:v>2014</c:v>
                </c:pt>
              </c:numCache>
            </c:numRef>
          </c:cat>
          <c:val>
            <c:numRef>
              <c:f>'Souhrn obecně'!$C$56:$C$57</c:f>
              <c:numCache>
                <c:formatCode>General</c:formatCode>
                <c:ptCount val="2"/>
                <c:pt idx="0">
                  <c:v>541</c:v>
                </c:pt>
                <c:pt idx="1">
                  <c:v>544</c:v>
                </c:pt>
              </c:numCache>
            </c:numRef>
          </c:val>
        </c:ser>
        <c:ser>
          <c:idx val="1"/>
          <c:order val="1"/>
          <c:tx>
            <c:strRef>
              <c:f>'Souhrn obecně'!$D$55</c:f>
              <c:strCache>
                <c:ptCount val="1"/>
                <c:pt idx="0">
                  <c:v>Počet pracovníků</c:v>
                </c:pt>
              </c:strCache>
            </c:strRef>
          </c:tx>
          <c:spPr>
            <a:solidFill>
              <a:schemeClr val="tx2"/>
            </a:solidFill>
          </c:spPr>
          <c:invertIfNegative val="0"/>
          <c:dLbls>
            <c:dLbl>
              <c:idx val="0"/>
              <c:layout>
                <c:manualLayout>
                  <c:x val="2.7777850156642339E-3"/>
                  <c:y val="-1.9418745241226946E-3"/>
                </c:manualLayout>
              </c:layout>
              <c:showLegendKey val="0"/>
              <c:showVal val="1"/>
              <c:showCatName val="0"/>
              <c:showSerName val="0"/>
              <c:showPercent val="0"/>
              <c:showBubbleSize val="0"/>
            </c:dLbl>
            <c:dLbl>
              <c:idx val="1"/>
              <c:layout>
                <c:manualLayout>
                  <c:x val="2.2061077918163825E-3"/>
                  <c:y val="9.442404600930483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'Souhrn obecně'!$B$56:$B$57</c:f>
              <c:numCache>
                <c:formatCode>General</c:formatCode>
                <c:ptCount val="2"/>
                <c:pt idx="0">
                  <c:v>2013</c:v>
                </c:pt>
                <c:pt idx="1">
                  <c:v>2014</c:v>
                </c:pt>
              </c:numCache>
            </c:numRef>
          </c:cat>
          <c:val>
            <c:numRef>
              <c:f>'Souhrn obecně'!$D$56:$D$57</c:f>
              <c:numCache>
                <c:formatCode>General</c:formatCode>
                <c:ptCount val="2"/>
                <c:pt idx="0">
                  <c:v>78</c:v>
                </c:pt>
                <c:pt idx="1">
                  <c:v>85</c:v>
                </c:pt>
              </c:numCache>
            </c:numRef>
          </c:val>
        </c:ser>
        <c:dLbls>
          <c:showLegendKey val="0"/>
          <c:showVal val="0"/>
          <c:showCatName val="0"/>
          <c:showSerName val="0"/>
          <c:showPercent val="0"/>
          <c:showBubbleSize val="0"/>
        </c:dLbls>
        <c:gapWidth val="150"/>
        <c:axId val="96679808"/>
        <c:axId val="96681344"/>
      </c:barChart>
      <c:catAx>
        <c:axId val="96679808"/>
        <c:scaling>
          <c:orientation val="minMax"/>
        </c:scaling>
        <c:delete val="0"/>
        <c:axPos val="b"/>
        <c:numFmt formatCode="General" sourceLinked="1"/>
        <c:majorTickMark val="out"/>
        <c:minorTickMark val="none"/>
        <c:tickLblPos val="nextTo"/>
        <c:crossAx val="96681344"/>
        <c:crosses val="autoZero"/>
        <c:auto val="1"/>
        <c:lblAlgn val="ctr"/>
        <c:lblOffset val="100"/>
        <c:noMultiLvlLbl val="0"/>
      </c:catAx>
      <c:valAx>
        <c:axId val="96681344"/>
        <c:scaling>
          <c:orientation val="minMax"/>
        </c:scaling>
        <c:delete val="0"/>
        <c:axPos val="l"/>
        <c:majorGridlines/>
        <c:numFmt formatCode="General" sourceLinked="1"/>
        <c:majorTickMark val="out"/>
        <c:minorTickMark val="none"/>
        <c:tickLblPos val="nextTo"/>
        <c:crossAx val="96679808"/>
        <c:crosses val="autoZero"/>
        <c:crossBetween val="between"/>
      </c:valAx>
    </c:plotArea>
    <c:legend>
      <c:legendPos val="r"/>
      <c:layout>
        <c:manualLayout>
          <c:xMode val="edge"/>
          <c:yMode val="edge"/>
          <c:x val="0.76283655557388297"/>
          <c:y val="0.50608682763158785"/>
          <c:w val="0.22390917089431614"/>
          <c:h val="0.37743406853772854"/>
        </c:manualLayout>
      </c:layout>
      <c:overlay val="0"/>
    </c:legend>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200"/>
            </a:pPr>
            <a:r>
              <a:rPr lang="cs-CZ" sz="1200" u="sng"/>
              <a:t>Přehled tématických oblastí vzdělávání</a:t>
            </a:r>
            <a:r>
              <a:rPr lang="cs-CZ" sz="1200" u="sng" baseline="0"/>
              <a:t> v roce 2014</a:t>
            </a:r>
            <a:endParaRPr lang="cs-CZ" sz="1200" u="sng"/>
          </a:p>
        </c:rich>
      </c:tx>
      <c:overlay val="0"/>
    </c:title>
    <c:autoTitleDeleted val="0"/>
    <c:plotArea>
      <c:layout/>
      <c:barChart>
        <c:barDir val="col"/>
        <c:grouping val="clustered"/>
        <c:varyColors val="0"/>
        <c:ser>
          <c:idx val="0"/>
          <c:order val="0"/>
          <c:tx>
            <c:strRef>
              <c:f>'Přehled tem.oblastí'!$C$4</c:f>
              <c:strCache>
                <c:ptCount val="1"/>
                <c:pt idx="0">
                  <c:v>Plán</c:v>
                </c:pt>
              </c:strCache>
            </c:strRef>
          </c:tx>
          <c:spPr>
            <a:solidFill>
              <a:schemeClr val="tx2"/>
            </a:solidFill>
          </c:spPr>
          <c:invertIfNegative val="0"/>
          <c:dPt>
            <c:idx val="0"/>
            <c:invertIfNegative val="0"/>
            <c:bubble3D val="0"/>
            <c:spPr>
              <a:solidFill>
                <a:schemeClr val="accent3"/>
              </a:solidFill>
            </c:spPr>
          </c:dPt>
          <c:dPt>
            <c:idx val="1"/>
            <c:invertIfNegative val="0"/>
            <c:bubble3D val="0"/>
            <c:spPr>
              <a:solidFill>
                <a:schemeClr val="accent6"/>
              </a:solidFill>
            </c:spPr>
          </c:dPt>
          <c:dPt>
            <c:idx val="2"/>
            <c:invertIfNegative val="0"/>
            <c:bubble3D val="0"/>
            <c:spPr>
              <a:solidFill>
                <a:schemeClr val="accent6"/>
              </a:solidFill>
            </c:spPr>
          </c:dPt>
          <c:dPt>
            <c:idx val="7"/>
            <c:invertIfNegative val="0"/>
            <c:bubble3D val="0"/>
            <c:spPr>
              <a:solidFill>
                <a:schemeClr val="accent6"/>
              </a:solidFill>
            </c:spPr>
          </c:dPt>
          <c:dPt>
            <c:idx val="10"/>
            <c:invertIfNegative val="0"/>
            <c:bubble3D val="0"/>
            <c:spPr>
              <a:solidFill>
                <a:schemeClr val="accent3"/>
              </a:solidFill>
            </c:spPr>
          </c:dPt>
          <c:dPt>
            <c:idx val="13"/>
            <c:invertIfNegative val="0"/>
            <c:bubble3D val="0"/>
            <c:spPr>
              <a:solidFill>
                <a:schemeClr val="accent3"/>
              </a:solidFill>
            </c:spPr>
          </c:dPt>
          <c:dLbls>
            <c:dLbl>
              <c:idx val="0"/>
              <c:layout>
                <c:manualLayout>
                  <c:x val="6.6183233754491472E-3"/>
                  <c:y val="4.1702937824203397E-3"/>
                </c:manualLayout>
              </c:layout>
              <c:showLegendKey val="0"/>
              <c:showVal val="1"/>
              <c:showCatName val="0"/>
              <c:showSerName val="0"/>
              <c:showPercent val="0"/>
              <c:showBubbleSize val="0"/>
            </c:dLbl>
            <c:dLbl>
              <c:idx val="1"/>
              <c:layout>
                <c:manualLayout>
                  <c:x val="2.0222421147182098E-17"/>
                  <c:y val="-1.2642921424077433E-2"/>
                </c:manualLayout>
              </c:layout>
              <c:showLegendKey val="0"/>
              <c:showVal val="1"/>
              <c:showCatName val="0"/>
              <c:showSerName val="0"/>
              <c:showPercent val="0"/>
              <c:showBubbleSize val="0"/>
            </c:dLbl>
            <c:dLbl>
              <c:idx val="5"/>
              <c:layout>
                <c:manualLayout>
                  <c:x val="0"/>
                  <c:y val="-2.5285842848154865E-2"/>
                </c:manualLayout>
              </c:layout>
              <c:showLegendKey val="0"/>
              <c:showVal val="1"/>
              <c:showCatName val="0"/>
              <c:showSerName val="0"/>
              <c:showPercent val="0"/>
              <c:showBubbleSize val="0"/>
            </c:dLbl>
            <c:dLbl>
              <c:idx val="6"/>
              <c:layout>
                <c:manualLayout>
                  <c:x val="0"/>
                  <c:y val="-2.5285842848154865E-2"/>
                </c:manualLayout>
              </c:layout>
              <c:showLegendKey val="0"/>
              <c:showVal val="1"/>
              <c:showCatName val="0"/>
              <c:showSerName val="0"/>
              <c:showPercent val="0"/>
              <c:showBubbleSize val="0"/>
            </c:dLbl>
            <c:dLbl>
              <c:idx val="7"/>
              <c:layout>
                <c:manualLayout>
                  <c:x val="0"/>
                  <c:y val="-2.10715357067957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'Přehled tem.oblastí'!$B$5:$B$21</c:f>
              <c:strCache>
                <c:ptCount val="17"/>
                <c:pt idx="0">
                  <c:v>Finanční a řídící kontrola</c:v>
                </c:pt>
                <c:pt idx="1">
                  <c:v>Finanční řízení</c:v>
                </c:pt>
                <c:pt idx="2">
                  <c:v>Informační systémy</c:v>
                </c:pt>
                <c:pt idx="3">
                  <c:v>Jazyková příprava</c:v>
                </c:pt>
                <c:pt idx="4">
                  <c:v>Komunikační a prezentační dovednosti</c:v>
                </c:pt>
                <c:pt idx="5">
                  <c:v>Monitoring a evaluace</c:v>
                </c:pt>
                <c:pt idx="6">
                  <c:v>Obecné předběžné podmínky</c:v>
                </c:pt>
                <c:pt idx="7">
                  <c:v>Ostatní </c:v>
                </c:pt>
                <c:pt idx="8">
                  <c:v>Počítačové dovednosti</c:v>
                </c:pt>
                <c:pt idx="9">
                  <c:v>Popis řídících a kontrolních systémů SF EU</c:v>
                </c:pt>
                <c:pt idx="10">
                  <c:v>Povinné školení ŘO IOP</c:v>
                </c:pt>
                <c:pt idx="11">
                  <c:v>Příprava a řízení projektů</c:v>
                </c:pt>
                <c:pt idx="12">
                  <c:v>Veřejná podpora</c:v>
                </c:pt>
                <c:pt idx="13">
                  <c:v>Veřejné zakázky</c:v>
                </c:pt>
                <c:pt idx="14">
                  <c:v>Vstupní vzdělávání následné MMR </c:v>
                </c:pt>
                <c:pt idx="15">
                  <c:v>Vstupní vzdělávání úvodní MMR </c:v>
                </c:pt>
                <c:pt idx="16">
                  <c:v>Zkušenosti z implementace jiných operačních programů</c:v>
                </c:pt>
              </c:strCache>
            </c:strRef>
          </c:cat>
          <c:val>
            <c:numRef>
              <c:f>'Přehled tem.oblastí'!$C$5:$C$21</c:f>
              <c:numCache>
                <c:formatCode>General</c:formatCode>
                <c:ptCount val="17"/>
                <c:pt idx="0">
                  <c:v>66</c:v>
                </c:pt>
                <c:pt idx="1">
                  <c:v>31</c:v>
                </c:pt>
                <c:pt idx="2">
                  <c:v>40</c:v>
                </c:pt>
                <c:pt idx="3">
                  <c:v>6</c:v>
                </c:pt>
                <c:pt idx="4">
                  <c:v>6</c:v>
                </c:pt>
                <c:pt idx="5">
                  <c:v>25</c:v>
                </c:pt>
                <c:pt idx="6">
                  <c:v>23</c:v>
                </c:pt>
                <c:pt idx="7">
                  <c:v>30</c:v>
                </c:pt>
                <c:pt idx="8">
                  <c:v>2</c:v>
                </c:pt>
                <c:pt idx="9">
                  <c:v>14</c:v>
                </c:pt>
                <c:pt idx="10">
                  <c:v>203</c:v>
                </c:pt>
                <c:pt idx="11">
                  <c:v>4</c:v>
                </c:pt>
                <c:pt idx="12">
                  <c:v>14</c:v>
                </c:pt>
                <c:pt idx="13">
                  <c:v>62</c:v>
                </c:pt>
                <c:pt idx="14">
                  <c:v>8</c:v>
                </c:pt>
                <c:pt idx="15">
                  <c:v>7</c:v>
                </c:pt>
                <c:pt idx="16">
                  <c:v>3</c:v>
                </c:pt>
              </c:numCache>
            </c:numRef>
          </c:val>
        </c:ser>
        <c:ser>
          <c:idx val="1"/>
          <c:order val="1"/>
          <c:tx>
            <c:strRef>
              <c:f>'Témat. oblasti-plán+skutečn (2'!#REF!</c:f>
              <c:strCache>
                <c:ptCount val="1"/>
                <c:pt idx="0">
                  <c:v>#REF!</c:v>
                </c:pt>
              </c:strCache>
            </c:strRef>
          </c:tx>
          <c:invertIfNegative val="0"/>
          <c:cat>
            <c:strRef>
              <c:f>'Přehled tem.oblastí'!$B$5:$B$21</c:f>
              <c:strCache>
                <c:ptCount val="17"/>
                <c:pt idx="0">
                  <c:v>Finanční a řídící kontrola</c:v>
                </c:pt>
                <c:pt idx="1">
                  <c:v>Finanční řízení</c:v>
                </c:pt>
                <c:pt idx="2">
                  <c:v>Informační systémy</c:v>
                </c:pt>
                <c:pt idx="3">
                  <c:v>Jazyková příprava</c:v>
                </c:pt>
                <c:pt idx="4">
                  <c:v>Komunikační a prezentační dovednosti</c:v>
                </c:pt>
                <c:pt idx="5">
                  <c:v>Monitoring a evaluace</c:v>
                </c:pt>
                <c:pt idx="6">
                  <c:v>Obecné předběžné podmínky</c:v>
                </c:pt>
                <c:pt idx="7">
                  <c:v>Ostatní </c:v>
                </c:pt>
                <c:pt idx="8">
                  <c:v>Počítačové dovednosti</c:v>
                </c:pt>
                <c:pt idx="9">
                  <c:v>Popis řídících a kontrolních systémů SF EU</c:v>
                </c:pt>
                <c:pt idx="10">
                  <c:v>Povinné školení ŘO IOP</c:v>
                </c:pt>
                <c:pt idx="11">
                  <c:v>Příprava a řízení projektů</c:v>
                </c:pt>
                <c:pt idx="12">
                  <c:v>Veřejná podpora</c:v>
                </c:pt>
                <c:pt idx="13">
                  <c:v>Veřejné zakázky</c:v>
                </c:pt>
                <c:pt idx="14">
                  <c:v>Vstupní vzdělávání následné MMR </c:v>
                </c:pt>
                <c:pt idx="15">
                  <c:v>Vstupní vzdělávání úvodní MMR </c:v>
                </c:pt>
                <c:pt idx="16">
                  <c:v>Zkušenosti z implementace jiných operačních programů</c:v>
                </c:pt>
              </c:strCache>
            </c:strRef>
          </c:cat>
          <c:val>
            <c:numRef>
              <c:f>'Témat. oblasti-plán+skutečn (2'!#REF!</c:f>
              <c:numCache>
                <c:formatCode>General</c:formatCode>
                <c:ptCount val="1"/>
                <c:pt idx="0">
                  <c:v>1</c:v>
                </c:pt>
              </c:numCache>
            </c:numRef>
          </c:val>
        </c:ser>
        <c:dLbls>
          <c:showLegendKey val="0"/>
          <c:showVal val="0"/>
          <c:showCatName val="0"/>
          <c:showSerName val="0"/>
          <c:showPercent val="0"/>
          <c:showBubbleSize val="0"/>
        </c:dLbls>
        <c:gapWidth val="150"/>
        <c:axId val="96942720"/>
        <c:axId val="96948608"/>
      </c:barChart>
      <c:catAx>
        <c:axId val="96942720"/>
        <c:scaling>
          <c:orientation val="minMax"/>
        </c:scaling>
        <c:delete val="0"/>
        <c:axPos val="b"/>
        <c:majorTickMark val="out"/>
        <c:minorTickMark val="none"/>
        <c:tickLblPos val="nextTo"/>
        <c:txPr>
          <a:bodyPr/>
          <a:lstStyle/>
          <a:p>
            <a:pPr>
              <a:defRPr sz="800"/>
            </a:pPr>
            <a:endParaRPr lang="cs-CZ"/>
          </a:p>
        </c:txPr>
        <c:crossAx val="96948608"/>
        <c:crosses val="autoZero"/>
        <c:auto val="0"/>
        <c:lblAlgn val="ctr"/>
        <c:lblOffset val="100"/>
        <c:noMultiLvlLbl val="0"/>
      </c:catAx>
      <c:valAx>
        <c:axId val="96948608"/>
        <c:scaling>
          <c:orientation val="minMax"/>
        </c:scaling>
        <c:delete val="0"/>
        <c:axPos val="l"/>
        <c:majorGridlines/>
        <c:numFmt formatCode="General" sourceLinked="1"/>
        <c:majorTickMark val="out"/>
        <c:minorTickMark val="none"/>
        <c:tickLblPos val="nextTo"/>
        <c:crossAx val="96942720"/>
        <c:crosses val="autoZero"/>
        <c:crossBetween val="between"/>
      </c:valAx>
    </c:plotArea>
    <c:plotVisOnly val="1"/>
    <c:dispBlanksAs val="gap"/>
    <c:showDLblsOverMax val="0"/>
  </c:chart>
  <c:spPr>
    <a:solidFill>
      <a:schemeClr val="accent3">
        <a:lumMod val="40000"/>
        <a:lumOff val="60000"/>
      </a:schemeClr>
    </a:solidFill>
    <a:ln>
      <a:solidFill>
        <a:schemeClr val="accent3"/>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cs-CZ"/>
              <a:t>Přehled tématických oblastí vzdělávání ŘO IOP pro ZS IOP v roce 2014</a:t>
            </a:r>
          </a:p>
        </c:rich>
      </c:tx>
      <c:overlay val="0"/>
    </c:title>
    <c:autoTitleDeleted val="0"/>
    <c:plotArea>
      <c:layout/>
      <c:barChart>
        <c:barDir val="col"/>
        <c:grouping val="clustered"/>
        <c:varyColors val="0"/>
        <c:ser>
          <c:idx val="0"/>
          <c:order val="0"/>
          <c:tx>
            <c:strRef>
              <c:f>'Přehled ZS'!$C$4</c:f>
              <c:strCache>
                <c:ptCount val="1"/>
                <c:pt idx="0">
                  <c:v>Plán</c:v>
                </c:pt>
              </c:strCache>
            </c:strRef>
          </c:tx>
          <c:spPr>
            <a:solidFill>
              <a:schemeClr val="tx2"/>
            </a:solidFill>
          </c:spPr>
          <c:invertIfNegative val="0"/>
          <c:dPt>
            <c:idx val="0"/>
            <c:invertIfNegative val="0"/>
            <c:bubble3D val="0"/>
            <c:spPr>
              <a:solidFill>
                <a:schemeClr val="accent6"/>
              </a:solidFill>
            </c:spPr>
          </c:dPt>
          <c:dPt>
            <c:idx val="1"/>
            <c:invertIfNegative val="0"/>
            <c:bubble3D val="0"/>
            <c:spPr>
              <a:solidFill>
                <a:schemeClr val="accent6"/>
              </a:solidFill>
            </c:spPr>
          </c:dPt>
          <c:dPt>
            <c:idx val="2"/>
            <c:invertIfNegative val="0"/>
            <c:bubble3D val="0"/>
            <c:spPr>
              <a:solidFill>
                <a:schemeClr val="accent3"/>
              </a:solidFill>
            </c:spPr>
          </c:dPt>
          <c:dLbls>
            <c:dLbl>
              <c:idx val="0"/>
              <c:layout>
                <c:manualLayout>
                  <c:x val="2.2915666737639072E-3"/>
                  <c:y val="2.6346378038332306E-2"/>
                </c:manualLayout>
              </c:layout>
              <c:showLegendKey val="0"/>
              <c:showVal val="1"/>
              <c:showCatName val="0"/>
              <c:showSerName val="0"/>
              <c:showPercent val="0"/>
              <c:showBubbleSize val="0"/>
            </c:dLbl>
            <c:dLbl>
              <c:idx val="1"/>
              <c:layout>
                <c:manualLayout>
                  <c:x val="0"/>
                  <c:y val="-9.3860581388760592E-3"/>
                </c:manualLayout>
              </c:layout>
              <c:showLegendKey val="0"/>
              <c:showVal val="1"/>
              <c:showCatName val="0"/>
              <c:showSerName val="0"/>
              <c:showPercent val="0"/>
              <c:showBubbleSize val="0"/>
            </c:dLbl>
            <c:dLbl>
              <c:idx val="2"/>
              <c:layout>
                <c:manualLayout>
                  <c:x val="2.2074672773156707E-3"/>
                  <c:y val="3.1801749972093181E-2"/>
                </c:manualLayout>
              </c:layout>
              <c:showLegendKey val="0"/>
              <c:showVal val="1"/>
              <c:showCatName val="0"/>
              <c:showSerName val="0"/>
              <c:showPercent val="0"/>
              <c:showBubbleSize val="0"/>
            </c:dLbl>
            <c:dLbl>
              <c:idx val="3"/>
              <c:layout>
                <c:manualLayout>
                  <c:x val="0"/>
                  <c:y val="1.635381236983481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'Přehled ZS'!$B$5:$B$8</c:f>
              <c:strCache>
                <c:ptCount val="4"/>
                <c:pt idx="0">
                  <c:v>Finanční a řídící kontrola</c:v>
                </c:pt>
                <c:pt idx="1">
                  <c:v>Finanční řízení</c:v>
                </c:pt>
                <c:pt idx="2">
                  <c:v>Více tematických oblastí</c:v>
                </c:pt>
                <c:pt idx="3">
                  <c:v>Příprava a řízení projektů</c:v>
                </c:pt>
              </c:strCache>
            </c:strRef>
          </c:cat>
          <c:val>
            <c:numRef>
              <c:f>'Přehled ZS'!$C$5:$C$8</c:f>
              <c:numCache>
                <c:formatCode>General</c:formatCode>
                <c:ptCount val="4"/>
                <c:pt idx="0">
                  <c:v>26</c:v>
                </c:pt>
                <c:pt idx="1">
                  <c:v>23</c:v>
                </c:pt>
                <c:pt idx="2">
                  <c:v>36</c:v>
                </c:pt>
                <c:pt idx="3">
                  <c:v>20</c:v>
                </c:pt>
              </c:numCache>
            </c:numRef>
          </c:val>
        </c:ser>
        <c:dLbls>
          <c:showLegendKey val="0"/>
          <c:showVal val="0"/>
          <c:showCatName val="0"/>
          <c:showSerName val="0"/>
          <c:showPercent val="0"/>
          <c:showBubbleSize val="0"/>
        </c:dLbls>
        <c:gapWidth val="150"/>
        <c:axId val="99075968"/>
        <c:axId val="99077504"/>
      </c:barChart>
      <c:catAx>
        <c:axId val="99075968"/>
        <c:scaling>
          <c:orientation val="minMax"/>
        </c:scaling>
        <c:delete val="0"/>
        <c:axPos val="b"/>
        <c:majorTickMark val="out"/>
        <c:minorTickMark val="none"/>
        <c:tickLblPos val="nextTo"/>
        <c:crossAx val="99077504"/>
        <c:crosses val="autoZero"/>
        <c:auto val="0"/>
        <c:lblAlgn val="ctr"/>
        <c:lblOffset val="100"/>
        <c:noMultiLvlLbl val="0"/>
      </c:catAx>
      <c:valAx>
        <c:axId val="99077504"/>
        <c:scaling>
          <c:orientation val="minMax"/>
        </c:scaling>
        <c:delete val="0"/>
        <c:axPos val="l"/>
        <c:majorGridlines/>
        <c:numFmt formatCode="General" sourceLinked="1"/>
        <c:majorTickMark val="out"/>
        <c:minorTickMark val="none"/>
        <c:tickLblPos val="nextTo"/>
        <c:crossAx val="99075968"/>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9AAE2-B928-4B7B-88F4-8EB4F3F61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196</Pages>
  <Words>66627</Words>
  <Characters>393105</Characters>
  <Application>Microsoft Office Word</Application>
  <DocSecurity>0</DocSecurity>
  <Lines>3275</Lines>
  <Paragraphs>917</Paragraphs>
  <ScaleCrop>false</ScaleCrop>
  <HeadingPairs>
    <vt:vector size="2" baseType="variant">
      <vt:variant>
        <vt:lpstr>Název</vt:lpstr>
      </vt:variant>
      <vt:variant>
        <vt:i4>1</vt:i4>
      </vt:variant>
    </vt:vector>
  </HeadingPairs>
  <TitlesOfParts>
    <vt:vector size="1" baseType="lpstr">
      <vt:lpstr>PODKLADY PRO 5</vt:lpstr>
    </vt:vector>
  </TitlesOfParts>
  <Company>MMR</Company>
  <LinksUpToDate>false</LinksUpToDate>
  <CharactersWithSpaces>458815</CharactersWithSpaces>
  <SharedDoc>false</SharedDoc>
  <HLinks>
    <vt:vector size="600" baseType="variant">
      <vt:variant>
        <vt:i4>262173</vt:i4>
      </vt:variant>
      <vt:variant>
        <vt:i4>537</vt:i4>
      </vt:variant>
      <vt:variant>
        <vt:i4>0</vt:i4>
      </vt:variant>
      <vt:variant>
        <vt:i4>5</vt:i4>
      </vt:variant>
      <vt:variant>
        <vt:lpwstr>http://www.kvalitazivota.eu/</vt:lpwstr>
      </vt:variant>
      <vt:variant>
        <vt:lpwstr/>
      </vt:variant>
      <vt:variant>
        <vt:i4>7405627</vt:i4>
      </vt:variant>
      <vt:variant>
        <vt:i4>534</vt:i4>
      </vt:variant>
      <vt:variant>
        <vt:i4>0</vt:i4>
      </vt:variant>
      <vt:variant>
        <vt:i4>5</vt:i4>
      </vt:variant>
      <vt:variant>
        <vt:lpwstr>http://www.mzcr.cz/</vt:lpwstr>
      </vt:variant>
      <vt:variant>
        <vt:lpwstr/>
      </vt:variant>
      <vt:variant>
        <vt:i4>6160477</vt:i4>
      </vt:variant>
      <vt:variant>
        <vt:i4>531</vt:i4>
      </vt:variant>
      <vt:variant>
        <vt:i4>0</vt:i4>
      </vt:variant>
      <vt:variant>
        <vt:i4>5</vt:i4>
      </vt:variant>
      <vt:variant>
        <vt:lpwstr>http://www.osf-mvcr.cz/pr-clanky</vt:lpwstr>
      </vt:variant>
      <vt:variant>
        <vt:lpwstr/>
      </vt:variant>
      <vt:variant>
        <vt:i4>7864425</vt:i4>
      </vt:variant>
      <vt:variant>
        <vt:i4>528</vt:i4>
      </vt:variant>
      <vt:variant>
        <vt:i4>0</vt:i4>
      </vt:variant>
      <vt:variant>
        <vt:i4>5</vt:i4>
      </vt:variant>
      <vt:variant>
        <vt:lpwstr>http://www.osf-mvcr.cz/</vt:lpwstr>
      </vt:variant>
      <vt:variant>
        <vt:lpwstr/>
      </vt:variant>
      <vt:variant>
        <vt:i4>262173</vt:i4>
      </vt:variant>
      <vt:variant>
        <vt:i4>525</vt:i4>
      </vt:variant>
      <vt:variant>
        <vt:i4>0</vt:i4>
      </vt:variant>
      <vt:variant>
        <vt:i4>5</vt:i4>
      </vt:variant>
      <vt:variant>
        <vt:lpwstr>http://www.kvalitazivota.eu/</vt:lpwstr>
      </vt:variant>
      <vt:variant>
        <vt:lpwstr/>
      </vt:variant>
      <vt:variant>
        <vt:i4>8257571</vt:i4>
      </vt:variant>
      <vt:variant>
        <vt:i4>522</vt:i4>
      </vt:variant>
      <vt:variant>
        <vt:i4>0</vt:i4>
      </vt:variant>
      <vt:variant>
        <vt:i4>5</vt:i4>
      </vt:variant>
      <vt:variant>
        <vt:lpwstr>http://www.risy.cz/</vt:lpwstr>
      </vt:variant>
      <vt:variant>
        <vt:lpwstr/>
      </vt:variant>
      <vt:variant>
        <vt:i4>7733366</vt:i4>
      </vt:variant>
      <vt:variant>
        <vt:i4>519</vt:i4>
      </vt:variant>
      <vt:variant>
        <vt:i4>0</vt:i4>
      </vt:variant>
      <vt:variant>
        <vt:i4>5</vt:i4>
      </vt:variant>
      <vt:variant>
        <vt:lpwstr>http://www.crr.cz/</vt:lpwstr>
      </vt:variant>
      <vt:variant>
        <vt:lpwstr/>
      </vt:variant>
      <vt:variant>
        <vt:i4>2883584</vt:i4>
      </vt:variant>
      <vt:variant>
        <vt:i4>516</vt:i4>
      </vt:variant>
      <vt:variant>
        <vt:i4>0</vt:i4>
      </vt:variant>
      <vt:variant>
        <vt:i4>5</vt:i4>
      </vt:variant>
      <vt:variant>
        <vt:lpwstr>http://www.strukturalni-fondy.cz/cs/Microsites/Integrovany-OP/Novinky_article/Pamatky,-socialni-podniky,-hasicska-technika-a-dal</vt:lpwstr>
      </vt:variant>
      <vt:variant>
        <vt:lpwstr/>
      </vt:variant>
      <vt:variant>
        <vt:i4>1114115</vt:i4>
      </vt:variant>
      <vt:variant>
        <vt:i4>513</vt:i4>
      </vt:variant>
      <vt:variant>
        <vt:i4>0</vt:i4>
      </vt:variant>
      <vt:variant>
        <vt:i4>5</vt:i4>
      </vt:variant>
      <vt:variant>
        <vt:lpwstr>http://www.strukturalni-fondy.cz/cs/Microsites/Integrovany-OP/Zadatele-a-prijemci/Seznam-podporenych-projektu</vt:lpwstr>
      </vt:variant>
      <vt:variant>
        <vt:lpwstr/>
      </vt:variant>
      <vt:variant>
        <vt:i4>262173</vt:i4>
      </vt:variant>
      <vt:variant>
        <vt:i4>510</vt:i4>
      </vt:variant>
      <vt:variant>
        <vt:i4>0</vt:i4>
      </vt:variant>
      <vt:variant>
        <vt:i4>5</vt:i4>
      </vt:variant>
      <vt:variant>
        <vt:lpwstr>http://www.kvalitazivota.eu/</vt:lpwstr>
      </vt:variant>
      <vt:variant>
        <vt:lpwstr/>
      </vt:variant>
      <vt:variant>
        <vt:i4>5242891</vt:i4>
      </vt:variant>
      <vt:variant>
        <vt:i4>507</vt:i4>
      </vt:variant>
      <vt:variant>
        <vt:i4>0</vt:i4>
      </vt:variant>
      <vt:variant>
        <vt:i4>5</vt:i4>
      </vt:variant>
      <vt:variant>
        <vt:lpwstr>http://www.cestyskla.cz/index.php/cesty-skla-o-p-s/o-p-s</vt:lpwstr>
      </vt:variant>
      <vt:variant>
        <vt:lpwstr/>
      </vt:variant>
      <vt:variant>
        <vt:i4>11862057</vt:i4>
      </vt:variant>
      <vt:variant>
        <vt:i4>504</vt:i4>
      </vt:variant>
      <vt:variant>
        <vt:i4>0</vt:i4>
      </vt:variant>
      <vt:variant>
        <vt:i4>5</vt:i4>
      </vt:variant>
      <vt:variant>
        <vt:lpwstr>C:\Users\herzuz\Desktop\VZ 2013\Indikátory pro ZS hodnoty 2013.xlsx</vt:lpwstr>
      </vt:variant>
      <vt:variant>
        <vt:lpwstr>RANGE!_ftn3</vt:lpwstr>
      </vt:variant>
      <vt:variant>
        <vt:i4>11862057</vt:i4>
      </vt:variant>
      <vt:variant>
        <vt:i4>501</vt:i4>
      </vt:variant>
      <vt:variant>
        <vt:i4>0</vt:i4>
      </vt:variant>
      <vt:variant>
        <vt:i4>5</vt:i4>
      </vt:variant>
      <vt:variant>
        <vt:lpwstr>C:\Users\herzuz\Desktop\VZ 2013\Indikátory pro ZS hodnoty 2013.xlsx</vt:lpwstr>
      </vt:variant>
      <vt:variant>
        <vt:lpwstr>RANGE!_ftn2</vt:lpwstr>
      </vt:variant>
      <vt:variant>
        <vt:i4>11862057</vt:i4>
      </vt:variant>
      <vt:variant>
        <vt:i4>498</vt:i4>
      </vt:variant>
      <vt:variant>
        <vt:i4>0</vt:i4>
      </vt:variant>
      <vt:variant>
        <vt:i4>5</vt:i4>
      </vt:variant>
      <vt:variant>
        <vt:lpwstr>C:\Users\herzuz\Desktop\VZ 2013\Indikátory pro ZS hodnoty 2013.xlsx</vt:lpwstr>
      </vt:variant>
      <vt:variant>
        <vt:lpwstr>RANGE!_ftn1</vt:lpwstr>
      </vt:variant>
      <vt:variant>
        <vt:i4>2883644</vt:i4>
      </vt:variant>
      <vt:variant>
        <vt:i4>495</vt:i4>
      </vt:variant>
      <vt:variant>
        <vt:i4>0</vt:i4>
      </vt:variant>
      <vt:variant>
        <vt:i4>5</vt:i4>
      </vt:variant>
      <vt:variant>
        <vt:lpwstr>http://www.nemtru.cz/sites/default/files/www.nemtru.cz/file/ajax/field_galerie/und/form-paO0H-naRHaKOiA_ekd8qq2qPK41MbFtpjoBUXb9Gcg/img_7665_01.jpg</vt:lpwstr>
      </vt:variant>
      <vt:variant>
        <vt:lpwstr/>
      </vt:variant>
      <vt:variant>
        <vt:i4>6553712</vt:i4>
      </vt:variant>
      <vt:variant>
        <vt:i4>492</vt:i4>
      </vt:variant>
      <vt:variant>
        <vt:i4>0</vt:i4>
      </vt:variant>
      <vt:variant>
        <vt:i4>5</vt:i4>
      </vt:variant>
      <vt:variant>
        <vt:lpwstr>http://www.nemtru.cz/sites/default/files/www.nemtru.cz/file/ajax/field_image/und/0/form-paO0H-naRHaKOiA_ekd8qq2qPK41MbFtpjoBUXb9Gcg/img_7329_01.jpg</vt:lpwstr>
      </vt:variant>
      <vt:variant>
        <vt:lpwstr/>
      </vt:variant>
      <vt:variant>
        <vt:i4>786526</vt:i4>
      </vt:variant>
      <vt:variant>
        <vt:i4>489</vt:i4>
      </vt:variant>
      <vt:variant>
        <vt:i4>0</vt:i4>
      </vt:variant>
      <vt:variant>
        <vt:i4>5</vt:i4>
      </vt:variant>
      <vt:variant>
        <vt:lpwstr>http://www.nemtru.cz/sites/default/files/www.nemtru.cz/node/add/article/ce2z5568.jpg</vt:lpwstr>
      </vt:variant>
      <vt:variant>
        <vt:lpwstr/>
      </vt:variant>
      <vt:variant>
        <vt:i4>1245274</vt:i4>
      </vt:variant>
      <vt:variant>
        <vt:i4>486</vt:i4>
      </vt:variant>
      <vt:variant>
        <vt:i4>0</vt:i4>
      </vt:variant>
      <vt:variant>
        <vt:i4>5</vt:i4>
      </vt:variant>
      <vt:variant>
        <vt:lpwstr>http://www.dusevnivlastnictvi.cz/</vt:lpwstr>
      </vt:variant>
      <vt:variant>
        <vt:lpwstr/>
      </vt:variant>
      <vt:variant>
        <vt:i4>6553716</vt:i4>
      </vt:variant>
      <vt:variant>
        <vt:i4>483</vt:i4>
      </vt:variant>
      <vt:variant>
        <vt:i4>0</vt:i4>
      </vt:variant>
      <vt:variant>
        <vt:i4>5</vt:i4>
      </vt:variant>
      <vt:variant>
        <vt:lpwstr>http://www.upv.cz/</vt:lpwstr>
      </vt:variant>
      <vt:variant>
        <vt:lpwstr/>
      </vt:variant>
      <vt:variant>
        <vt:i4>2883694</vt:i4>
      </vt:variant>
      <vt:variant>
        <vt:i4>480</vt:i4>
      </vt:variant>
      <vt:variant>
        <vt:i4>0</vt:i4>
      </vt:variant>
      <vt:variant>
        <vt:i4>5</vt:i4>
      </vt:variant>
      <vt:variant>
        <vt:lpwstr>http://www.strukturalni-fondy.cz/cs/Microsites/Integrovany-OP/Dokumenty</vt:lpwstr>
      </vt:variant>
      <vt:variant>
        <vt:lpwstr/>
      </vt:variant>
      <vt:variant>
        <vt:i4>4784192</vt:i4>
      </vt:variant>
      <vt:variant>
        <vt:i4>477</vt:i4>
      </vt:variant>
      <vt:variant>
        <vt:i4>0</vt:i4>
      </vt:variant>
      <vt:variant>
        <vt:i4>5</vt:i4>
      </vt:variant>
      <vt:variant>
        <vt:lpwstr>http://www.strukturalni-fondy.cz/</vt:lpwstr>
      </vt:variant>
      <vt:variant>
        <vt:lpwstr/>
      </vt:variant>
      <vt:variant>
        <vt:i4>1114115</vt:i4>
      </vt:variant>
      <vt:variant>
        <vt:i4>474</vt:i4>
      </vt:variant>
      <vt:variant>
        <vt:i4>0</vt:i4>
      </vt:variant>
      <vt:variant>
        <vt:i4>5</vt:i4>
      </vt:variant>
      <vt:variant>
        <vt:lpwstr>http://www.strukturalni-fondy.cz/cs/Microsites/Integrovany-OP/Zadatele-a-prijemci/Seznam-podporenych-projektu</vt:lpwstr>
      </vt:variant>
      <vt:variant>
        <vt:lpwstr/>
      </vt:variant>
      <vt:variant>
        <vt:i4>2031666</vt:i4>
      </vt:variant>
      <vt:variant>
        <vt:i4>464</vt:i4>
      </vt:variant>
      <vt:variant>
        <vt:i4>0</vt:i4>
      </vt:variant>
      <vt:variant>
        <vt:i4>5</vt:i4>
      </vt:variant>
      <vt:variant>
        <vt:lpwstr/>
      </vt:variant>
      <vt:variant>
        <vt:lpwstr>_Toc351629224</vt:lpwstr>
      </vt:variant>
      <vt:variant>
        <vt:i4>2031666</vt:i4>
      </vt:variant>
      <vt:variant>
        <vt:i4>458</vt:i4>
      </vt:variant>
      <vt:variant>
        <vt:i4>0</vt:i4>
      </vt:variant>
      <vt:variant>
        <vt:i4>5</vt:i4>
      </vt:variant>
      <vt:variant>
        <vt:lpwstr/>
      </vt:variant>
      <vt:variant>
        <vt:lpwstr>_Toc351629223</vt:lpwstr>
      </vt:variant>
      <vt:variant>
        <vt:i4>2031666</vt:i4>
      </vt:variant>
      <vt:variant>
        <vt:i4>452</vt:i4>
      </vt:variant>
      <vt:variant>
        <vt:i4>0</vt:i4>
      </vt:variant>
      <vt:variant>
        <vt:i4>5</vt:i4>
      </vt:variant>
      <vt:variant>
        <vt:lpwstr/>
      </vt:variant>
      <vt:variant>
        <vt:lpwstr>_Toc351629222</vt:lpwstr>
      </vt:variant>
      <vt:variant>
        <vt:i4>2031666</vt:i4>
      </vt:variant>
      <vt:variant>
        <vt:i4>446</vt:i4>
      </vt:variant>
      <vt:variant>
        <vt:i4>0</vt:i4>
      </vt:variant>
      <vt:variant>
        <vt:i4>5</vt:i4>
      </vt:variant>
      <vt:variant>
        <vt:lpwstr/>
      </vt:variant>
      <vt:variant>
        <vt:lpwstr>_Toc351629221</vt:lpwstr>
      </vt:variant>
      <vt:variant>
        <vt:i4>2031666</vt:i4>
      </vt:variant>
      <vt:variant>
        <vt:i4>440</vt:i4>
      </vt:variant>
      <vt:variant>
        <vt:i4>0</vt:i4>
      </vt:variant>
      <vt:variant>
        <vt:i4>5</vt:i4>
      </vt:variant>
      <vt:variant>
        <vt:lpwstr/>
      </vt:variant>
      <vt:variant>
        <vt:lpwstr>_Toc351629220</vt:lpwstr>
      </vt:variant>
      <vt:variant>
        <vt:i4>1835058</vt:i4>
      </vt:variant>
      <vt:variant>
        <vt:i4>434</vt:i4>
      </vt:variant>
      <vt:variant>
        <vt:i4>0</vt:i4>
      </vt:variant>
      <vt:variant>
        <vt:i4>5</vt:i4>
      </vt:variant>
      <vt:variant>
        <vt:lpwstr/>
      </vt:variant>
      <vt:variant>
        <vt:lpwstr>_Toc351629219</vt:lpwstr>
      </vt:variant>
      <vt:variant>
        <vt:i4>1835058</vt:i4>
      </vt:variant>
      <vt:variant>
        <vt:i4>428</vt:i4>
      </vt:variant>
      <vt:variant>
        <vt:i4>0</vt:i4>
      </vt:variant>
      <vt:variant>
        <vt:i4>5</vt:i4>
      </vt:variant>
      <vt:variant>
        <vt:lpwstr/>
      </vt:variant>
      <vt:variant>
        <vt:lpwstr>_Toc351629218</vt:lpwstr>
      </vt:variant>
      <vt:variant>
        <vt:i4>1835058</vt:i4>
      </vt:variant>
      <vt:variant>
        <vt:i4>422</vt:i4>
      </vt:variant>
      <vt:variant>
        <vt:i4>0</vt:i4>
      </vt:variant>
      <vt:variant>
        <vt:i4>5</vt:i4>
      </vt:variant>
      <vt:variant>
        <vt:lpwstr/>
      </vt:variant>
      <vt:variant>
        <vt:lpwstr>_Toc351629217</vt:lpwstr>
      </vt:variant>
      <vt:variant>
        <vt:i4>1835058</vt:i4>
      </vt:variant>
      <vt:variant>
        <vt:i4>416</vt:i4>
      </vt:variant>
      <vt:variant>
        <vt:i4>0</vt:i4>
      </vt:variant>
      <vt:variant>
        <vt:i4>5</vt:i4>
      </vt:variant>
      <vt:variant>
        <vt:lpwstr/>
      </vt:variant>
      <vt:variant>
        <vt:lpwstr>_Toc351629216</vt:lpwstr>
      </vt:variant>
      <vt:variant>
        <vt:i4>1835058</vt:i4>
      </vt:variant>
      <vt:variant>
        <vt:i4>410</vt:i4>
      </vt:variant>
      <vt:variant>
        <vt:i4>0</vt:i4>
      </vt:variant>
      <vt:variant>
        <vt:i4>5</vt:i4>
      </vt:variant>
      <vt:variant>
        <vt:lpwstr/>
      </vt:variant>
      <vt:variant>
        <vt:lpwstr>_Toc351629215</vt:lpwstr>
      </vt:variant>
      <vt:variant>
        <vt:i4>1835058</vt:i4>
      </vt:variant>
      <vt:variant>
        <vt:i4>404</vt:i4>
      </vt:variant>
      <vt:variant>
        <vt:i4>0</vt:i4>
      </vt:variant>
      <vt:variant>
        <vt:i4>5</vt:i4>
      </vt:variant>
      <vt:variant>
        <vt:lpwstr/>
      </vt:variant>
      <vt:variant>
        <vt:lpwstr>_Toc351629214</vt:lpwstr>
      </vt:variant>
      <vt:variant>
        <vt:i4>1835058</vt:i4>
      </vt:variant>
      <vt:variant>
        <vt:i4>398</vt:i4>
      </vt:variant>
      <vt:variant>
        <vt:i4>0</vt:i4>
      </vt:variant>
      <vt:variant>
        <vt:i4>5</vt:i4>
      </vt:variant>
      <vt:variant>
        <vt:lpwstr/>
      </vt:variant>
      <vt:variant>
        <vt:lpwstr>_Toc351629213</vt:lpwstr>
      </vt:variant>
      <vt:variant>
        <vt:i4>1835058</vt:i4>
      </vt:variant>
      <vt:variant>
        <vt:i4>392</vt:i4>
      </vt:variant>
      <vt:variant>
        <vt:i4>0</vt:i4>
      </vt:variant>
      <vt:variant>
        <vt:i4>5</vt:i4>
      </vt:variant>
      <vt:variant>
        <vt:lpwstr/>
      </vt:variant>
      <vt:variant>
        <vt:lpwstr>_Toc351629212</vt:lpwstr>
      </vt:variant>
      <vt:variant>
        <vt:i4>1835058</vt:i4>
      </vt:variant>
      <vt:variant>
        <vt:i4>386</vt:i4>
      </vt:variant>
      <vt:variant>
        <vt:i4>0</vt:i4>
      </vt:variant>
      <vt:variant>
        <vt:i4>5</vt:i4>
      </vt:variant>
      <vt:variant>
        <vt:lpwstr/>
      </vt:variant>
      <vt:variant>
        <vt:lpwstr>_Toc351629211</vt:lpwstr>
      </vt:variant>
      <vt:variant>
        <vt:i4>1835058</vt:i4>
      </vt:variant>
      <vt:variant>
        <vt:i4>380</vt:i4>
      </vt:variant>
      <vt:variant>
        <vt:i4>0</vt:i4>
      </vt:variant>
      <vt:variant>
        <vt:i4>5</vt:i4>
      </vt:variant>
      <vt:variant>
        <vt:lpwstr/>
      </vt:variant>
      <vt:variant>
        <vt:lpwstr>_Toc351629210</vt:lpwstr>
      </vt:variant>
      <vt:variant>
        <vt:i4>1900594</vt:i4>
      </vt:variant>
      <vt:variant>
        <vt:i4>374</vt:i4>
      </vt:variant>
      <vt:variant>
        <vt:i4>0</vt:i4>
      </vt:variant>
      <vt:variant>
        <vt:i4>5</vt:i4>
      </vt:variant>
      <vt:variant>
        <vt:lpwstr/>
      </vt:variant>
      <vt:variant>
        <vt:lpwstr>_Toc351629209</vt:lpwstr>
      </vt:variant>
      <vt:variant>
        <vt:i4>1900594</vt:i4>
      </vt:variant>
      <vt:variant>
        <vt:i4>368</vt:i4>
      </vt:variant>
      <vt:variant>
        <vt:i4>0</vt:i4>
      </vt:variant>
      <vt:variant>
        <vt:i4>5</vt:i4>
      </vt:variant>
      <vt:variant>
        <vt:lpwstr/>
      </vt:variant>
      <vt:variant>
        <vt:lpwstr>_Toc351629208</vt:lpwstr>
      </vt:variant>
      <vt:variant>
        <vt:i4>1900594</vt:i4>
      </vt:variant>
      <vt:variant>
        <vt:i4>362</vt:i4>
      </vt:variant>
      <vt:variant>
        <vt:i4>0</vt:i4>
      </vt:variant>
      <vt:variant>
        <vt:i4>5</vt:i4>
      </vt:variant>
      <vt:variant>
        <vt:lpwstr/>
      </vt:variant>
      <vt:variant>
        <vt:lpwstr>_Toc351629207</vt:lpwstr>
      </vt:variant>
      <vt:variant>
        <vt:i4>1900594</vt:i4>
      </vt:variant>
      <vt:variant>
        <vt:i4>356</vt:i4>
      </vt:variant>
      <vt:variant>
        <vt:i4>0</vt:i4>
      </vt:variant>
      <vt:variant>
        <vt:i4>5</vt:i4>
      </vt:variant>
      <vt:variant>
        <vt:lpwstr/>
      </vt:variant>
      <vt:variant>
        <vt:lpwstr>_Toc351629206</vt:lpwstr>
      </vt:variant>
      <vt:variant>
        <vt:i4>1900594</vt:i4>
      </vt:variant>
      <vt:variant>
        <vt:i4>350</vt:i4>
      </vt:variant>
      <vt:variant>
        <vt:i4>0</vt:i4>
      </vt:variant>
      <vt:variant>
        <vt:i4>5</vt:i4>
      </vt:variant>
      <vt:variant>
        <vt:lpwstr/>
      </vt:variant>
      <vt:variant>
        <vt:lpwstr>_Toc351629205</vt:lpwstr>
      </vt:variant>
      <vt:variant>
        <vt:i4>1900594</vt:i4>
      </vt:variant>
      <vt:variant>
        <vt:i4>344</vt:i4>
      </vt:variant>
      <vt:variant>
        <vt:i4>0</vt:i4>
      </vt:variant>
      <vt:variant>
        <vt:i4>5</vt:i4>
      </vt:variant>
      <vt:variant>
        <vt:lpwstr/>
      </vt:variant>
      <vt:variant>
        <vt:lpwstr>_Toc351629204</vt:lpwstr>
      </vt:variant>
      <vt:variant>
        <vt:i4>1900594</vt:i4>
      </vt:variant>
      <vt:variant>
        <vt:i4>338</vt:i4>
      </vt:variant>
      <vt:variant>
        <vt:i4>0</vt:i4>
      </vt:variant>
      <vt:variant>
        <vt:i4>5</vt:i4>
      </vt:variant>
      <vt:variant>
        <vt:lpwstr/>
      </vt:variant>
      <vt:variant>
        <vt:lpwstr>_Toc351629203</vt:lpwstr>
      </vt:variant>
      <vt:variant>
        <vt:i4>1900594</vt:i4>
      </vt:variant>
      <vt:variant>
        <vt:i4>332</vt:i4>
      </vt:variant>
      <vt:variant>
        <vt:i4>0</vt:i4>
      </vt:variant>
      <vt:variant>
        <vt:i4>5</vt:i4>
      </vt:variant>
      <vt:variant>
        <vt:lpwstr/>
      </vt:variant>
      <vt:variant>
        <vt:lpwstr>_Toc351629202</vt:lpwstr>
      </vt:variant>
      <vt:variant>
        <vt:i4>1900594</vt:i4>
      </vt:variant>
      <vt:variant>
        <vt:i4>326</vt:i4>
      </vt:variant>
      <vt:variant>
        <vt:i4>0</vt:i4>
      </vt:variant>
      <vt:variant>
        <vt:i4>5</vt:i4>
      </vt:variant>
      <vt:variant>
        <vt:lpwstr/>
      </vt:variant>
      <vt:variant>
        <vt:lpwstr>_Toc351629201</vt:lpwstr>
      </vt:variant>
      <vt:variant>
        <vt:i4>1900594</vt:i4>
      </vt:variant>
      <vt:variant>
        <vt:i4>320</vt:i4>
      </vt:variant>
      <vt:variant>
        <vt:i4>0</vt:i4>
      </vt:variant>
      <vt:variant>
        <vt:i4>5</vt:i4>
      </vt:variant>
      <vt:variant>
        <vt:lpwstr/>
      </vt:variant>
      <vt:variant>
        <vt:lpwstr>_Toc351629200</vt:lpwstr>
      </vt:variant>
      <vt:variant>
        <vt:i4>1310769</vt:i4>
      </vt:variant>
      <vt:variant>
        <vt:i4>314</vt:i4>
      </vt:variant>
      <vt:variant>
        <vt:i4>0</vt:i4>
      </vt:variant>
      <vt:variant>
        <vt:i4>5</vt:i4>
      </vt:variant>
      <vt:variant>
        <vt:lpwstr/>
      </vt:variant>
      <vt:variant>
        <vt:lpwstr>_Toc351629199</vt:lpwstr>
      </vt:variant>
      <vt:variant>
        <vt:i4>1310769</vt:i4>
      </vt:variant>
      <vt:variant>
        <vt:i4>308</vt:i4>
      </vt:variant>
      <vt:variant>
        <vt:i4>0</vt:i4>
      </vt:variant>
      <vt:variant>
        <vt:i4>5</vt:i4>
      </vt:variant>
      <vt:variant>
        <vt:lpwstr/>
      </vt:variant>
      <vt:variant>
        <vt:lpwstr>_Toc351629198</vt:lpwstr>
      </vt:variant>
      <vt:variant>
        <vt:i4>1310769</vt:i4>
      </vt:variant>
      <vt:variant>
        <vt:i4>302</vt:i4>
      </vt:variant>
      <vt:variant>
        <vt:i4>0</vt:i4>
      </vt:variant>
      <vt:variant>
        <vt:i4>5</vt:i4>
      </vt:variant>
      <vt:variant>
        <vt:lpwstr/>
      </vt:variant>
      <vt:variant>
        <vt:lpwstr>_Toc351629197</vt:lpwstr>
      </vt:variant>
      <vt:variant>
        <vt:i4>1310769</vt:i4>
      </vt:variant>
      <vt:variant>
        <vt:i4>296</vt:i4>
      </vt:variant>
      <vt:variant>
        <vt:i4>0</vt:i4>
      </vt:variant>
      <vt:variant>
        <vt:i4>5</vt:i4>
      </vt:variant>
      <vt:variant>
        <vt:lpwstr/>
      </vt:variant>
      <vt:variant>
        <vt:lpwstr>_Toc351629196</vt:lpwstr>
      </vt:variant>
      <vt:variant>
        <vt:i4>1310769</vt:i4>
      </vt:variant>
      <vt:variant>
        <vt:i4>290</vt:i4>
      </vt:variant>
      <vt:variant>
        <vt:i4>0</vt:i4>
      </vt:variant>
      <vt:variant>
        <vt:i4>5</vt:i4>
      </vt:variant>
      <vt:variant>
        <vt:lpwstr/>
      </vt:variant>
      <vt:variant>
        <vt:lpwstr>_Toc351629195</vt:lpwstr>
      </vt:variant>
      <vt:variant>
        <vt:i4>1310769</vt:i4>
      </vt:variant>
      <vt:variant>
        <vt:i4>284</vt:i4>
      </vt:variant>
      <vt:variant>
        <vt:i4>0</vt:i4>
      </vt:variant>
      <vt:variant>
        <vt:i4>5</vt:i4>
      </vt:variant>
      <vt:variant>
        <vt:lpwstr/>
      </vt:variant>
      <vt:variant>
        <vt:lpwstr>_Toc351629194</vt:lpwstr>
      </vt:variant>
      <vt:variant>
        <vt:i4>1310769</vt:i4>
      </vt:variant>
      <vt:variant>
        <vt:i4>278</vt:i4>
      </vt:variant>
      <vt:variant>
        <vt:i4>0</vt:i4>
      </vt:variant>
      <vt:variant>
        <vt:i4>5</vt:i4>
      </vt:variant>
      <vt:variant>
        <vt:lpwstr/>
      </vt:variant>
      <vt:variant>
        <vt:lpwstr>_Toc351629193</vt:lpwstr>
      </vt:variant>
      <vt:variant>
        <vt:i4>1310769</vt:i4>
      </vt:variant>
      <vt:variant>
        <vt:i4>272</vt:i4>
      </vt:variant>
      <vt:variant>
        <vt:i4>0</vt:i4>
      </vt:variant>
      <vt:variant>
        <vt:i4>5</vt:i4>
      </vt:variant>
      <vt:variant>
        <vt:lpwstr/>
      </vt:variant>
      <vt:variant>
        <vt:lpwstr>_Toc351629192</vt:lpwstr>
      </vt:variant>
      <vt:variant>
        <vt:i4>1310769</vt:i4>
      </vt:variant>
      <vt:variant>
        <vt:i4>266</vt:i4>
      </vt:variant>
      <vt:variant>
        <vt:i4>0</vt:i4>
      </vt:variant>
      <vt:variant>
        <vt:i4>5</vt:i4>
      </vt:variant>
      <vt:variant>
        <vt:lpwstr/>
      </vt:variant>
      <vt:variant>
        <vt:lpwstr>_Toc351629191</vt:lpwstr>
      </vt:variant>
      <vt:variant>
        <vt:i4>1310769</vt:i4>
      </vt:variant>
      <vt:variant>
        <vt:i4>260</vt:i4>
      </vt:variant>
      <vt:variant>
        <vt:i4>0</vt:i4>
      </vt:variant>
      <vt:variant>
        <vt:i4>5</vt:i4>
      </vt:variant>
      <vt:variant>
        <vt:lpwstr/>
      </vt:variant>
      <vt:variant>
        <vt:lpwstr>_Toc351629190</vt:lpwstr>
      </vt:variant>
      <vt:variant>
        <vt:i4>1376305</vt:i4>
      </vt:variant>
      <vt:variant>
        <vt:i4>254</vt:i4>
      </vt:variant>
      <vt:variant>
        <vt:i4>0</vt:i4>
      </vt:variant>
      <vt:variant>
        <vt:i4>5</vt:i4>
      </vt:variant>
      <vt:variant>
        <vt:lpwstr/>
      </vt:variant>
      <vt:variant>
        <vt:lpwstr>_Toc351629189</vt:lpwstr>
      </vt:variant>
      <vt:variant>
        <vt:i4>1376305</vt:i4>
      </vt:variant>
      <vt:variant>
        <vt:i4>248</vt:i4>
      </vt:variant>
      <vt:variant>
        <vt:i4>0</vt:i4>
      </vt:variant>
      <vt:variant>
        <vt:i4>5</vt:i4>
      </vt:variant>
      <vt:variant>
        <vt:lpwstr/>
      </vt:variant>
      <vt:variant>
        <vt:lpwstr>_Toc351629188</vt:lpwstr>
      </vt:variant>
      <vt:variant>
        <vt:i4>1376305</vt:i4>
      </vt:variant>
      <vt:variant>
        <vt:i4>242</vt:i4>
      </vt:variant>
      <vt:variant>
        <vt:i4>0</vt:i4>
      </vt:variant>
      <vt:variant>
        <vt:i4>5</vt:i4>
      </vt:variant>
      <vt:variant>
        <vt:lpwstr/>
      </vt:variant>
      <vt:variant>
        <vt:lpwstr>_Toc351629187</vt:lpwstr>
      </vt:variant>
      <vt:variant>
        <vt:i4>1376305</vt:i4>
      </vt:variant>
      <vt:variant>
        <vt:i4>236</vt:i4>
      </vt:variant>
      <vt:variant>
        <vt:i4>0</vt:i4>
      </vt:variant>
      <vt:variant>
        <vt:i4>5</vt:i4>
      </vt:variant>
      <vt:variant>
        <vt:lpwstr/>
      </vt:variant>
      <vt:variant>
        <vt:lpwstr>_Toc351629186</vt:lpwstr>
      </vt:variant>
      <vt:variant>
        <vt:i4>1376305</vt:i4>
      </vt:variant>
      <vt:variant>
        <vt:i4>230</vt:i4>
      </vt:variant>
      <vt:variant>
        <vt:i4>0</vt:i4>
      </vt:variant>
      <vt:variant>
        <vt:i4>5</vt:i4>
      </vt:variant>
      <vt:variant>
        <vt:lpwstr/>
      </vt:variant>
      <vt:variant>
        <vt:lpwstr>_Toc351629185</vt:lpwstr>
      </vt:variant>
      <vt:variant>
        <vt:i4>1376305</vt:i4>
      </vt:variant>
      <vt:variant>
        <vt:i4>224</vt:i4>
      </vt:variant>
      <vt:variant>
        <vt:i4>0</vt:i4>
      </vt:variant>
      <vt:variant>
        <vt:i4>5</vt:i4>
      </vt:variant>
      <vt:variant>
        <vt:lpwstr/>
      </vt:variant>
      <vt:variant>
        <vt:lpwstr>_Toc351629184</vt:lpwstr>
      </vt:variant>
      <vt:variant>
        <vt:i4>1376305</vt:i4>
      </vt:variant>
      <vt:variant>
        <vt:i4>218</vt:i4>
      </vt:variant>
      <vt:variant>
        <vt:i4>0</vt:i4>
      </vt:variant>
      <vt:variant>
        <vt:i4>5</vt:i4>
      </vt:variant>
      <vt:variant>
        <vt:lpwstr/>
      </vt:variant>
      <vt:variant>
        <vt:lpwstr>_Toc351629183</vt:lpwstr>
      </vt:variant>
      <vt:variant>
        <vt:i4>1376305</vt:i4>
      </vt:variant>
      <vt:variant>
        <vt:i4>212</vt:i4>
      </vt:variant>
      <vt:variant>
        <vt:i4>0</vt:i4>
      </vt:variant>
      <vt:variant>
        <vt:i4>5</vt:i4>
      </vt:variant>
      <vt:variant>
        <vt:lpwstr/>
      </vt:variant>
      <vt:variant>
        <vt:lpwstr>_Toc351629182</vt:lpwstr>
      </vt:variant>
      <vt:variant>
        <vt:i4>1376305</vt:i4>
      </vt:variant>
      <vt:variant>
        <vt:i4>206</vt:i4>
      </vt:variant>
      <vt:variant>
        <vt:i4>0</vt:i4>
      </vt:variant>
      <vt:variant>
        <vt:i4>5</vt:i4>
      </vt:variant>
      <vt:variant>
        <vt:lpwstr/>
      </vt:variant>
      <vt:variant>
        <vt:lpwstr>_Toc351629181</vt:lpwstr>
      </vt:variant>
      <vt:variant>
        <vt:i4>1376305</vt:i4>
      </vt:variant>
      <vt:variant>
        <vt:i4>200</vt:i4>
      </vt:variant>
      <vt:variant>
        <vt:i4>0</vt:i4>
      </vt:variant>
      <vt:variant>
        <vt:i4>5</vt:i4>
      </vt:variant>
      <vt:variant>
        <vt:lpwstr/>
      </vt:variant>
      <vt:variant>
        <vt:lpwstr>_Toc351629180</vt:lpwstr>
      </vt:variant>
      <vt:variant>
        <vt:i4>1703985</vt:i4>
      </vt:variant>
      <vt:variant>
        <vt:i4>194</vt:i4>
      </vt:variant>
      <vt:variant>
        <vt:i4>0</vt:i4>
      </vt:variant>
      <vt:variant>
        <vt:i4>5</vt:i4>
      </vt:variant>
      <vt:variant>
        <vt:lpwstr/>
      </vt:variant>
      <vt:variant>
        <vt:lpwstr>_Toc351629179</vt:lpwstr>
      </vt:variant>
      <vt:variant>
        <vt:i4>1703985</vt:i4>
      </vt:variant>
      <vt:variant>
        <vt:i4>188</vt:i4>
      </vt:variant>
      <vt:variant>
        <vt:i4>0</vt:i4>
      </vt:variant>
      <vt:variant>
        <vt:i4>5</vt:i4>
      </vt:variant>
      <vt:variant>
        <vt:lpwstr/>
      </vt:variant>
      <vt:variant>
        <vt:lpwstr>_Toc351629178</vt:lpwstr>
      </vt:variant>
      <vt:variant>
        <vt:i4>1703985</vt:i4>
      </vt:variant>
      <vt:variant>
        <vt:i4>182</vt:i4>
      </vt:variant>
      <vt:variant>
        <vt:i4>0</vt:i4>
      </vt:variant>
      <vt:variant>
        <vt:i4>5</vt:i4>
      </vt:variant>
      <vt:variant>
        <vt:lpwstr/>
      </vt:variant>
      <vt:variant>
        <vt:lpwstr>_Toc351629177</vt:lpwstr>
      </vt:variant>
      <vt:variant>
        <vt:i4>1703985</vt:i4>
      </vt:variant>
      <vt:variant>
        <vt:i4>176</vt:i4>
      </vt:variant>
      <vt:variant>
        <vt:i4>0</vt:i4>
      </vt:variant>
      <vt:variant>
        <vt:i4>5</vt:i4>
      </vt:variant>
      <vt:variant>
        <vt:lpwstr/>
      </vt:variant>
      <vt:variant>
        <vt:lpwstr>_Toc351629176</vt:lpwstr>
      </vt:variant>
      <vt:variant>
        <vt:i4>1703985</vt:i4>
      </vt:variant>
      <vt:variant>
        <vt:i4>170</vt:i4>
      </vt:variant>
      <vt:variant>
        <vt:i4>0</vt:i4>
      </vt:variant>
      <vt:variant>
        <vt:i4>5</vt:i4>
      </vt:variant>
      <vt:variant>
        <vt:lpwstr/>
      </vt:variant>
      <vt:variant>
        <vt:lpwstr>_Toc351629175</vt:lpwstr>
      </vt:variant>
      <vt:variant>
        <vt:i4>1703985</vt:i4>
      </vt:variant>
      <vt:variant>
        <vt:i4>164</vt:i4>
      </vt:variant>
      <vt:variant>
        <vt:i4>0</vt:i4>
      </vt:variant>
      <vt:variant>
        <vt:i4>5</vt:i4>
      </vt:variant>
      <vt:variant>
        <vt:lpwstr/>
      </vt:variant>
      <vt:variant>
        <vt:lpwstr>_Toc351629174</vt:lpwstr>
      </vt:variant>
      <vt:variant>
        <vt:i4>1703985</vt:i4>
      </vt:variant>
      <vt:variant>
        <vt:i4>158</vt:i4>
      </vt:variant>
      <vt:variant>
        <vt:i4>0</vt:i4>
      </vt:variant>
      <vt:variant>
        <vt:i4>5</vt:i4>
      </vt:variant>
      <vt:variant>
        <vt:lpwstr/>
      </vt:variant>
      <vt:variant>
        <vt:lpwstr>_Toc351629173</vt:lpwstr>
      </vt:variant>
      <vt:variant>
        <vt:i4>1703985</vt:i4>
      </vt:variant>
      <vt:variant>
        <vt:i4>152</vt:i4>
      </vt:variant>
      <vt:variant>
        <vt:i4>0</vt:i4>
      </vt:variant>
      <vt:variant>
        <vt:i4>5</vt:i4>
      </vt:variant>
      <vt:variant>
        <vt:lpwstr/>
      </vt:variant>
      <vt:variant>
        <vt:lpwstr>_Toc351629172</vt:lpwstr>
      </vt:variant>
      <vt:variant>
        <vt:i4>1703985</vt:i4>
      </vt:variant>
      <vt:variant>
        <vt:i4>146</vt:i4>
      </vt:variant>
      <vt:variant>
        <vt:i4>0</vt:i4>
      </vt:variant>
      <vt:variant>
        <vt:i4>5</vt:i4>
      </vt:variant>
      <vt:variant>
        <vt:lpwstr/>
      </vt:variant>
      <vt:variant>
        <vt:lpwstr>_Toc351629171</vt:lpwstr>
      </vt:variant>
      <vt:variant>
        <vt:i4>1703985</vt:i4>
      </vt:variant>
      <vt:variant>
        <vt:i4>140</vt:i4>
      </vt:variant>
      <vt:variant>
        <vt:i4>0</vt:i4>
      </vt:variant>
      <vt:variant>
        <vt:i4>5</vt:i4>
      </vt:variant>
      <vt:variant>
        <vt:lpwstr/>
      </vt:variant>
      <vt:variant>
        <vt:lpwstr>_Toc351629170</vt:lpwstr>
      </vt:variant>
      <vt:variant>
        <vt:i4>1769521</vt:i4>
      </vt:variant>
      <vt:variant>
        <vt:i4>134</vt:i4>
      </vt:variant>
      <vt:variant>
        <vt:i4>0</vt:i4>
      </vt:variant>
      <vt:variant>
        <vt:i4>5</vt:i4>
      </vt:variant>
      <vt:variant>
        <vt:lpwstr/>
      </vt:variant>
      <vt:variant>
        <vt:lpwstr>_Toc351629169</vt:lpwstr>
      </vt:variant>
      <vt:variant>
        <vt:i4>1769521</vt:i4>
      </vt:variant>
      <vt:variant>
        <vt:i4>128</vt:i4>
      </vt:variant>
      <vt:variant>
        <vt:i4>0</vt:i4>
      </vt:variant>
      <vt:variant>
        <vt:i4>5</vt:i4>
      </vt:variant>
      <vt:variant>
        <vt:lpwstr/>
      </vt:variant>
      <vt:variant>
        <vt:lpwstr>_Toc351629168</vt:lpwstr>
      </vt:variant>
      <vt:variant>
        <vt:i4>1769521</vt:i4>
      </vt:variant>
      <vt:variant>
        <vt:i4>122</vt:i4>
      </vt:variant>
      <vt:variant>
        <vt:i4>0</vt:i4>
      </vt:variant>
      <vt:variant>
        <vt:i4>5</vt:i4>
      </vt:variant>
      <vt:variant>
        <vt:lpwstr/>
      </vt:variant>
      <vt:variant>
        <vt:lpwstr>_Toc351629167</vt:lpwstr>
      </vt:variant>
      <vt:variant>
        <vt:i4>1769521</vt:i4>
      </vt:variant>
      <vt:variant>
        <vt:i4>116</vt:i4>
      </vt:variant>
      <vt:variant>
        <vt:i4>0</vt:i4>
      </vt:variant>
      <vt:variant>
        <vt:i4>5</vt:i4>
      </vt:variant>
      <vt:variant>
        <vt:lpwstr/>
      </vt:variant>
      <vt:variant>
        <vt:lpwstr>_Toc351629166</vt:lpwstr>
      </vt:variant>
      <vt:variant>
        <vt:i4>1769521</vt:i4>
      </vt:variant>
      <vt:variant>
        <vt:i4>110</vt:i4>
      </vt:variant>
      <vt:variant>
        <vt:i4>0</vt:i4>
      </vt:variant>
      <vt:variant>
        <vt:i4>5</vt:i4>
      </vt:variant>
      <vt:variant>
        <vt:lpwstr/>
      </vt:variant>
      <vt:variant>
        <vt:lpwstr>_Toc351629165</vt:lpwstr>
      </vt:variant>
      <vt:variant>
        <vt:i4>1769521</vt:i4>
      </vt:variant>
      <vt:variant>
        <vt:i4>104</vt:i4>
      </vt:variant>
      <vt:variant>
        <vt:i4>0</vt:i4>
      </vt:variant>
      <vt:variant>
        <vt:i4>5</vt:i4>
      </vt:variant>
      <vt:variant>
        <vt:lpwstr/>
      </vt:variant>
      <vt:variant>
        <vt:lpwstr>_Toc351629164</vt:lpwstr>
      </vt:variant>
      <vt:variant>
        <vt:i4>1769521</vt:i4>
      </vt:variant>
      <vt:variant>
        <vt:i4>98</vt:i4>
      </vt:variant>
      <vt:variant>
        <vt:i4>0</vt:i4>
      </vt:variant>
      <vt:variant>
        <vt:i4>5</vt:i4>
      </vt:variant>
      <vt:variant>
        <vt:lpwstr/>
      </vt:variant>
      <vt:variant>
        <vt:lpwstr>_Toc351629163</vt:lpwstr>
      </vt:variant>
      <vt:variant>
        <vt:i4>1769521</vt:i4>
      </vt:variant>
      <vt:variant>
        <vt:i4>92</vt:i4>
      </vt:variant>
      <vt:variant>
        <vt:i4>0</vt:i4>
      </vt:variant>
      <vt:variant>
        <vt:i4>5</vt:i4>
      </vt:variant>
      <vt:variant>
        <vt:lpwstr/>
      </vt:variant>
      <vt:variant>
        <vt:lpwstr>_Toc351629162</vt:lpwstr>
      </vt:variant>
      <vt:variant>
        <vt:i4>1769521</vt:i4>
      </vt:variant>
      <vt:variant>
        <vt:i4>86</vt:i4>
      </vt:variant>
      <vt:variant>
        <vt:i4>0</vt:i4>
      </vt:variant>
      <vt:variant>
        <vt:i4>5</vt:i4>
      </vt:variant>
      <vt:variant>
        <vt:lpwstr/>
      </vt:variant>
      <vt:variant>
        <vt:lpwstr>_Toc351629161</vt:lpwstr>
      </vt:variant>
      <vt:variant>
        <vt:i4>1769521</vt:i4>
      </vt:variant>
      <vt:variant>
        <vt:i4>80</vt:i4>
      </vt:variant>
      <vt:variant>
        <vt:i4>0</vt:i4>
      </vt:variant>
      <vt:variant>
        <vt:i4>5</vt:i4>
      </vt:variant>
      <vt:variant>
        <vt:lpwstr/>
      </vt:variant>
      <vt:variant>
        <vt:lpwstr>_Toc351629160</vt:lpwstr>
      </vt:variant>
      <vt:variant>
        <vt:i4>1572913</vt:i4>
      </vt:variant>
      <vt:variant>
        <vt:i4>74</vt:i4>
      </vt:variant>
      <vt:variant>
        <vt:i4>0</vt:i4>
      </vt:variant>
      <vt:variant>
        <vt:i4>5</vt:i4>
      </vt:variant>
      <vt:variant>
        <vt:lpwstr/>
      </vt:variant>
      <vt:variant>
        <vt:lpwstr>_Toc351629159</vt:lpwstr>
      </vt:variant>
      <vt:variant>
        <vt:i4>1572913</vt:i4>
      </vt:variant>
      <vt:variant>
        <vt:i4>68</vt:i4>
      </vt:variant>
      <vt:variant>
        <vt:i4>0</vt:i4>
      </vt:variant>
      <vt:variant>
        <vt:i4>5</vt:i4>
      </vt:variant>
      <vt:variant>
        <vt:lpwstr/>
      </vt:variant>
      <vt:variant>
        <vt:lpwstr>_Toc351629158</vt:lpwstr>
      </vt:variant>
      <vt:variant>
        <vt:i4>1572913</vt:i4>
      </vt:variant>
      <vt:variant>
        <vt:i4>62</vt:i4>
      </vt:variant>
      <vt:variant>
        <vt:i4>0</vt:i4>
      </vt:variant>
      <vt:variant>
        <vt:i4>5</vt:i4>
      </vt:variant>
      <vt:variant>
        <vt:lpwstr/>
      </vt:variant>
      <vt:variant>
        <vt:lpwstr>_Toc351629157</vt:lpwstr>
      </vt:variant>
      <vt:variant>
        <vt:i4>1572913</vt:i4>
      </vt:variant>
      <vt:variant>
        <vt:i4>56</vt:i4>
      </vt:variant>
      <vt:variant>
        <vt:i4>0</vt:i4>
      </vt:variant>
      <vt:variant>
        <vt:i4>5</vt:i4>
      </vt:variant>
      <vt:variant>
        <vt:lpwstr/>
      </vt:variant>
      <vt:variant>
        <vt:lpwstr>_Toc351629156</vt:lpwstr>
      </vt:variant>
      <vt:variant>
        <vt:i4>1572913</vt:i4>
      </vt:variant>
      <vt:variant>
        <vt:i4>50</vt:i4>
      </vt:variant>
      <vt:variant>
        <vt:i4>0</vt:i4>
      </vt:variant>
      <vt:variant>
        <vt:i4>5</vt:i4>
      </vt:variant>
      <vt:variant>
        <vt:lpwstr/>
      </vt:variant>
      <vt:variant>
        <vt:lpwstr>_Toc351629155</vt:lpwstr>
      </vt:variant>
      <vt:variant>
        <vt:i4>1572913</vt:i4>
      </vt:variant>
      <vt:variant>
        <vt:i4>44</vt:i4>
      </vt:variant>
      <vt:variant>
        <vt:i4>0</vt:i4>
      </vt:variant>
      <vt:variant>
        <vt:i4>5</vt:i4>
      </vt:variant>
      <vt:variant>
        <vt:lpwstr/>
      </vt:variant>
      <vt:variant>
        <vt:lpwstr>_Toc351629154</vt:lpwstr>
      </vt:variant>
      <vt:variant>
        <vt:i4>1572913</vt:i4>
      </vt:variant>
      <vt:variant>
        <vt:i4>38</vt:i4>
      </vt:variant>
      <vt:variant>
        <vt:i4>0</vt:i4>
      </vt:variant>
      <vt:variant>
        <vt:i4>5</vt:i4>
      </vt:variant>
      <vt:variant>
        <vt:lpwstr/>
      </vt:variant>
      <vt:variant>
        <vt:lpwstr>_Toc351629153</vt:lpwstr>
      </vt:variant>
      <vt:variant>
        <vt:i4>1572913</vt:i4>
      </vt:variant>
      <vt:variant>
        <vt:i4>32</vt:i4>
      </vt:variant>
      <vt:variant>
        <vt:i4>0</vt:i4>
      </vt:variant>
      <vt:variant>
        <vt:i4>5</vt:i4>
      </vt:variant>
      <vt:variant>
        <vt:lpwstr/>
      </vt:variant>
      <vt:variant>
        <vt:lpwstr>_Toc351629152</vt:lpwstr>
      </vt:variant>
      <vt:variant>
        <vt:i4>1572913</vt:i4>
      </vt:variant>
      <vt:variant>
        <vt:i4>26</vt:i4>
      </vt:variant>
      <vt:variant>
        <vt:i4>0</vt:i4>
      </vt:variant>
      <vt:variant>
        <vt:i4>5</vt:i4>
      </vt:variant>
      <vt:variant>
        <vt:lpwstr/>
      </vt:variant>
      <vt:variant>
        <vt:lpwstr>_Toc351629151</vt:lpwstr>
      </vt:variant>
      <vt:variant>
        <vt:i4>1572913</vt:i4>
      </vt:variant>
      <vt:variant>
        <vt:i4>20</vt:i4>
      </vt:variant>
      <vt:variant>
        <vt:i4>0</vt:i4>
      </vt:variant>
      <vt:variant>
        <vt:i4>5</vt:i4>
      </vt:variant>
      <vt:variant>
        <vt:lpwstr/>
      </vt:variant>
      <vt:variant>
        <vt:lpwstr>_Toc351629150</vt:lpwstr>
      </vt:variant>
      <vt:variant>
        <vt:i4>1638449</vt:i4>
      </vt:variant>
      <vt:variant>
        <vt:i4>14</vt:i4>
      </vt:variant>
      <vt:variant>
        <vt:i4>0</vt:i4>
      </vt:variant>
      <vt:variant>
        <vt:i4>5</vt:i4>
      </vt:variant>
      <vt:variant>
        <vt:lpwstr/>
      </vt:variant>
      <vt:variant>
        <vt:lpwstr>_Toc351629149</vt:lpwstr>
      </vt:variant>
      <vt:variant>
        <vt:i4>1638449</vt:i4>
      </vt:variant>
      <vt:variant>
        <vt:i4>8</vt:i4>
      </vt:variant>
      <vt:variant>
        <vt:i4>0</vt:i4>
      </vt:variant>
      <vt:variant>
        <vt:i4>5</vt:i4>
      </vt:variant>
      <vt:variant>
        <vt:lpwstr/>
      </vt:variant>
      <vt:variant>
        <vt:lpwstr>_Toc351629148</vt:lpwstr>
      </vt:variant>
      <vt:variant>
        <vt:i4>1638449</vt:i4>
      </vt:variant>
      <vt:variant>
        <vt:i4>2</vt:i4>
      </vt:variant>
      <vt:variant>
        <vt:i4>0</vt:i4>
      </vt:variant>
      <vt:variant>
        <vt:i4>5</vt:i4>
      </vt:variant>
      <vt:variant>
        <vt:lpwstr/>
      </vt:variant>
      <vt:variant>
        <vt:lpwstr>_Toc351629147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PODKLADY PRO 5</dc:title>
  <dc:creator>Zuzana.Krochova@mmr.cz</dc:creator>
  <cp:lastModifiedBy>Zuzana Krochová</cp:lastModifiedBy>
  <cp:revision>14</cp:revision>
  <cp:lastPrinted>2015-04-16T12:01:00Z</cp:lastPrinted>
  <dcterms:created xsi:type="dcterms:W3CDTF">2015-06-01T14:31:00Z</dcterms:created>
  <dcterms:modified xsi:type="dcterms:W3CDTF">2015-06-16T13:48:00Z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-1744535333</vt:i4>
  </property>
</Properties>
</file>